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4"/>
        <w:tblW w:type="auto" w:w="0"/>
        <w:tblInd w:type="dxa" w:w="5868"/>
        <w:tblLayout w:type="fixed"/>
      </w:tblPr>
      <w:tblGrid>
        <w:gridCol w:w="3669"/>
      </w:tblGrid>
      <w:tr>
        <w:trPr>
          <w:trHeight w:hRule="atLeast" w:val="1270"/>
        </w:trPr>
        <w:tc>
          <w:tcPr>
            <w:tcW w:type="dxa" w:w="3669"/>
          </w:tcPr>
          <w:p w14:paraId="05000000">
            <w:pPr>
              <w:widowControl w:val="1"/>
              <w:ind w:hanging="108" w:right="285"/>
              <w:jc w:val="right"/>
              <w:rPr>
                <w:rFonts w:ascii="Times New Roman" w:hAnsi="Times New Roman"/>
              </w:rPr>
            </w:pPr>
            <w:bookmarkStart w:id="1" w:name="bookmark0"/>
            <w:bookmarkEnd w:id="1"/>
            <w:r>
              <w:rPr>
                <w:rFonts w:ascii="Times New Roman" w:hAnsi="Times New Roman"/>
              </w:rPr>
              <w:t>Проект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6000000">
            <w:pPr>
              <w:widowControl w:val="1"/>
              <w:ind w:hanging="108" w:right="285"/>
              <w:jc w:val="right"/>
              <w:rPr>
                <w:rFonts w:ascii="Times New Roman" w:hAnsi="Times New Roman"/>
              </w:rPr>
            </w:pPr>
          </w:p>
          <w:p w14:paraId="07000000">
            <w:pPr>
              <w:widowControl w:val="1"/>
              <w:ind w:hanging="108" w:right="28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Вносится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 xml:space="preserve">рокурором </w:t>
            </w:r>
          </w:p>
          <w:p w14:paraId="08000000">
            <w:pPr>
              <w:widowControl w:val="1"/>
              <w:ind w:hanging="108" w:right="28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Республики Саха (Якутия) </w:t>
            </w:r>
          </w:p>
          <w:p w14:paraId="09000000">
            <w:pPr>
              <w:widowControl w:val="1"/>
              <w:ind w:hanging="108" w:right="28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С.Н. </w:t>
            </w:r>
            <w:r>
              <w:rPr>
                <w:rFonts w:ascii="Times New Roman" w:hAnsi="Times New Roman"/>
              </w:rPr>
              <w:t>Дябкиным</w:t>
            </w:r>
          </w:p>
          <w:p w14:paraId="0A000000">
            <w:pPr>
              <w:widowControl w:val="1"/>
              <w:ind w:hanging="108" w:right="-141"/>
              <w:jc w:val="right"/>
              <w:rPr>
                <w:rFonts w:ascii="Times New Roman" w:hAnsi="Times New Roman"/>
              </w:rPr>
            </w:pPr>
          </w:p>
          <w:p w14:paraId="0B000000">
            <w:pPr>
              <w:widowControl w:val="1"/>
              <w:ind w:hanging="108" w:right="-141"/>
              <w:jc w:val="right"/>
              <w:rPr>
                <w:rFonts w:ascii="Times New Roman" w:hAnsi="Times New Roman"/>
              </w:rPr>
            </w:pPr>
          </w:p>
        </w:tc>
      </w:tr>
    </w:tbl>
    <w:p w14:paraId="0C000000">
      <w:pPr>
        <w:widowControl w:val="1"/>
        <w:ind w:right="-141"/>
        <w:jc w:val="center"/>
        <w:rPr>
          <w:rFonts w:ascii="Times New Roman" w:hAnsi="Times New Roman"/>
          <w:sz w:val="28"/>
        </w:rPr>
      </w:pPr>
    </w:p>
    <w:p w14:paraId="0D000000">
      <w:pPr>
        <w:widowControl w:val="1"/>
        <w:ind w:right="-14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</w:p>
    <w:p w14:paraId="0E000000">
      <w:pPr>
        <w:widowControl w:val="1"/>
        <w:ind w:right="-14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ЕСПУБЛИКИ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АХА </w:t>
      </w:r>
      <w:r>
        <w:rPr>
          <w:rFonts w:ascii="Times New Roman" w:hAnsi="Times New Roman"/>
          <w:sz w:val="28"/>
        </w:rPr>
        <w:t>(Я</w:t>
      </w:r>
      <w:r>
        <w:rPr>
          <w:rFonts w:ascii="Times New Roman" w:hAnsi="Times New Roman"/>
          <w:sz w:val="28"/>
        </w:rPr>
        <w:t>КУТИЯ</w:t>
      </w:r>
      <w:r>
        <w:rPr>
          <w:rFonts w:ascii="Times New Roman" w:hAnsi="Times New Roman"/>
          <w:sz w:val="28"/>
        </w:rPr>
        <w:t>)</w:t>
      </w:r>
    </w:p>
    <w:p w14:paraId="0F000000">
      <w:pPr>
        <w:widowControl w:val="1"/>
        <w:ind w:right="-141"/>
        <w:jc w:val="center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before="0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sz w:val="28"/>
        </w:rPr>
        <w:t>РЕСПУБЛИКИ САХА (ЯКУТИЯ)</w:t>
      </w:r>
    </w:p>
    <w:p w14:paraId="11000000">
      <w:pPr>
        <w:pStyle w:val="Style_5"/>
        <w:widowControl w:val="1"/>
        <w:spacing w:line="240" w:lineRule="auto"/>
        <w:ind w:firstLine="0" w:right="-141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before="0" w:line="240" w:lineRule="auto"/>
        <w:ind w:firstLine="540" w:left="0" w:right="0"/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Статья 1. Сфера действия и цели настоящего Закона</w:t>
      </w:r>
      <w:r>
        <w:rPr>
          <w:rFonts w:ascii="Times New Roman" w:hAnsi="Times New Roman"/>
          <w:sz w:val="28"/>
        </w:rPr>
        <w:br/>
      </w:r>
    </w:p>
    <w:p w14:paraId="13000000">
      <w:pPr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color w:val="000000"/>
          <w:sz w:val="28"/>
          <w:u w:val="none"/>
        </w:rPr>
        <w:t>Настоящий Закон в соответствии с Федеральным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законом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от 24 июля 1998 года № 124-ФЗ «Об основных гарантиях прав ребенка в Российской Федерации», Федеральным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законом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от 23 июня 2016 года № 182-ФЗ «Об основах системы профилактики правонарушений в Российской Федерации» и Федеральным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законом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от 10 декабря 1995 года № 196-ФЗ «О безопасности дорожного движения» </w:t>
      </w:r>
      <w:r>
        <w:rPr>
          <w:rFonts w:ascii="Times New Roman" w:hAnsi="Times New Roman"/>
          <w:b w:val="0"/>
          <w:sz w:val="28"/>
        </w:rPr>
        <w:t xml:space="preserve"> в целях защиты жизни и здоровья детей, а также предотвращения дорожно-транспортных происшествий с их участием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устанавливает правовые основы ограничения продажи лицам, не достигшим возраста </w:t>
      </w:r>
      <w:r>
        <w:rPr>
          <w:rFonts w:ascii="Times New Roman" w:hAnsi="Times New Roman"/>
          <w:b w:val="0"/>
          <w:color w:val="000000"/>
          <w:sz w:val="28"/>
          <w:u w:val="none"/>
        </w:rPr>
        <w:t>18 лет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, горюче-смазочных материалов на территории Республики Саха (Якутия), </w:t>
      </w:r>
      <w:r>
        <w:rPr>
          <w:rFonts w:ascii="Times New Roman" w:hAnsi="Times New Roman"/>
          <w:b w:val="0"/>
          <w:sz w:val="28"/>
        </w:rPr>
        <w:t>за исключением случаев продажи топлива при заправке транспортных средств лицам, достигшим 16 лет, имеющим право на управление транспортными средствами</w:t>
      </w:r>
      <w:r>
        <w:rPr>
          <w:rFonts w:ascii="Times New Roman" w:hAnsi="Times New Roman"/>
          <w:b w:val="0"/>
          <w:sz w:val="28"/>
        </w:rPr>
        <w:t>.</w:t>
      </w:r>
    </w:p>
    <w:p w14:paraId="14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</w:p>
    <w:p w14:paraId="15000000">
      <w:pPr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Статья 2. Понятия, используемые в настоящем Законе</w:t>
      </w:r>
    </w:p>
    <w:p w14:paraId="16000000">
      <w:pPr>
        <w:widowControl w:val="1"/>
        <w:spacing w:after="0" w:before="168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1. Под горюче-смазочными материалами в целях настоящего Закона понимается топливо, используемое для заправки транспортных средств.</w:t>
      </w:r>
    </w:p>
    <w:p w14:paraId="17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 xml:space="preserve">2. Под документами, удостоверяющими личность (в том числе документами, удостоверяющими личность иностранного гражданина или лица без гражданства в Российской Федерации) и позволяющими установить возраст </w:t>
      </w:r>
      <w:r>
        <w:rPr>
          <w:rFonts w:ascii="Times New Roman" w:hAnsi="Times New Roman"/>
          <w:b w:val="0"/>
          <w:sz w:val="28"/>
        </w:rPr>
        <w:t>лица, приобретающего горюче-смазочные материалы (далее - покупатель)</w:t>
      </w:r>
      <w:r>
        <w:rPr>
          <w:rFonts w:ascii="Times New Roman" w:hAnsi="Times New Roman"/>
          <w:b w:val="0"/>
          <w:sz w:val="28"/>
        </w:rPr>
        <w:t xml:space="preserve"> в целях настоящего Закона понимаются документы, включенные в перечень документов, удостоверяющих личность </w:t>
      </w:r>
      <w:r>
        <w:rPr>
          <w:rFonts w:ascii="Times New Roman" w:hAnsi="Times New Roman"/>
          <w:b w:val="0"/>
          <w:sz w:val="28"/>
        </w:rPr>
        <w:t xml:space="preserve">(в том числе документ, удостоверяющий личность иностранного гражданина или лица без гражданства в Российской Федерации) и позволяющих установить возраст покупателя </w:t>
      </w:r>
      <w:r>
        <w:rPr>
          <w:rFonts w:ascii="Times New Roman" w:hAnsi="Times New Roman"/>
          <w:b w:val="0"/>
          <w:color w:val="000000"/>
          <w:sz w:val="28"/>
          <w:u w:val="none"/>
        </w:rPr>
        <w:t>или проверить сведения, позволяющие удостоверить личность и установить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возраст покупателя, при их предоставлении покупателем с использованием многофункционального сервиса обмена информацией.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Перечень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соответствующих документов устанавливается уполномоченным Правительством Российской Федерации федеральным органом исполнительной власти.</w:t>
      </w:r>
    </w:p>
    <w:p w14:paraId="18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 Под документом, подтверждающим право на управление транспортными средствами (в том числе документом, подтверждающим право на управление транспортными средствами иностранным гражданином или лицом без гражданства в Российской Федерации), в целях настоящего Закона понимается документ, установленный в качестве подтверждающего право на управление транспортными средствами в соответствии с федеральным законодательством в сфере обеспечения безопасности дорожного движения на территории Российской Федерации.</w:t>
      </w:r>
    </w:p>
    <w:p w14:paraId="19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4.</w:t>
      </w:r>
      <w:r>
        <w:rPr>
          <w:rFonts w:ascii="Times New Roman" w:hAnsi="Times New Roman"/>
          <w:b w:val="0"/>
          <w:sz w:val="28"/>
        </w:rPr>
        <w:t xml:space="preserve"> Иные понятия, используемые в настоящем Законе, применяются в значениях, определенных другими законодательными актами Российской Федерации и Республики Саха (Якутия).</w:t>
      </w:r>
    </w:p>
    <w:p w14:paraId="1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</w:p>
    <w:p w14:paraId="1B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Статья 3. Ограничения на продажу горюче-смазочных материалов на территории Республики Саха (Якутия)</w:t>
      </w:r>
    </w:p>
    <w:p w14:paraId="1C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1D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1. На территории Республики Саха (Якутия) не допускается продажа </w:t>
      </w:r>
      <w:r>
        <w:rPr>
          <w:rFonts w:ascii="Times New Roman" w:hAnsi="Times New Roman"/>
          <w:b w:val="0"/>
          <w:sz w:val="28"/>
        </w:rPr>
        <w:t>горюче-смазочных матери</w:t>
      </w:r>
      <w:r>
        <w:rPr>
          <w:rFonts w:ascii="Times New Roman" w:hAnsi="Times New Roman"/>
          <w:b w:val="0"/>
          <w:sz w:val="28"/>
        </w:rPr>
        <w:t>алов</w:t>
      </w:r>
      <w:r>
        <w:rPr>
          <w:rFonts w:ascii="Times New Roman" w:hAnsi="Times New Roman"/>
          <w:b w:val="0"/>
          <w:sz w:val="28"/>
        </w:rPr>
        <w:t xml:space="preserve"> лицам, не достигшим возраста </w:t>
      </w:r>
      <w:r>
        <w:rPr>
          <w:rFonts w:ascii="Times New Roman" w:hAnsi="Times New Roman"/>
          <w:b w:val="0"/>
          <w:sz w:val="28"/>
        </w:rPr>
        <w:t>18 лет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>за исключением случаев продажи топлива при заправке транспортных средств лицам, достигшим 16 лет, имеющим право на управление транспортными средствами</w:t>
      </w:r>
      <w:r>
        <w:rPr>
          <w:rFonts w:ascii="Times New Roman" w:hAnsi="Times New Roman"/>
          <w:b w:val="0"/>
          <w:sz w:val="28"/>
        </w:rPr>
        <w:t>.</w:t>
      </w:r>
    </w:p>
    <w:p w14:paraId="1E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 В случае возникновения у лица, непосредственно осуществляющего продажу горюче-смазочных материалов </w:t>
      </w:r>
      <w:r>
        <w:rPr>
          <w:rFonts w:ascii="Times New Roman" w:hAnsi="Times New Roman"/>
          <w:b w:val="0"/>
          <w:sz w:val="28"/>
        </w:rPr>
        <w:t>(далее - продавец),</w:t>
      </w:r>
      <w:r>
        <w:rPr>
          <w:rFonts w:ascii="Times New Roman" w:hAnsi="Times New Roman"/>
          <w:b w:val="0"/>
          <w:sz w:val="28"/>
        </w:rPr>
        <w:t xml:space="preserve"> сомнения в достижении </w:t>
      </w:r>
      <w:r>
        <w:rPr>
          <w:rFonts w:ascii="Times New Roman" w:hAnsi="Times New Roman"/>
          <w:b w:val="0"/>
          <w:sz w:val="28"/>
        </w:rPr>
        <w:t>покупателем</w:t>
      </w:r>
      <w:r>
        <w:rPr>
          <w:rFonts w:ascii="Times New Roman" w:hAnsi="Times New Roman"/>
          <w:b w:val="0"/>
          <w:sz w:val="28"/>
        </w:rPr>
        <w:t xml:space="preserve"> возраста </w:t>
      </w:r>
      <w:r>
        <w:rPr>
          <w:rFonts w:ascii="Times New Roman" w:hAnsi="Times New Roman"/>
          <w:b w:val="0"/>
          <w:sz w:val="28"/>
        </w:rPr>
        <w:t>18 лет</w:t>
      </w:r>
      <w:r>
        <w:rPr>
          <w:rFonts w:ascii="Times New Roman" w:hAnsi="Times New Roman"/>
          <w:b w:val="0"/>
          <w:sz w:val="28"/>
        </w:rPr>
        <w:t xml:space="preserve"> продавец обязан потребовать у покупателя документ, удостоверяющий его личность и позволяющий установить возраст покупателя.</w:t>
      </w:r>
    </w:p>
    <w:p w14:paraId="1F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3. В случае, если в отношении покупателя имеются сомнения в достижении им возраста </w:t>
      </w:r>
      <w:r>
        <w:rPr>
          <w:rFonts w:ascii="Times New Roman" w:hAnsi="Times New Roman"/>
          <w:b w:val="0"/>
          <w:sz w:val="28"/>
        </w:rPr>
        <w:t>18 лет</w:t>
      </w:r>
      <w:r>
        <w:rPr>
          <w:rFonts w:ascii="Times New Roman" w:hAnsi="Times New Roman"/>
          <w:b w:val="0"/>
          <w:sz w:val="28"/>
        </w:rPr>
        <w:t xml:space="preserve"> и покупатель не предъявил документ, удостоверяющий его личность и позволяющий установить его возраст, или сведения, позволяющие удостоверить личность и установить возраст покупателя с использованием многофункционального сервиса обмена информацией, не представлены, </w:t>
      </w:r>
      <w:r>
        <w:rPr>
          <w:rFonts w:ascii="Times New Roman" w:hAnsi="Times New Roman"/>
          <w:b w:val="0"/>
          <w:sz w:val="28"/>
        </w:rPr>
        <w:t xml:space="preserve">продавец обязан отказать покупателю в продаже горюче-смазочных материалов. </w:t>
      </w:r>
    </w:p>
    <w:p w14:paraId="20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4. </w:t>
      </w:r>
      <w:r>
        <w:rPr>
          <w:rFonts w:ascii="Times New Roman" w:hAnsi="Times New Roman"/>
          <w:b w:val="0"/>
          <w:sz w:val="28"/>
        </w:rPr>
        <w:t>В случае возникновения у продавца при продаже горюче-смазочных материалов лицам, достигшим 16 лет, сомнения в наличии у покупателя права на управление транспортными средствами продавец обязан потребовать у покупателя документ, подтверждающий право на управление транспортными средствами.</w:t>
      </w:r>
    </w:p>
    <w:p w14:paraId="21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5.</w:t>
      </w:r>
      <w:r>
        <w:rPr>
          <w:rFonts w:ascii="Times New Roman" w:hAnsi="Times New Roman"/>
          <w:b w:val="0"/>
          <w:sz w:val="28"/>
        </w:rPr>
        <w:t xml:space="preserve"> Продавец обязан отказать покупателю в продаже горюче-смазочных материалов при заправке транспортных средств лицам, </w:t>
      </w:r>
      <w:r>
        <w:rPr>
          <w:rFonts w:ascii="Times New Roman" w:hAnsi="Times New Roman"/>
          <w:b w:val="0"/>
          <w:sz w:val="28"/>
        </w:rPr>
        <w:t>достигшим 16 лет</w:t>
      </w:r>
      <w:r>
        <w:rPr>
          <w:rFonts w:ascii="Times New Roman" w:hAnsi="Times New Roman"/>
          <w:b w:val="0"/>
          <w:sz w:val="28"/>
        </w:rPr>
        <w:t>, если в отношении покупателя имеются сомнения в наличии у него права на управление транспортными средствами, а документ, подтверждающий право на управление транспортными средствами, не представлен.</w:t>
      </w:r>
    </w:p>
    <w:p w14:paraId="22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23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Статья 4. Ответственность за нарушение требований настоящего Закона</w:t>
      </w:r>
    </w:p>
    <w:p w14:paraId="24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</w:p>
    <w:p w14:paraId="25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Нарушение запрета на продажу лицам, не достигшим возраста </w:t>
      </w:r>
      <w:r>
        <w:rPr>
          <w:rFonts w:ascii="Times New Roman" w:hAnsi="Times New Roman"/>
          <w:b w:val="0"/>
          <w:sz w:val="28"/>
        </w:rPr>
        <w:t>18 лет</w:t>
      </w:r>
      <w:r>
        <w:rPr>
          <w:rFonts w:ascii="Times New Roman" w:hAnsi="Times New Roman"/>
          <w:b w:val="0"/>
          <w:sz w:val="28"/>
        </w:rPr>
        <w:t xml:space="preserve">, горюче-смазочных материалов, </w:t>
      </w:r>
      <w:r>
        <w:rPr>
          <w:rFonts w:ascii="Times New Roman" w:hAnsi="Times New Roman"/>
          <w:b w:val="0"/>
          <w:sz w:val="28"/>
        </w:rPr>
        <w:t xml:space="preserve">за исключением случаев продажи топлива при заправке транспортных средств лицам, достигшим 16 лет, имеющим право на управление транспортными средствами, </w:t>
      </w:r>
      <w:r>
        <w:rPr>
          <w:rFonts w:ascii="Times New Roman" w:hAnsi="Times New Roman"/>
          <w:b w:val="0"/>
          <w:sz w:val="28"/>
        </w:rPr>
        <w:t>влечет за собой административную ответственность в соответствии с законодательством Республики Саха (Якутия).</w:t>
      </w:r>
    </w:p>
    <w:p w14:paraId="26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</w:p>
    <w:p w14:paraId="27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Статья 5. Порядок вступления в силу настоящего Закона</w:t>
      </w:r>
    </w:p>
    <w:p w14:paraId="2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</w:p>
    <w:p w14:paraId="29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Настоящий Закон вступает в силу с 1 марта 2027 года, но не ранее чем по истечении девяноста дней после дня его официального опубликования.</w:t>
      </w:r>
    </w:p>
    <w:p w14:paraId="2A000000">
      <w:pPr>
        <w:pStyle w:val="Style_6"/>
        <w:widowControl w:val="1"/>
        <w:spacing w:after="0" w:before="0" w:line="240" w:lineRule="auto"/>
        <w:ind w:firstLine="709" w:right="-141"/>
        <w:rPr>
          <w:rFonts w:ascii="Times New Roman" w:hAnsi="Times New Roman"/>
          <w:b w:val="1"/>
          <w:color w:val="000000"/>
          <w:sz w:val="28"/>
        </w:rPr>
      </w:pPr>
    </w:p>
    <w:p w14:paraId="2B000000">
      <w:pPr>
        <w:pStyle w:val="Style_6"/>
        <w:widowControl w:val="1"/>
        <w:spacing w:after="0" w:before="0" w:line="240" w:lineRule="auto"/>
        <w:ind w:firstLine="709" w:right="-141"/>
        <w:rPr>
          <w:rFonts w:ascii="Times New Roman" w:hAnsi="Times New Roman"/>
          <w:b w:val="1"/>
          <w:color w:val="000000"/>
          <w:sz w:val="28"/>
        </w:rPr>
      </w:pPr>
    </w:p>
    <w:p w14:paraId="2C000000">
      <w:pPr>
        <w:pStyle w:val="Style_6"/>
        <w:widowControl w:val="1"/>
        <w:tabs>
          <w:tab w:leader="none" w:pos="5297" w:val="left"/>
        </w:tabs>
        <w:spacing w:after="0" w:before="0" w:line="240" w:lineRule="auto"/>
        <w:ind w:right="-14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</w:p>
    <w:p w14:paraId="2D000000">
      <w:pPr>
        <w:pStyle w:val="Style_6"/>
        <w:widowControl w:val="1"/>
        <w:tabs>
          <w:tab w:leader="none" w:pos="5297" w:val="left"/>
        </w:tabs>
        <w:spacing w:after="0" w:before="0" w:line="240" w:lineRule="auto"/>
        <w:ind w:right="-14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Республики Саха (Якутия)                                                   </w:t>
      </w: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А. НИКОЛАЕВ</w:t>
      </w:r>
    </w:p>
    <w:p w14:paraId="2E000000">
      <w:pPr>
        <w:widowControl w:val="1"/>
        <w:ind w:right="-141"/>
        <w:rPr>
          <w:rFonts w:ascii="Times New Roman" w:hAnsi="Times New Roman"/>
          <w:sz w:val="28"/>
        </w:rPr>
      </w:pPr>
    </w:p>
    <w:p w14:paraId="2F000000">
      <w:pPr>
        <w:widowControl w:val="1"/>
        <w:ind w:right="-141"/>
        <w:rPr>
          <w:rFonts w:ascii="Times New Roman" w:hAnsi="Times New Roman"/>
          <w:sz w:val="28"/>
        </w:rPr>
      </w:pPr>
    </w:p>
    <w:sectPr>
      <w:headerReference r:id="rId1" w:type="first"/>
      <w:footerReference r:id="rId2" w:type="even"/>
      <w:pgSz w:h="16837" w:orient="portrait" w:w="11905"/>
      <w:pgMar w:bottom="1134" w:footer="6" w:gutter="0" w:header="0" w:left="1701" w:right="70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03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2"/>
      <w:lvlText w:val="%1."/>
      <w:lvlJc w:val="left"/>
      <w:pPr>
        <w:widowControl w:val="1"/>
        <w:tabs>
          <w:tab w:leader="none" w:pos="785" w:val="left"/>
        </w:tabs>
        <w:ind w:hanging="360" w:left="785"/>
      </w:pPr>
      <w:rPr>
        <w:color w:val="000000"/>
      </w:r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rFonts w:ascii="Microsoft Sans Serif" w:hAnsi="Microsoft Sans Serif"/>
      <w:color w:val="000000"/>
      <w:sz w:val="24"/>
    </w:rPr>
  </w:style>
  <w:style w:default="1" w:styleId="Style_7_ch" w:type="character">
    <w:name w:val="Normal"/>
    <w:link w:val="Style_7"/>
    <w:rPr>
      <w:rFonts w:ascii="Microsoft Sans Serif" w:hAnsi="Microsoft Sans Serif"/>
      <w:color w:val="000000"/>
      <w:sz w:val="24"/>
    </w:rPr>
  </w:style>
  <w:style w:styleId="Style_8" w:type="paragraph">
    <w:name w:val="toc 2"/>
    <w:next w:val="Style_7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 Знак Знак1"/>
    <w:basedOn w:val="Style_7"/>
    <w:link w:val="Style_12_ch"/>
    <w:pPr>
      <w:widowControl w:val="1"/>
      <w:numPr>
        <w:ilvl w:val="0"/>
        <w:numId w:val="1"/>
      </w:numPr>
      <w:tabs>
        <w:tab w:leader="none" w:pos="709" w:val="left"/>
        <w:tab w:leader="none" w:pos="785" w:val="clear"/>
      </w:tabs>
      <w:spacing w:after="160" w:before="120" w:line="240" w:lineRule="exact"/>
      <w:ind w:hanging="284" w:left="709"/>
      <w:jc w:val="both"/>
    </w:pPr>
    <w:rPr>
      <w:rFonts w:ascii="Verdana" w:hAnsi="Verdana"/>
      <w:color w:val="000000"/>
      <w:sz w:val="20"/>
    </w:rPr>
  </w:style>
  <w:style w:styleId="Style_12_ch" w:type="character">
    <w:name w:val=" Знак Знак1"/>
    <w:basedOn w:val="Style_7_ch"/>
    <w:link w:val="Style_12"/>
    <w:rPr>
      <w:rFonts w:ascii="Verdana" w:hAnsi="Verdana"/>
      <w:color w:val="000000"/>
      <w:sz w:val="20"/>
    </w:rPr>
  </w:style>
  <w:style w:styleId="Style_1" w:type="paragraph">
    <w:name w:val="header"/>
    <w:basedOn w:val="Style_7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7_ch"/>
    <w:link w:val="Style_1"/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7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5" w:type="paragraph">
    <w:name w:val="ConsNormal"/>
    <w:link w:val="Style_5_ch"/>
    <w:pPr>
      <w:widowControl w:val="0"/>
      <w:ind w:firstLine="720"/>
    </w:pPr>
    <w:rPr>
      <w:rFonts w:ascii="Arial" w:hAnsi="Arial"/>
    </w:rPr>
  </w:style>
  <w:style w:styleId="Style_5_ch" w:type="character">
    <w:name w:val="ConsNormal"/>
    <w:link w:val="Style_5"/>
    <w:rPr>
      <w:rFonts w:ascii="Arial" w:hAnsi="Arial"/>
    </w:rPr>
  </w:style>
  <w:style w:styleId="Style_15" w:type="paragraph">
    <w:name w:val="toc 3"/>
    <w:next w:val="Style_7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ConsPlusNonformat"/>
    <w:link w:val="Style_16_ch"/>
    <w:rPr>
      <w:rFonts w:ascii="Courier New" w:hAnsi="Courier New"/>
    </w:rPr>
  </w:style>
  <w:style w:styleId="Style_16_ch" w:type="character">
    <w:name w:val="ConsPlusNonformat"/>
    <w:link w:val="Style_16"/>
    <w:rPr>
      <w:rFonts w:ascii="Courier New" w:hAnsi="Courier New"/>
    </w:rPr>
  </w:style>
  <w:style w:styleId="Style_17" w:type="paragraph">
    <w:name w:val="heading 5"/>
    <w:next w:val="Style_7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7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6" w:type="paragraph">
    <w:name w:val="Body Text"/>
    <w:basedOn w:val="Style_7"/>
    <w:link w:val="Style_6_ch"/>
    <w:pPr>
      <w:widowControl w:val="1"/>
      <w:spacing w:after="240" w:before="720" w:line="329" w:lineRule="exact"/>
      <w:ind/>
      <w:jc w:val="both"/>
    </w:pPr>
    <w:rPr>
      <w:sz w:val="27"/>
    </w:rPr>
  </w:style>
  <w:style w:styleId="Style_6_ch" w:type="character">
    <w:name w:val="Body Text"/>
    <w:basedOn w:val="Style_7_ch"/>
    <w:link w:val="Style_6"/>
    <w:rPr>
      <w:sz w:val="27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7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7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Гипертекстовая ссылка"/>
    <w:link w:val="Style_24_ch"/>
    <w:rPr>
      <w:b w:val="1"/>
      <w:color w:val="106BBE"/>
    </w:rPr>
  </w:style>
  <w:style w:styleId="Style_24_ch" w:type="character">
    <w:name w:val="Гипертекстовая ссылка"/>
    <w:link w:val="Style_24"/>
    <w:rPr>
      <w:b w:val="1"/>
      <w:color w:val="106BBE"/>
    </w:rPr>
  </w:style>
  <w:style w:styleId="Style_25" w:type="paragraph">
    <w:name w:val="toc 8"/>
    <w:next w:val="Style_7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ConsPlusNormal"/>
    <w:link w:val="Style_26_ch"/>
    <w:pPr>
      <w:widowControl w:val="0"/>
      <w:ind w:firstLine="720"/>
    </w:pPr>
    <w:rPr>
      <w:rFonts w:ascii="Arial" w:hAnsi="Arial"/>
    </w:rPr>
  </w:style>
  <w:style w:styleId="Style_26_ch" w:type="character">
    <w:name w:val="ConsPlusNormal"/>
    <w:link w:val="Style_26"/>
    <w:rPr>
      <w:rFonts w:ascii="Arial" w:hAnsi="Arial"/>
    </w:rPr>
  </w:style>
  <w:style w:styleId="Style_27" w:type="paragraph">
    <w:name w:val="toc 5"/>
    <w:next w:val="Style_7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3" w:type="paragraph">
    <w:name w:val="page number"/>
    <w:basedOn w:val="Style_12"/>
    <w:link w:val="Style_3_ch"/>
  </w:style>
  <w:style w:styleId="Style_3_ch" w:type="character">
    <w:name w:val="page number"/>
    <w:basedOn w:val="Style_12_ch"/>
    <w:link w:val="Style_3"/>
  </w:style>
  <w:style w:styleId="Style_28" w:type="paragraph">
    <w:name w:val="Balloon Text"/>
    <w:basedOn w:val="Style_7"/>
    <w:link w:val="Style_28_ch"/>
    <w:rPr>
      <w:rFonts w:ascii="Tahoma" w:hAnsi="Tahoma"/>
      <w:sz w:val="16"/>
    </w:rPr>
  </w:style>
  <w:style w:styleId="Style_28_ch" w:type="character">
    <w:name w:val="Balloon Text"/>
    <w:basedOn w:val="Style_7_ch"/>
    <w:link w:val="Style_28"/>
    <w:rPr>
      <w:rFonts w:ascii="Tahoma" w:hAnsi="Tahoma"/>
      <w:sz w:val="16"/>
    </w:rPr>
  </w:style>
  <w:style w:styleId="Style_29" w:type="paragraph">
    <w:name w:val="Subtitle"/>
    <w:next w:val="Style_7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2" w:type="paragraph">
    <w:name w:val="footer"/>
    <w:basedOn w:val="Style_7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7_ch"/>
    <w:link w:val="Style_2"/>
  </w:style>
  <w:style w:styleId="Style_30" w:type="paragraph">
    <w:name w:val="Title"/>
    <w:next w:val="Style_7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7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7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2026-10-01T07:33:51Z</dcterms:created>
  <dcterms:modified xsi:type="dcterms:W3CDTF">2026-10-01T07:33:51Z</dcterms:modified>
</cp:coreProperties>
</file>