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bookmarkStart w:id="1" w:name="bookmark3"/>
      <w:r>
        <w:rPr>
          <w:rFonts w:ascii="Times New Roman" w:hAnsi="Times New Roman"/>
          <w:color w:val="000000"/>
          <w:sz w:val="28"/>
        </w:rPr>
        <w:t>Приложение</w:t>
      </w:r>
      <w:r>
        <w:rPr>
          <w:rFonts w:ascii="Times New Roman" w:hAnsi="Times New Roman"/>
          <w:color w:val="000000"/>
          <w:sz w:val="28"/>
        </w:rPr>
        <w:t xml:space="preserve"> № 3</w:t>
      </w:r>
    </w:p>
    <w:p w14:paraId="02000000">
      <w:pPr>
        <w:widowControl w:val="1"/>
        <w:ind w:firstLine="0" w:left="2693"/>
        <w:jc w:val="center"/>
        <w:outlineLvl w:val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к </w:t>
      </w:r>
      <w:r>
        <w:rPr>
          <w:rFonts w:ascii="Times New Roman" w:hAnsi="Times New Roman"/>
          <w:color w:val="000000"/>
          <w:sz w:val="28"/>
        </w:rPr>
        <w:t>проекту з</w:t>
      </w:r>
      <w:r>
        <w:rPr>
          <w:rFonts w:ascii="Times New Roman" w:hAnsi="Times New Roman"/>
          <w:color w:val="000000"/>
          <w:sz w:val="28"/>
        </w:rPr>
        <w:t>акон</w:t>
      </w: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 xml:space="preserve"> Республики Саха (Якутия)</w:t>
      </w:r>
    </w:p>
    <w:p w14:paraId="03000000">
      <w:pPr>
        <w:widowControl w:val="1"/>
        <w:ind w:firstLine="0" w:left="2693"/>
        <w:jc w:val="center"/>
        <w:outlineLvl w:val="0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color w:val="000000"/>
          <w:sz w:val="28"/>
        </w:rPr>
        <w:t>»</w:t>
      </w:r>
    </w:p>
    <w:p w14:paraId="04000000">
      <w:pPr>
        <w:widowControl w:val="1"/>
        <w:ind w:firstLine="0" w:left="2693"/>
        <w:jc w:val="center"/>
        <w:rPr>
          <w:rFonts w:ascii="Times New Roman" w:hAnsi="Times New Roman"/>
          <w:b w:val="1"/>
          <w:sz w:val="28"/>
        </w:rPr>
      </w:pPr>
    </w:p>
    <w:p w14:paraId="0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widowControl w:val="1"/>
        <w:spacing w:line="240" w:lineRule="exact"/>
        <w:ind/>
        <w:jc w:val="center"/>
        <w:rPr>
          <w:rFonts w:ascii="Times New Roman" w:hAnsi="Times New Roman"/>
          <w:b w:val="1"/>
          <w:sz w:val="28"/>
        </w:rPr>
      </w:pPr>
      <w:bookmarkEnd w:id="1"/>
      <w:r>
        <w:rPr>
          <w:rFonts w:ascii="Times New Roman" w:hAnsi="Times New Roman"/>
          <w:b w:val="1"/>
          <w:sz w:val="28"/>
        </w:rPr>
        <w:t>ФИНАНСОВО-ЭКОНОМИЧЕСКОЕ ОБОСНОВАНИЕ</w:t>
      </w:r>
    </w:p>
    <w:p w14:paraId="07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</w:t>
      </w:r>
      <w:r>
        <w:rPr>
          <w:rFonts w:ascii="Times New Roman" w:hAnsi="Times New Roman"/>
          <w:b w:val="1"/>
          <w:sz w:val="28"/>
        </w:rPr>
        <w:t xml:space="preserve">ЗАКОНА РЕСПУБЛИКИ САХА (ЯКУТИЯ)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1"/>
          <w:sz w:val="28"/>
        </w:rPr>
        <w:t>РЕСПУБЛИКИ САХА (ЯКУТИЯ)</w:t>
      </w:r>
      <w:r>
        <w:rPr>
          <w:rFonts w:ascii="Times New Roman" w:hAnsi="Times New Roman"/>
          <w:b w:val="1"/>
          <w:sz w:val="28"/>
        </w:rPr>
        <w:t>»</w:t>
      </w:r>
    </w:p>
    <w:p w14:paraId="08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9000000">
      <w:pPr>
        <w:widowControl w:val="1"/>
        <w:ind/>
        <w:jc w:val="both"/>
        <w:rPr>
          <w:rFonts w:ascii="Times New Roman" w:hAnsi="Times New Roman"/>
          <w:sz w:val="28"/>
        </w:rPr>
      </w:pPr>
    </w:p>
    <w:p w14:paraId="0A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Вступление в силу З</w:t>
      </w:r>
      <w:r>
        <w:rPr>
          <w:rFonts w:ascii="Times New Roman" w:hAnsi="Times New Roman"/>
          <w:sz w:val="28"/>
        </w:rPr>
        <w:t>акона Республики Саха (Якутия) «</w:t>
      </w:r>
      <w:r>
        <w:rPr>
          <w:rFonts w:ascii="Times New Roman" w:hAnsi="Times New Roman"/>
          <w:color w:val="000000"/>
          <w:sz w:val="28"/>
        </w:rPr>
        <w:t xml:space="preserve">Об ограничении продажи несовершеннолетним горюче-смазочных материалов на территории </w:t>
      </w:r>
      <w:r>
        <w:rPr>
          <w:rFonts w:ascii="Times New Roman" w:hAnsi="Times New Roman"/>
          <w:b w:val="0"/>
          <w:sz w:val="28"/>
        </w:rPr>
        <w:t xml:space="preserve">Республики </w:t>
      </w:r>
      <w:r>
        <w:rPr>
          <w:rFonts w:ascii="Times New Roman" w:hAnsi="Times New Roman"/>
          <w:b w:val="0"/>
          <w:sz w:val="28"/>
        </w:rPr>
        <w:t>Саха (Якутия)</w:t>
      </w:r>
      <w:r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не </w:t>
      </w:r>
      <w:r>
        <w:rPr>
          <w:rFonts w:ascii="Times New Roman" w:hAnsi="Times New Roman"/>
          <w:sz w:val="28"/>
        </w:rPr>
        <w:t xml:space="preserve">потребует </w:t>
      </w:r>
      <w:r>
        <w:rPr>
          <w:rFonts w:ascii="Times New Roman" w:hAnsi="Times New Roman"/>
          <w:sz w:val="28"/>
        </w:rPr>
        <w:t>дополнительных расходов из государственного бюджета Республики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Саха (Якутия)</w:t>
      </w:r>
      <w:r>
        <w:rPr>
          <w:rFonts w:ascii="Times New Roman" w:hAnsi="Times New Roman"/>
          <w:sz w:val="28"/>
        </w:rPr>
        <w:t>.</w:t>
      </w:r>
    </w:p>
    <w:p w14:paraId="0B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Так, в случае принятия законопроекта будут инициированы мероприятия по </w:t>
      </w:r>
      <w:r>
        <w:rPr>
          <w:rFonts w:ascii="Times New Roman" w:hAnsi="Times New Roman"/>
          <w:b w:val="0"/>
          <w:sz w:val="28"/>
        </w:rPr>
        <w:t xml:space="preserve">внесению изменений в </w:t>
      </w:r>
      <w:r>
        <w:rPr>
          <w:rFonts w:ascii="Times New Roman" w:hAnsi="Times New Roman"/>
          <w:b w:val="0"/>
          <w:sz w:val="28"/>
        </w:rPr>
        <w:t>Кодекс Республики Саха (Якутия) об административных правонарушениях</w:t>
      </w:r>
      <w:r>
        <w:rPr>
          <w:rFonts w:ascii="Times New Roman" w:hAnsi="Times New Roman"/>
          <w:color w:val="000000"/>
          <w:sz w:val="28"/>
        </w:rPr>
        <w:t>», в час</w:t>
      </w:r>
      <w:r>
        <w:rPr>
          <w:rFonts w:ascii="Times New Roman" w:hAnsi="Times New Roman"/>
          <w:color w:val="000000"/>
          <w:sz w:val="28"/>
        </w:rPr>
        <w:t xml:space="preserve">ти введения нормы, предусматривающей ответственность за нарушение запрета продажи </w:t>
      </w:r>
      <w:r>
        <w:rPr>
          <w:rFonts w:ascii="Times New Roman" w:hAnsi="Times New Roman"/>
          <w:b w:val="0"/>
          <w:sz w:val="28"/>
        </w:rPr>
        <w:t>горюче-смазочных матери</w:t>
      </w:r>
      <w:r>
        <w:rPr>
          <w:rFonts w:ascii="Times New Roman" w:hAnsi="Times New Roman"/>
          <w:b w:val="0"/>
          <w:sz w:val="28"/>
        </w:rPr>
        <w:t>алов</w:t>
      </w:r>
      <w:r>
        <w:rPr>
          <w:rFonts w:ascii="Times New Roman" w:hAnsi="Times New Roman"/>
          <w:b w:val="0"/>
          <w:sz w:val="28"/>
        </w:rPr>
        <w:t xml:space="preserve"> лицам, не достигшим возраста </w:t>
      </w:r>
      <w:r>
        <w:rPr>
          <w:rFonts w:ascii="Times New Roman" w:hAnsi="Times New Roman"/>
          <w:b w:val="0"/>
          <w:sz w:val="28"/>
        </w:rPr>
        <w:t>18 лет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за исключением случаев продажи топлива при заправке транспортных средств лицам, достигшим шестнадцатилетнего возраста, имеющим право на управление транспортными средствами, а также определения полно</w:t>
      </w:r>
      <w:r>
        <w:rPr>
          <w:rFonts w:ascii="Times New Roman" w:hAnsi="Times New Roman"/>
          <w:b w:val="0"/>
          <w:sz w:val="28"/>
        </w:rPr>
        <w:t>мочий органов и должностных лиц, уполномоченных составлять протоколы об административных правонарушениях рассматриваемой категории и рассматривать такие дела</w:t>
      </w:r>
      <w:r>
        <w:rPr>
          <w:rFonts w:ascii="Times New Roman" w:hAnsi="Times New Roman"/>
          <w:b w:val="0"/>
          <w:sz w:val="28"/>
        </w:rPr>
        <w:t>.</w:t>
      </w:r>
    </w:p>
    <w:p w14:paraId="0C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Рассмотрение д</w:t>
      </w:r>
      <w:r>
        <w:rPr>
          <w:rFonts w:ascii="Times New Roman" w:hAnsi="Times New Roman"/>
          <w:b w:val="0"/>
          <w:sz w:val="28"/>
        </w:rPr>
        <w:t>ел об административных правонарушениях данной категории будет предложено возложить на а</w:t>
      </w:r>
      <w:r>
        <w:rPr>
          <w:rFonts w:ascii="Times New Roman" w:hAnsi="Times New Roman"/>
          <w:b w:val="0"/>
          <w:sz w:val="28"/>
        </w:rPr>
        <w:t xml:space="preserve">дминистративные комиссии, составление протоколов </w:t>
      </w:r>
      <w:r>
        <w:rPr>
          <w:rFonts w:ascii="Times New Roman" w:hAnsi="Times New Roman"/>
          <w:b w:val="0"/>
          <w:sz w:val="28"/>
        </w:rPr>
        <w:t xml:space="preserve">о таких административных правонарушениях – на  </w:t>
      </w:r>
      <w:r>
        <w:rPr>
          <w:rFonts w:ascii="Times New Roman" w:hAnsi="Times New Roman"/>
          <w:b w:val="0"/>
          <w:sz w:val="28"/>
        </w:rPr>
        <w:t>председателей, заместителей председателя, ответственных секретарей административных комиссий, муниципальных служащих, замещающих должности муниципальной службы в административных комиссиях.</w:t>
      </w:r>
    </w:p>
    <w:p w14:paraId="0D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Статьей 2.9. Кодекса Республики Саха (Якутия)</w:t>
      </w:r>
      <w:r>
        <w:rPr>
          <w:rFonts w:ascii="Times New Roman" w:hAnsi="Times New Roman"/>
          <w:b w:val="0"/>
          <w:sz w:val="28"/>
        </w:rPr>
        <w:t xml:space="preserve"> об административных правонарушениях (далее – КоАП РС (Я)) предусмотрена ответственность за н</w:t>
      </w:r>
      <w:r>
        <w:rPr>
          <w:rFonts w:ascii="Times New Roman" w:hAnsi="Times New Roman"/>
          <w:b w:val="0"/>
          <w:sz w:val="28"/>
        </w:rPr>
        <w:t>арушение запрета продажи несовершеннолетним товаров для личных и бытовых нужд, содержащих сжиженный углеводородный газ, и вовлечения несовершеннолетних</w:t>
      </w:r>
      <w:r>
        <w:rPr>
          <w:rFonts w:ascii="Times New Roman" w:hAnsi="Times New Roman"/>
          <w:b w:val="0"/>
          <w:sz w:val="28"/>
        </w:rPr>
        <w:t xml:space="preserve"> в процесс употребления сжиженного углеводородного газа. </w:t>
      </w:r>
    </w:p>
    <w:p w14:paraId="0E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Согласно статье 14.4 КоАП РС (Я) дела об административных правонарушениях, предусмотренные статьей 2.9 КоАП РС (Я), рассматривают а</w:t>
      </w:r>
      <w:r>
        <w:rPr>
          <w:rFonts w:ascii="Times New Roman" w:hAnsi="Times New Roman"/>
          <w:b w:val="0"/>
          <w:sz w:val="28"/>
        </w:rPr>
        <w:t>дминистративные комиссии. П</w:t>
      </w:r>
      <w:r>
        <w:rPr>
          <w:rFonts w:ascii="Times New Roman" w:hAnsi="Times New Roman"/>
          <w:b w:val="0"/>
          <w:sz w:val="28"/>
        </w:rPr>
        <w:t xml:space="preserve">ротоколы об административных правонарушениях, предусмотренных статьей 2.9 КоАП РС (Я) вправе составлять </w:t>
      </w:r>
      <w:r>
        <w:rPr>
          <w:rFonts w:ascii="Times New Roman" w:hAnsi="Times New Roman"/>
          <w:b w:val="0"/>
          <w:sz w:val="28"/>
        </w:rPr>
        <w:t xml:space="preserve">председатель, заместитель председателя, ответственный секретарь административной комиссии, муниципальные служащие, замещающие должности муниципальной службы в административной комиссии, а также </w:t>
      </w:r>
      <w:r>
        <w:rPr>
          <w:rFonts w:ascii="Times New Roman" w:hAnsi="Times New Roman"/>
          <w:b w:val="0"/>
          <w:sz w:val="28"/>
        </w:rPr>
        <w:t>должностные лица органов местного самоуправления (статья 15.2 КоАП РС(Я)).</w:t>
      </w:r>
    </w:p>
    <w:p w14:paraId="0F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Между тем, в части 3 статьи 14.53 КоАП Российской Федерации предусмотрена ответственность за п</w:t>
      </w:r>
      <w:r>
        <w:rPr>
          <w:rFonts w:ascii="Times New Roman" w:hAnsi="Times New Roman"/>
          <w:b w:val="0"/>
          <w:sz w:val="28"/>
        </w:rPr>
        <w:t>родажу несовершеннолетнему  потенциально опасных газосодержащих товаров бытового назначения, включенных в перечень, утвержденный Правительством Российской Федерации.</w:t>
      </w:r>
    </w:p>
    <w:p w14:paraId="10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Данная ответственность на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федеральном уровне введена и действует с 01.09.2025 в связи с принятием </w:t>
      </w:r>
      <w:r>
        <w:rPr>
          <w:rFonts w:ascii="Times New Roman" w:hAnsi="Times New Roman"/>
          <w:b w:val="0"/>
          <w:sz w:val="28"/>
        </w:rPr>
        <w:t>Федерального закона от 03.02.2025 № 2-ФЗ «</w:t>
      </w:r>
      <w:r>
        <w:rPr>
          <w:rFonts w:ascii="Times New Roman" w:hAnsi="Times New Roman"/>
          <w:b w:val="0"/>
          <w:sz w:val="28"/>
        </w:rPr>
        <w:t xml:space="preserve">О внесении изменений в статью 14.53 Кодекса Российской Федерации об административных правонарушениях» и </w:t>
      </w:r>
      <w:r>
        <w:rPr>
          <w:rFonts w:ascii="Times New Roman" w:hAnsi="Times New Roman"/>
          <w:b w:val="0"/>
          <w:color w:val="000000"/>
          <w:sz w:val="28"/>
          <w:u w:val="none"/>
        </w:rPr>
        <w:t>Федерального закона от 30.11.2024 №438-ФЗ «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О внесении изменений в отдельные законодательные акты Российской Федерации», которым </w:t>
      </w:r>
      <w:r>
        <w:rPr>
          <w:rFonts w:ascii="Times New Roman" w:hAnsi="Times New Roman"/>
          <w:b w:val="0"/>
          <w:color w:val="000000"/>
          <w:sz w:val="28"/>
          <w:u w:val="none"/>
        </w:rPr>
        <w:t>Федеральный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закон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о</w:t>
      </w:r>
      <w:r>
        <w:rPr>
          <w:rFonts w:ascii="Times New Roman" w:hAnsi="Times New Roman"/>
          <w:b w:val="0"/>
          <w:sz w:val="28"/>
        </w:rPr>
        <w:t>т 24.07.1998 № 124-ФЗ «Об основных гарантиях прав ребенка в Российской Федерации» дополнен статьей 10.1, предусматривающей, что в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целях обеспечения прав детей на охрану здоровья от негативного воздействия сжиженных углеводородных газов и (или) их паров запрещается продажа (в том числе дистанционным способом) несовершеннолетним потенциально опасных газосодержащих товаров бытового назначения.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Перечень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>потенциально опасных газосодержащих товаров бытового назначения и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strike w:val="0"/>
          <w:color w:val="000000"/>
          <w:sz w:val="28"/>
          <w:u w:color="000000" w:val="none"/>
        </w:rPr>
        <w:t>порядок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 </w:t>
      </w:r>
      <w:r>
        <w:rPr>
          <w:rFonts w:ascii="Times New Roman" w:hAnsi="Times New Roman"/>
          <w:b w:val="0"/>
          <w:color w:val="000000"/>
          <w:sz w:val="28"/>
          <w:u w:val="none"/>
        </w:rPr>
        <w:t xml:space="preserve">его формирования устанавливаются Правительством Российской </w:t>
      </w:r>
      <w:r>
        <w:rPr>
          <w:rFonts w:ascii="Times New Roman" w:hAnsi="Times New Roman"/>
          <w:b w:val="0"/>
          <w:color w:val="000000"/>
          <w:sz w:val="28"/>
          <w:u w:val="none"/>
        </w:rPr>
        <w:t>Федерации.</w:t>
      </w:r>
    </w:p>
    <w:p w14:paraId="11000000">
      <w:pPr>
        <w:widowControl w:val="1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color w:val="000000"/>
          <w:sz w:val="28"/>
          <w:u w:val="none"/>
        </w:rPr>
        <w:t xml:space="preserve">С учетом изложенного, </w:t>
      </w:r>
      <w:r>
        <w:rPr>
          <w:rFonts w:ascii="Times New Roman" w:hAnsi="Times New Roman"/>
          <w:b w:val="0"/>
          <w:sz w:val="28"/>
        </w:rPr>
        <w:t>Закон Республики Саха (Якутия) от 14.06.2022 2495-З № 901-VI «</w:t>
      </w:r>
      <w:r>
        <w:rPr>
          <w:rFonts w:ascii="Times New Roman" w:hAnsi="Times New Roman"/>
          <w:b w:val="0"/>
          <w:sz w:val="28"/>
        </w:rPr>
        <w:t xml:space="preserve">Об установлении на территории Республики Саха (Якутия) запрета продажи несовершеннолетним товаров для личных и бытовых нужд, содержащих сжиженный углеводородный газ, и вовлечения несовершеннолетних в процесс употребления сжиженного углеводородного газа» и статья 2.9. Кодекса Республики Саха (Якутия) об административных правонарушениях, в части введения ограничений и мер ответственности,  урегулированных на федеральном уровне, подлежат пересмотру (отмене). </w:t>
      </w:r>
    </w:p>
    <w:p w14:paraId="12000000">
      <w:pPr>
        <w:pStyle w:val="Style_1"/>
        <w:widowControl w:val="1"/>
        <w:spacing w:after="0" w:before="0" w:line="240" w:lineRule="auto"/>
        <w:ind w:firstLine="720" w:right="0"/>
        <w:contextualSpacing w:val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В настоящее время профильными комитетами Государственного Собрания (Ил Тумэн) Республики Саха (Якутия) инициирована разработка соответствующих законопроектов, с принятием которых административные комиссии и их должностные лица будут освобождены от рассмотрения </w:t>
      </w:r>
      <w:r>
        <w:rPr>
          <w:rFonts w:ascii="Times New Roman" w:hAnsi="Times New Roman"/>
          <w:b w:val="0"/>
          <w:sz w:val="28"/>
        </w:rPr>
        <w:t xml:space="preserve">дел об административных правонарушениях, предусмотренные статьей 2.9 КоАП РС(Я) (в части </w:t>
      </w:r>
      <w:r>
        <w:rPr>
          <w:rFonts w:ascii="Times New Roman" w:hAnsi="Times New Roman"/>
          <w:b w:val="0"/>
          <w:sz w:val="28"/>
        </w:rPr>
        <w:t>запрета продажи несовершеннолетним товаров для личных и бытовых нужд, содержащих сжиженный углеводородный газ</w:t>
      </w:r>
      <w:r>
        <w:rPr>
          <w:rFonts w:ascii="Times New Roman" w:hAnsi="Times New Roman"/>
          <w:b w:val="0"/>
          <w:sz w:val="28"/>
        </w:rPr>
        <w:t>), и составления п</w:t>
      </w:r>
      <w:r>
        <w:rPr>
          <w:rFonts w:ascii="Times New Roman" w:hAnsi="Times New Roman"/>
          <w:b w:val="0"/>
          <w:sz w:val="28"/>
        </w:rPr>
        <w:t>ротоколов о таких административных правонарушениях.</w:t>
      </w:r>
    </w:p>
    <w:p w14:paraId="13000000">
      <w:pPr>
        <w:widowControl w:val="1"/>
        <w:spacing w:after="0" w:before="0" w:line="240" w:lineRule="auto"/>
        <w:ind w:firstLine="709" w:right="-14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 xml:space="preserve">Соответственно возложение на административные комиссии и их должностных лиц дополнительных полномочий в связи с принятием настоящего законопроекта не </w:t>
      </w:r>
      <w:r>
        <w:rPr>
          <w:rFonts w:ascii="Times New Roman" w:hAnsi="Times New Roman"/>
          <w:sz w:val="28"/>
        </w:rPr>
        <w:t xml:space="preserve">потребует </w:t>
      </w:r>
      <w:r>
        <w:rPr>
          <w:rFonts w:ascii="Times New Roman" w:hAnsi="Times New Roman"/>
          <w:sz w:val="28"/>
        </w:rPr>
        <w:t>дополнительных расходов из государственного бюджета Республики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Саха (Якутия)</w:t>
      </w:r>
      <w:r>
        <w:rPr>
          <w:rFonts w:ascii="Times New Roman" w:hAnsi="Times New Roman"/>
          <w:sz w:val="28"/>
        </w:rPr>
        <w:t>.</w:t>
      </w:r>
    </w:p>
    <w:p w14:paraId="14000000">
      <w:pPr>
        <w:widowControl w:val="1"/>
        <w:spacing w:line="240" w:lineRule="exact"/>
        <w:ind w:firstLine="708"/>
        <w:jc w:val="both"/>
        <w:rPr>
          <w:rFonts w:ascii="Times New Roman" w:hAnsi="Times New Roman"/>
          <w:b w:val="1"/>
          <w:sz w:val="28"/>
        </w:rPr>
      </w:pPr>
    </w:p>
    <w:sectPr>
      <w:pgSz w:h="16838" w:orient="portrait" w:w="11906"/>
      <w:pgMar w:bottom="1134" w:footer="709" w:gutter="0" w:header="709" w:left="1701" w:right="62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19"/>
      <w:lvlText w:val="%1."/>
      <w:lvlJc w:val="left"/>
      <w:pPr>
        <w:widowControl w:val="1"/>
        <w:tabs>
          <w:tab w:leader="none" w:pos="785" w:val="left"/>
        </w:tabs>
        <w:ind w:hanging="360" w:left="785"/>
      </w:pPr>
      <w:rPr>
        <w:color w:val="000000"/>
      </w:rPr>
    </w:lvl>
    <w:lvl w:ilvl="1">
      <w:start w:val="1"/>
      <w:numFmt w:val="decimal"/>
      <w:lvlText w:val="%2."/>
      <w:lvlJc w:val="left"/>
      <w:pPr>
        <w:widowControl w:val="1"/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widowControl w:val="1"/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widowControl w:val="1"/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widowControl w:val="1"/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widowControl w:val="1"/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widowControl w:val="1"/>
        <w:tabs>
          <w:tab w:leader="none" w:pos="6480" w:val="left"/>
        </w:tabs>
        <w:ind w:hanging="36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rPr>
      <w:rFonts w:ascii="Microsoft Sans Serif" w:hAnsi="Microsoft Sans Serif"/>
      <w:color w:val="000000"/>
      <w:sz w:val="24"/>
    </w:rPr>
  </w:style>
  <w:style w:default="1" w:styleId="Style_1_ch" w:type="character">
    <w:name w:val="Normal"/>
    <w:link w:val="Style_1"/>
    <w:rPr>
      <w:rFonts w:ascii="Microsoft Sans Serif" w:hAnsi="Microsoft Sans Serif"/>
      <w:color w:val="000000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Balloon Text"/>
    <w:basedOn w:val="Style_1"/>
    <w:link w:val="Style_11_ch"/>
    <w:rPr>
      <w:rFonts w:ascii="Tahoma" w:hAnsi="Tahoma"/>
      <w:sz w:val="16"/>
    </w:rPr>
  </w:style>
  <w:style w:styleId="Style_11_ch" w:type="character">
    <w:name w:val="Balloon Text"/>
    <w:basedOn w:val="Style_1_ch"/>
    <w:link w:val="Style_11"/>
    <w:rPr>
      <w:rFonts w:ascii="Tahoma" w:hAnsi="Tahoma"/>
      <w:sz w:val="16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ConsPlusNormal"/>
    <w:link w:val="Style_15_ch"/>
    <w:pPr>
      <w:widowControl w:val="0"/>
      <w:ind w:firstLine="720"/>
    </w:pPr>
    <w:rPr>
      <w:rFonts w:ascii="Arial" w:hAnsi="Arial"/>
    </w:rPr>
  </w:style>
  <w:style w:styleId="Style_15_ch" w:type="character">
    <w:name w:val="ConsPlusNormal"/>
    <w:link w:val="Style_15"/>
    <w:rPr>
      <w:rFonts w:ascii="Arial" w:hAnsi="Arial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 Знак Знак1"/>
    <w:basedOn w:val="Style_1"/>
    <w:link w:val="Style_19_ch"/>
    <w:pPr>
      <w:widowControl w:val="1"/>
      <w:numPr>
        <w:ilvl w:val="0"/>
        <w:numId w:val="1"/>
      </w:numPr>
      <w:tabs>
        <w:tab w:leader="none" w:pos="709" w:val="left"/>
        <w:tab w:leader="none" w:pos="785" w:val="clear"/>
      </w:tabs>
      <w:spacing w:after="160" w:before="120" w:line="240" w:lineRule="exact"/>
      <w:ind w:hanging="284" w:left="709"/>
      <w:jc w:val="both"/>
    </w:pPr>
    <w:rPr>
      <w:rFonts w:ascii="Verdana" w:hAnsi="Verdana"/>
      <w:color w:val="000000"/>
      <w:sz w:val="20"/>
    </w:rPr>
  </w:style>
  <w:style w:styleId="Style_19_ch" w:type="character">
    <w:name w:val=" Знак Знак1"/>
    <w:basedOn w:val="Style_1_ch"/>
    <w:link w:val="Style_19"/>
    <w:rPr>
      <w:rFonts w:ascii="Verdana" w:hAnsi="Verdana"/>
      <w:color w:val="000000"/>
      <w:sz w:val="20"/>
    </w:rPr>
  </w:style>
  <w:style w:styleId="Style_20" w:type="paragraph">
    <w:name w:val="Body Text"/>
    <w:basedOn w:val="Style_1"/>
    <w:link w:val="Style_20_ch"/>
    <w:pPr>
      <w:widowControl w:val="1"/>
      <w:spacing w:after="240" w:before="720" w:line="329" w:lineRule="exact"/>
      <w:ind/>
      <w:jc w:val="both"/>
    </w:pPr>
    <w:rPr>
      <w:sz w:val="27"/>
    </w:rPr>
  </w:style>
  <w:style w:styleId="Style_20_ch" w:type="character">
    <w:name w:val="Body Text"/>
    <w:basedOn w:val="Style_1_ch"/>
    <w:link w:val="Style_20"/>
    <w:rPr>
      <w:sz w:val="27"/>
    </w:rPr>
  </w:style>
  <w:style w:styleId="Style_21" w:type="paragraph">
    <w:name w:val="Заголовок №2"/>
    <w:basedOn w:val="Style_1"/>
    <w:link w:val="Style_21_ch"/>
    <w:pPr>
      <w:widowControl w:val="1"/>
      <w:spacing w:after="360" w:before="240" w:line="240" w:lineRule="atLeast"/>
      <w:ind/>
      <w:jc w:val="center"/>
      <w:outlineLvl w:val="1"/>
    </w:pPr>
    <w:rPr>
      <w:rFonts w:ascii="Times New Roman" w:hAnsi="Times New Roman"/>
      <w:b w:val="1"/>
      <w:color w:val="000000"/>
      <w:sz w:val="27"/>
    </w:rPr>
  </w:style>
  <w:style w:styleId="Style_21_ch" w:type="character">
    <w:name w:val="Заголовок №2"/>
    <w:basedOn w:val="Style_1_ch"/>
    <w:link w:val="Style_21"/>
    <w:rPr>
      <w:rFonts w:ascii="Times New Roman" w:hAnsi="Times New Roman"/>
      <w:b w:val="1"/>
      <w:color w:val="000000"/>
      <w:sz w:val="27"/>
    </w:rPr>
  </w:style>
  <w:style w:styleId="Style_22" w:type="paragraph">
    <w:name w:val="toc 5"/>
    <w:next w:val="Style_1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1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1"/>
    <w:link w:val="Style_2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1"/>
    <w:link w:val="Style_2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1"/>
    <w:link w:val="Style_2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styleId="Style_27" w:type="paragraph">
    <w:name w:val="Default Paragraph Font"/>
    <w:link w:val="Style_27_ch"/>
  </w:style>
  <w:style w:styleId="Style_27_ch" w:type="character">
    <w:name w:val="Default Paragraph Font"/>
    <w:link w:val="Style_27"/>
  </w:style>
  <w:style w:styleId="Style_28" w:type="table">
    <w:name w:val="Table Grid"/>
    <w:basedOn w:val="Style_29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2026-10-01T00:40:18Z</dcterms:created>
  <dcterms:modified xsi:type="dcterms:W3CDTF">2026-10-01T07:38:38Z</dcterms:modified>
</cp:coreProperties>
</file>