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bookmarkStart w:id="1" w:name="bookmark3"/>
      <w:r>
        <w:rPr>
          <w:rFonts w:ascii="Times New Roman" w:hAnsi="Times New Roman"/>
          <w:color w:val="000000"/>
          <w:sz w:val="28"/>
        </w:rPr>
        <w:t>Приложение</w:t>
      </w:r>
      <w:r>
        <w:rPr>
          <w:rFonts w:ascii="Times New Roman" w:hAnsi="Times New Roman"/>
          <w:color w:val="000000"/>
          <w:sz w:val="28"/>
        </w:rPr>
        <w:t xml:space="preserve"> № 1</w:t>
      </w:r>
    </w:p>
    <w:p w14:paraId="04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color w:val="000000"/>
          <w:sz w:val="28"/>
        </w:rPr>
        <w:t>проекту з</w:t>
      </w:r>
      <w:r>
        <w:rPr>
          <w:rFonts w:ascii="Times New Roman" w:hAnsi="Times New Roman"/>
          <w:color w:val="000000"/>
          <w:sz w:val="28"/>
        </w:rPr>
        <w:t>акон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Республики Саха (Якутия)</w:t>
      </w:r>
    </w:p>
    <w:p w14:paraId="05000000">
      <w:pPr>
        <w:widowControl w:val="1"/>
        <w:ind w:firstLine="0" w:left="2693"/>
        <w:jc w:val="center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color w:val="000000"/>
          <w:sz w:val="28"/>
        </w:rPr>
        <w:t>»</w:t>
      </w:r>
    </w:p>
    <w:p w14:paraId="06000000">
      <w:pPr>
        <w:widowControl w:val="1"/>
        <w:ind w:firstLine="0" w:left="2693"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sz w:val="28"/>
        </w:rPr>
      </w:pPr>
      <w:bookmarkEnd w:id="1"/>
      <w:r>
        <w:rPr>
          <w:rFonts w:ascii="Times New Roman" w:hAnsi="Times New Roman"/>
          <w:b w:val="1"/>
          <w:sz w:val="28"/>
        </w:rPr>
        <w:t>ПОЯСНИТЕЛЬНАЯ ЗАПИСКА</w:t>
      </w:r>
    </w:p>
    <w:p w14:paraId="09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 ПРОЕКТУ ЗАКОНА РЕСПУБЛИКИ САХА (</w:t>
      </w:r>
      <w:r>
        <w:rPr>
          <w:rFonts w:ascii="Times New Roman" w:hAnsi="Times New Roman"/>
          <w:b w:val="1"/>
          <w:color w:val="000000"/>
          <w:sz w:val="28"/>
        </w:rPr>
        <w:t xml:space="preserve">ЯКУТИЯ) </w:t>
      </w: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1"/>
          <w:sz w:val="28"/>
        </w:rPr>
        <w:t>РЕСПУБЛИКИ САХА (ЯКУТИЯ)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A000000">
      <w:pPr>
        <w:widowControl w:val="1"/>
        <w:spacing w:line="240" w:lineRule="exact"/>
        <w:ind/>
        <w:jc w:val="both"/>
        <w:rPr>
          <w:rFonts w:ascii="Times New Roman" w:hAnsi="Times New Roman"/>
          <w:b w:val="1"/>
          <w:sz w:val="28"/>
        </w:rPr>
      </w:pPr>
    </w:p>
    <w:p w14:paraId="0B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закона </w:t>
      </w:r>
      <w:r>
        <w:rPr>
          <w:rFonts w:ascii="Times New Roman" w:hAnsi="Times New Roman"/>
          <w:color w:val="000000"/>
          <w:sz w:val="28"/>
        </w:rPr>
        <w:t xml:space="preserve">Республики Саха (Якутия)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color w:val="000000"/>
          <w:sz w:val="28"/>
        </w:rPr>
        <w:t xml:space="preserve">» разработан с целью </w:t>
      </w:r>
      <w:r>
        <w:rPr>
          <w:rFonts w:ascii="Times New Roman" w:hAnsi="Times New Roman"/>
          <w:b w:val="0"/>
          <w:sz w:val="28"/>
        </w:rPr>
        <w:t>защиты жизни и здоровья детей, а также предотвращения дорожно-транспортных происшествий с их участием.</w:t>
      </w:r>
    </w:p>
    <w:p w14:paraId="0C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силу положений </w:t>
      </w:r>
      <w:r>
        <w:rPr>
          <w:rFonts w:ascii="Times New Roman" w:hAnsi="Times New Roman"/>
          <w:b w:val="0"/>
          <w:sz w:val="28"/>
        </w:rPr>
        <w:t>Федерального закона от 24.07.1998 № 124-ФЗ «</w:t>
      </w:r>
      <w:r>
        <w:rPr>
          <w:rFonts w:ascii="Times New Roman" w:hAnsi="Times New Roman"/>
          <w:b w:val="0"/>
          <w:sz w:val="28"/>
        </w:rPr>
        <w:t>Об основных гарантиях прав ребенка в Российской Федерации» государственная политика в интересах детей является приоритетной, нацелена на защиту детей от факторов, негативно влияющих на их физическое, интеллектуальное, психическое, духовное и нравственное развитие, и основана, в том числе на принципе ответственности юридических лиц, должностных лиц, граждан за нарушение прав и законных интересов детей, причинение им вреда.</w:t>
      </w:r>
    </w:p>
    <w:p w14:paraId="0D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наступлением весенне-летнего периода несовершеннолетние, не имея прав на управление транспортными средствами, как единолично, так и в  составе групп выезжают на мопедах, мотоциклах, питбайках и пр. на дороги населенных пунктов и за их пределы, подвергая опасности свою жизнь и здоровье, и создавая угрозу другим участникам дорожного движения. </w:t>
      </w:r>
    </w:p>
    <w:p w14:paraId="0E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Эта ситуация, усугубляется ежегодно. </w:t>
      </w:r>
    </w:p>
    <w:p w14:paraId="0F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Так,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 xml:space="preserve">о информации Министерства внутренних дел по Республике Саха (Якутия) с начала 2026 года (на 16.09.2026) зарегистрировано </w:t>
      </w:r>
      <w:r>
        <w:rPr>
          <w:rFonts w:ascii="Times New Roman" w:hAnsi="Times New Roman"/>
          <w:b w:val="0"/>
          <w:color w:val="000000"/>
          <w:sz w:val="28"/>
        </w:rPr>
        <w:t>34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дорожно-транспортных происшествия (далее – ДТП) с участием несовершеннолетних водителей мотоциклов, в результате которых пострадал 41 человек, погибло – 0. </w:t>
      </w:r>
      <w:r>
        <w:rPr>
          <w:rFonts w:ascii="Times New Roman" w:hAnsi="Times New Roman"/>
          <w:color w:val="000000"/>
          <w:sz w:val="28"/>
        </w:rPr>
        <w:t>В 2025 году на автодорогах республики с участием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несовершеннолетних, управляющих мототехникой, в том числе </w:t>
      </w:r>
      <w:r>
        <w:rPr>
          <w:rFonts w:ascii="Times New Roman" w:hAnsi="Times New Roman"/>
          <w:color w:val="000000"/>
          <w:sz w:val="28"/>
        </w:rPr>
        <w:t>питбайками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зарегистрировано 23</w:t>
      </w:r>
      <w:r>
        <w:rPr>
          <w:rFonts w:ascii="Times New Roman" w:hAnsi="Times New Roman"/>
          <w:color w:val="000000"/>
          <w:sz w:val="28"/>
        </w:rPr>
        <w:t xml:space="preserve"> ДТП, при которых погибли 3 несовершеннолетних и 24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получили травмы (2024 – 20 ДТП, погибло - 0, получили травмы - 30; 2023 – 12 ДТП, погибло</w:t>
      </w:r>
      <w:r>
        <w:rPr>
          <w:rFonts w:ascii="Times New Roman" w:hAnsi="Times New Roman"/>
          <w:color w:val="000000"/>
          <w:sz w:val="28"/>
        </w:rPr>
        <w:t xml:space="preserve"> - </w:t>
      </w:r>
      <w:r>
        <w:rPr>
          <w:rFonts w:ascii="Times New Roman" w:hAnsi="Times New Roman"/>
          <w:color w:val="000000"/>
          <w:sz w:val="28"/>
        </w:rPr>
        <w:t>0, получили травмы – 17).</w:t>
      </w:r>
    </w:p>
    <w:p w14:paraId="10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2026 году за управление мототехникой несовершеннолетними, не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имеющими права управления транспортными средствами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возбуждено 107 дел об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административных правонарушениях по части 1 статьи 12.7 КоАП РФ (2025 - 266, 2024 – 239, 2023 – 227). </w:t>
      </w:r>
    </w:p>
    <w:p w14:paraId="11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</w:p>
    <w:p w14:paraId="12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</w:p>
    <w:p w14:paraId="13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sz w:val="28"/>
        </w:rPr>
        <w:t>В 2026 году за управление мототехникой несовершеннолетними, 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имеющими права управления транспортными средствами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возбуждено 107 дел об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административных правонарушениях по части 1 статьи 12.7 КоАП РФ (2025 – 266, 2024 – 239, 2023 – 227). П</w:t>
      </w:r>
      <w:r>
        <w:rPr>
          <w:rFonts w:ascii="Times New Roman" w:hAnsi="Times New Roman"/>
          <w:sz w:val="28"/>
        </w:rPr>
        <w:t>о нарушениям 12 главы КоАП РФ несовершеннолетними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комиссии по делам несовершеннолетних и защите их прав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законных представителей органами полиции направлено 256 дел об административном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правонарушении по статье 5.35 КоАП РФ (2025 – 319, 2024 - 252, 2023 – 229).</w:t>
      </w:r>
    </w:p>
    <w:p w14:paraId="14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информации Министерства транспорта и дорожного хозяйства Республики Саха (Якутия) в республике наблюдается устойчивый рост ДТП с участием несовершеннолетних, в осо</w:t>
      </w:r>
      <w:r>
        <w:rPr>
          <w:rFonts w:ascii="Times New Roman" w:hAnsi="Times New Roman"/>
          <w:sz w:val="28"/>
        </w:rPr>
        <w:t>бенности в сельских и отдаленных населенных пунктах. Зафиксированы случаи, когда дети, управляя мототехникой, создавали угрозу как для себя, так и для других участников дорожного движения.</w:t>
      </w:r>
    </w:p>
    <w:p w14:paraId="15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в республике имеется 182 автозаправочные станции (далее - АЗС), в том числе: АЗС</w:t>
      </w:r>
      <w:r>
        <w:rPr>
          <w:rFonts w:ascii="Times New Roman" w:hAnsi="Times New Roman"/>
          <w:sz w:val="28"/>
        </w:rPr>
        <w:t xml:space="preserve"> – 127, автоматических АЗС – 8, контейнерных АЗС – 39, модульных АЗС – 3, автомобильных газозаправочных станций – 4, нефтепродуктозаправочных станций – 1.</w:t>
      </w:r>
    </w:p>
    <w:p w14:paraId="16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 федеральном уровне отсутствует законодательное регулирование запретов продажи несовершеннолетним горюче-смазочных материалов.</w:t>
      </w:r>
    </w:p>
    <w:p w14:paraId="17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 постановлением Конституционного суда Российской Федерации от 09.07.2002 № 12-П отсутствие соответствующего федерального закона по вопросам совместного ведения само по себе не препятствует субъекту Российской Федерации принять собственный нормативный акт, который после принятия федерального закона должен быть приведен в соответствие с ним.</w:t>
      </w:r>
    </w:p>
    <w:p w14:paraId="18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Согласно части 5 статьи 4</w:t>
      </w:r>
      <w:r>
        <w:rPr>
          <w:rFonts w:ascii="Times New Roman" w:hAnsi="Times New Roman"/>
          <w:sz w:val="28"/>
        </w:rPr>
        <w:t xml:space="preserve">4 </w:t>
      </w:r>
      <w:r>
        <w:rPr>
          <w:rFonts w:ascii="Times New Roman" w:hAnsi="Times New Roman"/>
          <w:b w:val="0"/>
          <w:sz w:val="28"/>
        </w:rPr>
        <w:t>Федерального закона от 21.12.2021 № 414-ФЗ «</w:t>
      </w:r>
      <w:r>
        <w:rPr>
          <w:rFonts w:ascii="Times New Roman" w:hAnsi="Times New Roman"/>
          <w:b w:val="0"/>
          <w:sz w:val="28"/>
        </w:rPr>
        <w:t>Об общих принципах организации публичной власти в субъектах Российской Федерации»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законов.</w:t>
      </w:r>
    </w:p>
    <w:p w14:paraId="19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правоприменительной практики показало, что в ряде субъектов России (Приморский край, Чувашская Республика, Республика Татарстан, Кемеровская область, Яро</w:t>
      </w:r>
      <w:r>
        <w:rPr>
          <w:rFonts w:ascii="Times New Roman" w:hAnsi="Times New Roman"/>
          <w:sz w:val="28"/>
        </w:rPr>
        <w:t>славская область, Астраханская область, Кировская область, Костромская область и др.) действуют законы, предусматривающие ограничения для лиц, н</w:t>
      </w:r>
      <w:r>
        <w:rPr>
          <w:rFonts w:ascii="Times New Roman" w:hAnsi="Times New Roman"/>
          <w:sz w:val="28"/>
        </w:rPr>
        <w:t xml:space="preserve">е достигших </w:t>
      </w:r>
      <w:r>
        <w:rPr>
          <w:rFonts w:ascii="Times New Roman" w:hAnsi="Times New Roman"/>
          <w:sz w:val="28"/>
        </w:rPr>
        <w:t>18-ти лет</w:t>
      </w:r>
      <w:r>
        <w:rPr>
          <w:rFonts w:ascii="Times New Roman" w:hAnsi="Times New Roman"/>
          <w:sz w:val="28"/>
        </w:rPr>
        <w:t>, свободного приобретения ГСМ для заправки транспортных средств, что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позволяет исключить их из участия в дорожном движении, минимизируя случаи травмирования и смерти детей в результате ДТП.</w:t>
      </w:r>
    </w:p>
    <w:p w14:paraId="1A000000">
      <w:pPr>
        <w:pStyle w:val="Style_2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В зависимости от региона, за несоблюдение ограничения розничной продажи детям горюче-смазочных материалов предусмотрено наказание в виде</w:t>
      </w:r>
      <w:r>
        <w:rPr>
          <w:rFonts w:ascii="Times New Roman" w:hAnsi="Times New Roman"/>
          <w:b w:val="0"/>
          <w:sz w:val="28"/>
        </w:rPr>
        <w:t xml:space="preserve"> наложения административного штрафа:</w:t>
      </w:r>
    </w:p>
    <w:p w14:paraId="1B000000">
      <w:pPr>
        <w:pStyle w:val="Style_2"/>
        <w:widowControl w:val="1"/>
        <w:numPr>
          <w:ilvl w:val="0"/>
          <w:numId w:val="1"/>
        </w:numPr>
        <w:spacing w:after="0" w:before="0" w:line="240" w:lineRule="auto"/>
        <w:ind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на граждан в размере от 1 тыс. рублей до 5 тыс. рублей; </w:t>
      </w:r>
    </w:p>
    <w:p w14:paraId="1C00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на должностных лиц - 5 тыс. рублей до 50 тыс. рублей; </w:t>
      </w:r>
    </w:p>
    <w:p w14:paraId="1D000000">
      <w:pPr>
        <w:pStyle w:val="Style_2"/>
        <w:widowControl w:val="1"/>
        <w:numPr>
          <w:ilvl w:val="0"/>
          <w:numId w:val="2"/>
        </w:numPr>
        <w:spacing w:after="0" w:before="0" w:line="240" w:lineRule="auto"/>
        <w:ind w:righ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на юридических лиц - 10 тыс. рублей до 150 тыс. рублей.</w:t>
      </w:r>
    </w:p>
    <w:p w14:paraId="1E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Протоколы об административных правонарушениях, как правило, </w:t>
      </w:r>
      <w:r>
        <w:rPr>
          <w:rFonts w:ascii="Times New Roman" w:hAnsi="Times New Roman"/>
          <w:b w:val="0"/>
          <w:sz w:val="28"/>
        </w:rPr>
        <w:t xml:space="preserve">вправе составлять </w:t>
      </w:r>
      <w:r>
        <w:rPr>
          <w:rFonts w:ascii="Times New Roman" w:hAnsi="Times New Roman"/>
          <w:b w:val="0"/>
          <w:sz w:val="28"/>
        </w:rPr>
        <w:t>должностные лица органов местного самоуправления, являющиеся членами административных комиссий. Рассмотрение дел данной категории возложено на административные комиссии.</w:t>
      </w:r>
    </w:p>
    <w:p w14:paraId="1F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В случае принятия законопроекта будут инициированы мероприятия по  </w:t>
      </w:r>
      <w:r>
        <w:rPr>
          <w:rFonts w:ascii="Times New Roman" w:hAnsi="Times New Roman"/>
          <w:b w:val="0"/>
          <w:sz w:val="28"/>
        </w:rPr>
        <w:t xml:space="preserve">внесению изменений в </w:t>
      </w:r>
      <w:r>
        <w:rPr>
          <w:rFonts w:ascii="Times New Roman" w:hAnsi="Times New Roman"/>
          <w:b w:val="0"/>
          <w:sz w:val="28"/>
        </w:rPr>
        <w:t>Кодекс Р</w:t>
      </w:r>
      <w:r>
        <w:rPr>
          <w:rFonts w:ascii="Times New Roman" w:hAnsi="Times New Roman"/>
          <w:b w:val="0"/>
          <w:sz w:val="28"/>
        </w:rPr>
        <w:t>еспублики Саха (Якутия) об административных правонарушениях</w:t>
      </w:r>
      <w:r>
        <w:rPr>
          <w:rFonts w:ascii="Times New Roman" w:hAnsi="Times New Roman"/>
          <w:color w:val="000000"/>
          <w:sz w:val="28"/>
        </w:rPr>
        <w:t xml:space="preserve">», в части введения нормы, предусматривающей ответственность за нарушение запрета продажи </w:t>
      </w:r>
      <w:r>
        <w:rPr>
          <w:rFonts w:ascii="Times New Roman" w:hAnsi="Times New Roman"/>
          <w:b w:val="0"/>
          <w:sz w:val="28"/>
        </w:rPr>
        <w:t>горюче-смазочных матери</w:t>
      </w:r>
      <w:r>
        <w:rPr>
          <w:rFonts w:ascii="Times New Roman" w:hAnsi="Times New Roman"/>
          <w:b w:val="0"/>
          <w:sz w:val="28"/>
        </w:rPr>
        <w:t>алов</w:t>
      </w:r>
      <w:r>
        <w:rPr>
          <w:rFonts w:ascii="Times New Roman" w:hAnsi="Times New Roman"/>
          <w:b w:val="0"/>
          <w:sz w:val="28"/>
        </w:rPr>
        <w:t xml:space="preserve"> лицам, не достигшим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средствами, а также определения пол</w:t>
      </w:r>
      <w:r>
        <w:rPr>
          <w:rFonts w:ascii="Times New Roman" w:hAnsi="Times New Roman"/>
          <w:b w:val="0"/>
          <w:sz w:val="28"/>
        </w:rPr>
        <w:t>номочий органов и должностных лиц, уполномоченных составлять протоколы об административных правонарушениях рассматриваемой категории и рассматривать такие дела</w:t>
      </w:r>
      <w:r>
        <w:rPr>
          <w:rFonts w:ascii="Times New Roman" w:hAnsi="Times New Roman"/>
          <w:b w:val="0"/>
          <w:sz w:val="28"/>
        </w:rPr>
        <w:t>.</w:t>
      </w:r>
    </w:p>
    <w:p w14:paraId="20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Рассмотрение д</w:t>
      </w:r>
      <w:r>
        <w:rPr>
          <w:rFonts w:ascii="Times New Roman" w:hAnsi="Times New Roman"/>
          <w:b w:val="0"/>
          <w:sz w:val="28"/>
        </w:rPr>
        <w:t>ел об административных правонарушениях данной категории будет предложено возложить на а</w:t>
      </w:r>
      <w:r>
        <w:rPr>
          <w:rFonts w:ascii="Times New Roman" w:hAnsi="Times New Roman"/>
          <w:b w:val="0"/>
          <w:sz w:val="28"/>
        </w:rPr>
        <w:t xml:space="preserve">дминистративные комиссии, составление протоколов </w:t>
      </w:r>
      <w:r>
        <w:rPr>
          <w:rFonts w:ascii="Times New Roman" w:hAnsi="Times New Roman"/>
          <w:b w:val="0"/>
          <w:sz w:val="28"/>
        </w:rPr>
        <w:t xml:space="preserve">о таких административных правонарушениях – на  </w:t>
      </w:r>
      <w:r>
        <w:rPr>
          <w:rFonts w:ascii="Times New Roman" w:hAnsi="Times New Roman"/>
          <w:b w:val="0"/>
          <w:sz w:val="28"/>
        </w:rPr>
        <w:t>председателей, заместителей председателя, ответственных секретарей административных комиссий, муниципальных служащих, замещающих должности муниципальной службы в административных комиссиях.</w:t>
      </w:r>
    </w:p>
    <w:p w14:paraId="21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 горюче-смазочными материалами в законопроекте предлагается понимать топливо, используемое для заправки транспортных средств.</w:t>
      </w:r>
    </w:p>
    <w:p w14:paraId="22000000">
      <w:pPr>
        <w:widowControl w:val="1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Под документами, удостоверяющими личность (в том числе документами, удостоверяющими личность иностранного гражданина или лица без гражданства в Р</w:t>
      </w:r>
      <w:r>
        <w:rPr>
          <w:rFonts w:ascii="Times New Roman" w:hAnsi="Times New Roman"/>
          <w:b w:val="0"/>
          <w:sz w:val="28"/>
        </w:rPr>
        <w:t xml:space="preserve">оссийской Федерации) и позволяющими установить возраст покупателя горюче-смазочных материалов в целях настоящего Закона понимаются документы, включенные в перечень документов, удостоверяющих личность </w:t>
      </w:r>
      <w:r>
        <w:rPr>
          <w:rFonts w:ascii="Times New Roman" w:hAnsi="Times New Roman"/>
          <w:b w:val="0"/>
          <w:sz w:val="28"/>
        </w:rPr>
        <w:t xml:space="preserve">(в том числе документ, удостоверяющий личность иностранного гражданина или лица без гражданства в Российской Федерации) и позволяющих установить возраст покупателя </w:t>
      </w:r>
      <w:r>
        <w:rPr>
          <w:rFonts w:ascii="Times New Roman" w:hAnsi="Times New Roman"/>
          <w:b w:val="0"/>
          <w:color w:val="000000"/>
          <w:sz w:val="28"/>
          <w:u w:val="none"/>
        </w:rPr>
        <w:t>или проверить сведения, позволяющие удостоверить личность и установить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возраст покупателя, при их предоставлении покупателем с использованием многофункционального сервиса обмена информацией.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Перечень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соответствующих документов устанавливается уполномоченным Правительством Российской Федерации федеральным органом исполнительной власти.</w:t>
      </w:r>
    </w:p>
    <w:p w14:paraId="23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В частности,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b w:val="0"/>
          <w:sz w:val="28"/>
        </w:rPr>
        <w:t>риказом Минздрава России от 20.02.2</w:t>
      </w:r>
      <w:r>
        <w:rPr>
          <w:rFonts w:ascii="Times New Roman" w:hAnsi="Times New Roman"/>
          <w:b w:val="0"/>
          <w:sz w:val="28"/>
        </w:rPr>
        <w:t>021 № 130н в такой перечень включены: п</w:t>
      </w:r>
      <w:r>
        <w:rPr>
          <w:rFonts w:ascii="Times New Roman" w:hAnsi="Times New Roman"/>
          <w:b w:val="0"/>
          <w:sz w:val="28"/>
        </w:rPr>
        <w:t>аспорт гражданина Российской Федерации, п</w:t>
      </w:r>
      <w:r>
        <w:rPr>
          <w:rFonts w:ascii="Times New Roman" w:hAnsi="Times New Roman"/>
          <w:b w:val="0"/>
          <w:sz w:val="28"/>
        </w:rPr>
        <w:t>аспорт гражданина Российской Федерации, удостоверяющий личность гражданина Российской Федерации за пределами территории Российской Федерации, в</w:t>
      </w:r>
      <w:r>
        <w:rPr>
          <w:rFonts w:ascii="Times New Roman" w:hAnsi="Times New Roman"/>
          <w:b w:val="0"/>
          <w:sz w:val="28"/>
        </w:rPr>
        <w:t>ременное удостоверение личности гражданина Российской Федерации, п</w:t>
      </w:r>
      <w:r>
        <w:rPr>
          <w:rFonts w:ascii="Times New Roman" w:hAnsi="Times New Roman"/>
          <w:b w:val="0"/>
          <w:sz w:val="28"/>
        </w:rPr>
        <w:t>аспорт моряка (удостоверение личности моряка), д</w:t>
      </w:r>
      <w:r>
        <w:rPr>
          <w:rFonts w:ascii="Times New Roman" w:hAnsi="Times New Roman"/>
          <w:b w:val="0"/>
          <w:sz w:val="28"/>
        </w:rPr>
        <w:t>ипломатический паспорт, с</w:t>
      </w:r>
      <w:r>
        <w:rPr>
          <w:rFonts w:ascii="Times New Roman" w:hAnsi="Times New Roman"/>
          <w:b w:val="0"/>
          <w:sz w:val="28"/>
        </w:rPr>
        <w:t>лужебный паспорт, у</w:t>
      </w:r>
      <w:r>
        <w:rPr>
          <w:rFonts w:ascii="Times New Roman" w:hAnsi="Times New Roman"/>
          <w:b w:val="0"/>
          <w:sz w:val="28"/>
        </w:rPr>
        <w:t>достоверение личности военнослужащего или военный билет, п</w:t>
      </w:r>
      <w:r>
        <w:rPr>
          <w:rFonts w:ascii="Times New Roman" w:hAnsi="Times New Roman"/>
          <w:b w:val="0"/>
          <w:sz w:val="28"/>
        </w:rPr>
        <w:t>аспорт иностранного гражданина, в</w:t>
      </w:r>
      <w:r>
        <w:rPr>
          <w:rFonts w:ascii="Times New Roman" w:hAnsi="Times New Roman"/>
          <w:b w:val="0"/>
          <w:sz w:val="28"/>
        </w:rPr>
        <w:t>ид на жительство в Российской Федерации, р</w:t>
      </w:r>
      <w:r>
        <w:rPr>
          <w:rFonts w:ascii="Times New Roman" w:hAnsi="Times New Roman"/>
          <w:b w:val="0"/>
          <w:sz w:val="28"/>
        </w:rPr>
        <w:t>азрешение на временное проживание в Российской Федерации, уд</w:t>
      </w:r>
      <w:r>
        <w:rPr>
          <w:rFonts w:ascii="Times New Roman" w:hAnsi="Times New Roman"/>
          <w:b w:val="0"/>
          <w:sz w:val="28"/>
        </w:rPr>
        <w:t>остоверение беженца, с</w:t>
      </w:r>
      <w:r>
        <w:rPr>
          <w:rFonts w:ascii="Times New Roman" w:hAnsi="Times New Roman"/>
          <w:b w:val="0"/>
          <w:sz w:val="28"/>
        </w:rPr>
        <w:t>видетельство о предоставлении временного убежища на территории Российской Федерации, в</w:t>
      </w:r>
      <w:r>
        <w:rPr>
          <w:rFonts w:ascii="Times New Roman" w:hAnsi="Times New Roman"/>
          <w:b w:val="0"/>
          <w:sz w:val="28"/>
        </w:rPr>
        <w:t>одительское удостоверение.</w:t>
      </w:r>
    </w:p>
    <w:p w14:paraId="24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учетом положен</w:t>
      </w:r>
      <w:r>
        <w:rPr>
          <w:rFonts w:ascii="Times New Roman" w:hAnsi="Times New Roman"/>
          <w:b w:val="0"/>
          <w:sz w:val="28"/>
        </w:rPr>
        <w:t xml:space="preserve">ий </w:t>
      </w:r>
      <w:r>
        <w:rPr>
          <w:rFonts w:ascii="Times New Roman" w:hAnsi="Times New Roman"/>
          <w:b w:val="0"/>
          <w:sz w:val="28"/>
        </w:rPr>
        <w:t>Федерального закона от 31.07.2020 № 247-ФЗ «</w:t>
      </w:r>
      <w:r>
        <w:rPr>
          <w:rFonts w:ascii="Times New Roman" w:hAnsi="Times New Roman"/>
          <w:b w:val="0"/>
          <w:sz w:val="28"/>
        </w:rPr>
        <w:t>Об обязательных требованиях в Российской Федерации» предлагается следующий п</w:t>
      </w:r>
      <w:r>
        <w:rPr>
          <w:rFonts w:ascii="Times New Roman" w:hAnsi="Times New Roman"/>
          <w:b w:val="0"/>
          <w:sz w:val="28"/>
        </w:rPr>
        <w:t xml:space="preserve">орядок вступления в силу законодательного акта - </w:t>
      </w:r>
      <w:r>
        <w:rPr>
          <w:rFonts w:ascii="Times New Roman" w:hAnsi="Times New Roman"/>
          <w:b w:val="0"/>
          <w:sz w:val="28"/>
        </w:rPr>
        <w:t>с 01 марта 2027 года, но не ранее чем по истечении девяноста дней после дня его официального опубликования.</w:t>
      </w:r>
    </w:p>
    <w:p w14:paraId="25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Поскольку эксплуатация мототранспорта невозможно без топлива, п</w:t>
      </w:r>
      <w:r>
        <w:rPr>
          <w:rFonts w:ascii="Times New Roman" w:hAnsi="Times New Roman"/>
          <w:b w:val="0"/>
          <w:sz w:val="28"/>
        </w:rPr>
        <w:t xml:space="preserve">ринятие Закона </w:t>
      </w:r>
      <w:r>
        <w:rPr>
          <w:rFonts w:ascii="Times New Roman" w:hAnsi="Times New Roman"/>
          <w:color w:val="000000"/>
          <w:sz w:val="28"/>
        </w:rPr>
        <w:t xml:space="preserve">Республики Саха (Якутия)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позволит сократить </w:t>
      </w:r>
      <w:r>
        <w:rPr>
          <w:rFonts w:ascii="Times New Roman" w:hAnsi="Times New Roman"/>
          <w:sz w:val="28"/>
        </w:rPr>
        <w:t>случаи травм</w:t>
      </w:r>
      <w:r>
        <w:rPr>
          <w:rFonts w:ascii="Times New Roman" w:hAnsi="Times New Roman"/>
          <w:sz w:val="28"/>
        </w:rPr>
        <w:t>ирования и смерти детей и иных участников дорожного движения в результате ДТП.</w:t>
      </w:r>
    </w:p>
    <w:sectPr>
      <w:headerReference r:id="rId1" w:type="default"/>
      <w:pgSz w:h="16838" w:orient="portrait" w:w="11906"/>
      <w:pgMar w:bottom="1134" w:footer="709" w:gutter="0" w:header="709" w:left="1701" w:right="624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spacing w:val="0"/>
                            </w:rPr>
                          </w:pPr>
                          <w:r>
                            <w:rPr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pStyle w:val="Style_13"/>
      <w:lvlText w:val="%1."/>
      <w:lvlJc w:val="left"/>
      <w:pPr>
        <w:widowControl w:val="1"/>
        <w:tabs>
          <w:tab w:leader="none" w:pos="785" w:val="left"/>
        </w:tabs>
        <w:ind w:hanging="360" w:left="785"/>
      </w:pPr>
      <w:rPr>
        <w:color w:val="000000"/>
      </w:r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Microsoft Sans Serif" w:hAnsi="Microsoft Sans Serif"/>
      <w:color w:val="000000"/>
      <w:sz w:val="24"/>
    </w:rPr>
  </w:style>
  <w:style w:default="1" w:styleId="Style_2_ch" w:type="character">
    <w:name w:val="Normal"/>
    <w:link w:val="Style_2"/>
    <w:rPr>
      <w:rFonts w:ascii="Microsoft Sans Serif" w:hAnsi="Microsoft Sans Serif"/>
      <w:color w:val="000000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Заголовок №2"/>
    <w:basedOn w:val="Style_2"/>
    <w:link w:val="Style_9_ch"/>
    <w:pPr>
      <w:widowControl w:val="1"/>
      <w:spacing w:after="360" w:before="240" w:line="240" w:lineRule="atLeast"/>
      <w:ind/>
      <w:jc w:val="center"/>
      <w:outlineLvl w:val="1"/>
    </w:pPr>
    <w:rPr>
      <w:rFonts w:ascii="Times New Roman" w:hAnsi="Times New Roman"/>
      <w:b w:val="1"/>
      <w:color w:val="000000"/>
      <w:sz w:val="27"/>
    </w:rPr>
  </w:style>
  <w:style w:styleId="Style_9_ch" w:type="character">
    <w:name w:val="Заголовок №2"/>
    <w:basedOn w:val="Style_2_ch"/>
    <w:link w:val="Style_9"/>
    <w:rPr>
      <w:rFonts w:ascii="Times New Roman" w:hAnsi="Times New Roman"/>
      <w:b w:val="1"/>
      <w:color w:val="000000"/>
      <w:sz w:val="27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ConsPlusNormal"/>
    <w:link w:val="Style_11_ch"/>
    <w:pPr>
      <w:widowControl w:val="0"/>
      <w:ind w:firstLine="720"/>
    </w:pPr>
    <w:rPr>
      <w:rFonts w:ascii="Arial" w:hAnsi="Arial"/>
    </w:rPr>
  </w:style>
  <w:style w:styleId="Style_11_ch" w:type="character">
    <w:name w:val="ConsPlusNormal"/>
    <w:link w:val="Style_11"/>
    <w:rPr>
      <w:rFonts w:ascii="Arial" w:hAnsi="Arial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 Знак Знак1"/>
    <w:basedOn w:val="Style_2"/>
    <w:link w:val="Style_13_ch"/>
    <w:pPr>
      <w:widowControl w:val="1"/>
      <w:numPr>
        <w:ilvl w:val="0"/>
        <w:numId w:val="3"/>
      </w:numPr>
      <w:tabs>
        <w:tab w:leader="none" w:pos="709" w:val="left"/>
        <w:tab w:leader="none" w:pos="785" w:val="clear"/>
      </w:tabs>
      <w:spacing w:after="160" w:before="120" w:line="240" w:lineRule="exact"/>
      <w:ind w:hanging="284" w:left="709"/>
      <w:jc w:val="both"/>
    </w:pPr>
    <w:rPr>
      <w:rFonts w:ascii="Verdana" w:hAnsi="Verdana"/>
      <w:color w:val="000000"/>
      <w:sz w:val="20"/>
    </w:rPr>
  </w:style>
  <w:style w:styleId="Style_13_ch" w:type="character">
    <w:name w:val=" Знак Знак1"/>
    <w:basedOn w:val="Style_2_ch"/>
    <w:link w:val="Style_13"/>
    <w:rPr>
      <w:rFonts w:ascii="Verdana" w:hAnsi="Verdana"/>
      <w:color w:val="000000"/>
      <w:sz w:val="20"/>
    </w:rPr>
  </w:style>
  <w:style w:styleId="Style_14" w:type="paragraph">
    <w:name w:val="heading 1"/>
    <w:next w:val="Style_2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Balloon Text"/>
    <w:basedOn w:val="Style_2"/>
    <w:link w:val="Style_22_ch"/>
    <w:rPr>
      <w:rFonts w:ascii="Tahoma" w:hAnsi="Tahoma"/>
      <w:sz w:val="16"/>
    </w:rPr>
  </w:style>
  <w:style w:styleId="Style_22_ch" w:type="character">
    <w:name w:val="Balloon Text"/>
    <w:basedOn w:val="Style_2_ch"/>
    <w:link w:val="Style_22"/>
    <w:rPr>
      <w:rFonts w:ascii="Tahoma" w:hAnsi="Tahoma"/>
      <w:sz w:val="16"/>
    </w:rPr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Body Text"/>
    <w:basedOn w:val="Style_2"/>
    <w:link w:val="Style_24_ch"/>
    <w:pPr>
      <w:widowControl w:val="1"/>
      <w:spacing w:after="240" w:before="720" w:line="329" w:lineRule="exact"/>
      <w:ind/>
      <w:jc w:val="both"/>
    </w:pPr>
    <w:rPr>
      <w:sz w:val="27"/>
    </w:rPr>
  </w:style>
  <w:style w:styleId="Style_24_ch" w:type="character">
    <w:name w:val="Body Text"/>
    <w:basedOn w:val="Style_2_ch"/>
    <w:link w:val="Style_24"/>
    <w:rPr>
      <w:sz w:val="27"/>
    </w:rPr>
  </w:style>
  <w:style w:styleId="Style_25" w:type="paragraph">
    <w:name w:val="Title"/>
    <w:next w:val="Style_2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2026-10-01T00:33:00Z</dcterms:created>
  <dcterms:modified xsi:type="dcterms:W3CDTF">2026-10-01T07:38:02Z</dcterms:modified>
</cp:coreProperties>
</file>