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0"/>
        <w:ind/>
        <w:jc w:val="right"/>
        <w:outlineLvl w:val="1"/>
        <w:rPr>
          <w:sz w:val="28"/>
        </w:rPr>
      </w:pPr>
      <w:bookmarkStart w:id="1" w:name="_GoBack"/>
      <w:bookmarkEnd w:id="1"/>
    </w:p>
    <w:p w14:paraId="02000000">
      <w:pPr>
        <w:widowControl w:val="0"/>
        <w:spacing w:line="276" w:lineRule="auto"/>
        <w:ind w:firstLine="709"/>
        <w:jc w:val="center"/>
        <w:rPr>
          <w:rFonts w:ascii="PT Astra Serif" w:hAnsi="PT Astra Serif"/>
        </w:rPr>
      </w:pPr>
      <w:r>
        <w:rPr>
          <w:rFonts w:ascii="PT Astra Serif" w:hAnsi="PT Astra Serif"/>
        </w:rPr>
        <w:t>СВОДНЫЙ ОТЧЕТ</w:t>
      </w:r>
    </w:p>
    <w:p w14:paraId="03000000">
      <w:pPr>
        <w:widowControl w:val="0"/>
        <w:spacing w:line="276" w:lineRule="auto"/>
        <w:ind w:firstLine="709"/>
        <w:jc w:val="center"/>
        <w:rPr>
          <w:rFonts w:ascii="PT Astra Serif" w:hAnsi="PT Astra Serif"/>
        </w:rPr>
      </w:pPr>
      <w:r>
        <w:rPr>
          <w:rFonts w:ascii="PT Astra Serif" w:hAnsi="PT Astra Serif"/>
        </w:rPr>
        <w:t>о результатах проведения оценки регулирующего</w:t>
      </w:r>
    </w:p>
    <w:p w14:paraId="04000000">
      <w:pPr>
        <w:widowControl w:val="0"/>
        <w:spacing w:line="276" w:lineRule="auto"/>
        <w:ind w:firstLine="709"/>
        <w:jc w:val="center"/>
        <w:rPr>
          <w:rFonts w:ascii="PT Astra Serif" w:hAnsi="PT Astra Serif"/>
        </w:rPr>
      </w:pPr>
      <w:r>
        <w:rPr>
          <w:rFonts w:ascii="PT Astra Serif" w:hAnsi="PT Astra Serif"/>
        </w:rPr>
        <w:t>воздействия проекта нормативного правового акта</w:t>
      </w:r>
    </w:p>
    <w:p w14:paraId="05000000">
      <w:pPr>
        <w:widowControl w:val="0"/>
        <w:spacing w:line="276" w:lineRule="auto"/>
        <w:ind w:firstLine="709"/>
        <w:jc w:val="both"/>
        <w:rPr>
          <w:rFonts w:ascii="PT Astra Serif" w:hAnsi="PT Astra Serif"/>
        </w:rPr>
      </w:pPr>
    </w:p>
    <w:p w14:paraId="06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1.</w:t>
      </w:r>
      <w:r>
        <w:rPr>
          <w:rFonts w:ascii="PT Astra Serif" w:hAnsi="PT Astra Serif"/>
          <w:b w:val="1"/>
        </w:rPr>
        <w:tab/>
      </w:r>
      <w:r>
        <w:rPr>
          <w:rFonts w:ascii="PT Astra Serif" w:hAnsi="PT Astra Serif"/>
          <w:b w:val="1"/>
        </w:rPr>
        <w:t>Общая информация</w:t>
      </w:r>
    </w:p>
    <w:p w14:paraId="07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1.1.</w:t>
      </w:r>
      <w:r>
        <w:rPr>
          <w:rFonts w:ascii="PT Astra Serif" w:hAnsi="PT Astra Serif"/>
          <w:u w:val="single"/>
        </w:rPr>
        <w:tab/>
      </w:r>
      <w:r>
        <w:rPr>
          <w:rFonts w:ascii="PT Astra Serif" w:hAnsi="PT Astra Serif"/>
          <w:u w:val="single"/>
        </w:rPr>
        <w:t>Орган-разработчик:</w:t>
      </w:r>
      <w:r>
        <w:rPr>
          <w:rFonts w:ascii="PT Astra Serif" w:hAnsi="PT Astra Serif"/>
        </w:rPr>
        <w:t xml:space="preserve"> </w:t>
      </w:r>
    </w:p>
    <w:p w14:paraId="08000000">
      <w:pPr>
        <w:widowControl w:val="0"/>
        <w:tabs>
          <w:tab w:leader="none" w:pos="1134" w:val="left"/>
        </w:tabs>
        <w:spacing w:line="276" w:lineRule="auto"/>
        <w:ind w:firstLine="709"/>
        <w:jc w:val="both"/>
        <w:rPr>
          <w:rFonts w:ascii="PT Astra Serif" w:hAnsi="PT Astra Serif"/>
        </w:rPr>
      </w:pPr>
      <w:r>
        <w:rPr>
          <w:rFonts w:ascii="PT Astra Serif" w:hAnsi="PT Astra Serif"/>
        </w:rPr>
        <w:t>Министерство жилищно-коммунального хозяйства и энергетики Республики Саха (Якутия)</w:t>
      </w:r>
    </w:p>
    <w:p w14:paraId="09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1.2.</w:t>
      </w:r>
      <w:r>
        <w:rPr>
          <w:rFonts w:ascii="PT Astra Serif" w:hAnsi="PT Astra Serif"/>
          <w:u w:val="single"/>
        </w:rPr>
        <w:tab/>
      </w:r>
      <w:r>
        <w:rPr>
          <w:rFonts w:ascii="PT Astra Serif" w:hAnsi="PT Astra Serif"/>
          <w:u w:val="single"/>
        </w:rPr>
        <w:t xml:space="preserve">Вид и наименование проекта нормативного правового акта: </w:t>
      </w:r>
    </w:p>
    <w:p w14:paraId="0A000000">
      <w:pPr>
        <w:widowControl w:val="0"/>
        <w:tabs>
          <w:tab w:leader="none" w:pos="1134" w:val="left"/>
        </w:tabs>
        <w:spacing w:line="276" w:lineRule="auto"/>
        <w:ind w:firstLine="709"/>
        <w:jc w:val="both"/>
        <w:rPr>
          <w:rFonts w:ascii="PT Astra Serif" w:hAnsi="PT Astra Serif"/>
        </w:rPr>
      </w:pPr>
      <w:r>
        <w:rPr>
          <w:rFonts w:ascii="PT Astra Serif" w:hAnsi="PT Astra Serif"/>
          <w:u w:val="none"/>
        </w:rPr>
        <w:t>Приказ министерства жилищно-коммунального хозяйства и энергетики Республики Саха (Якутия)</w:t>
      </w:r>
      <w:r>
        <w:rPr>
          <w:rFonts w:ascii="PT Astra Serif" w:hAnsi="PT Astra Serif"/>
          <w:b w:val="0"/>
          <w:sz w:val="24"/>
          <w:u w:val="none"/>
        </w:rPr>
        <w:t xml:space="preserve"> </w:t>
      </w:r>
      <w:r>
        <w:rPr>
          <w:rFonts w:ascii="PT Astra Serif" w:hAnsi="PT Astra Serif"/>
          <w:b w:val="0"/>
          <w:sz w:val="24"/>
        </w:rPr>
        <w:t>«</w:t>
      </w:r>
      <w:r>
        <w:rPr>
          <w:rFonts w:ascii="PT Astra Serif" w:hAnsi="PT Astra Serif"/>
          <w:b w:val="0"/>
          <w:sz w:val="24"/>
        </w:rPr>
        <w:t xml:space="preserve">Об утверждении порядка </w:t>
      </w:r>
      <w:r>
        <w:rPr>
          <w:rFonts w:ascii="PT Astra Serif" w:hAnsi="PT Astra Serif"/>
          <w:b w:val="0"/>
          <w:sz w:val="24"/>
        </w:rPr>
        <w:t xml:space="preserve">предоставления субсидий из </w:t>
      </w:r>
      <w:r>
        <w:rPr>
          <w:rFonts w:ascii="PT Astra Serif" w:hAnsi="PT Astra Serif"/>
          <w:b w:val="0"/>
          <w:sz w:val="24"/>
        </w:rPr>
        <w:t xml:space="preserve">государственного бюджета Республики Саха (Якутия) на возмещение затрат хозяйствующим субъектам на уплату ими лизинговых </w:t>
      </w:r>
      <w:r>
        <w:rPr>
          <w:rFonts w:ascii="PT Astra Serif" w:hAnsi="PT Astra Serif"/>
          <w:b w:val="0"/>
          <w:sz w:val="24"/>
        </w:rPr>
        <w:t>платежей, возникающи</w:t>
      </w:r>
      <w:r>
        <w:rPr>
          <w:rFonts w:ascii="PT Astra Serif" w:hAnsi="PT Astra Serif"/>
          <w:b w:val="0"/>
          <w:sz w:val="24"/>
        </w:rPr>
        <w:t>х при приобретении комплексных модульных очистных сооружений (КОС)»</w:t>
      </w:r>
    </w:p>
    <w:p w14:paraId="0B000000">
      <w:pPr>
        <w:widowControl w:val="0"/>
        <w:tabs>
          <w:tab w:leader="none" w:pos="1134" w:val="left"/>
        </w:tabs>
        <w:spacing w:line="276" w:lineRule="auto"/>
        <w:ind w:firstLine="709"/>
        <w:jc w:val="both"/>
        <w:rPr>
          <w:rFonts w:ascii="PT Astra Serif" w:hAnsi="PT Astra Serif"/>
          <w:color w:val="000000"/>
          <w:u w:val="single"/>
        </w:rPr>
      </w:pPr>
      <w:r>
        <w:rPr>
          <w:rFonts w:ascii="PT Astra Serif" w:hAnsi="PT Astra Serif"/>
          <w:color w:val="000000"/>
          <w:u w:val="single"/>
        </w:rPr>
        <w:t>1.3</w:t>
      </w:r>
      <w:r>
        <w:rPr>
          <w:rFonts w:ascii="PT Astra Serif" w:hAnsi="PT Astra Serif"/>
          <w:color w:val="000000"/>
          <w:u w:val="single"/>
        </w:rPr>
        <w:t>.</w:t>
      </w:r>
      <w:r>
        <w:rPr>
          <w:rFonts w:ascii="PT Astra Serif" w:hAnsi="PT Astra Serif"/>
          <w:color w:val="000000"/>
          <w:u w:val="single"/>
        </w:rPr>
        <w:tab/>
      </w:r>
      <w:r>
        <w:rPr>
          <w:rFonts w:ascii="PT Astra Serif" w:hAnsi="PT Astra Serif"/>
          <w:color w:val="000000"/>
          <w:u w:val="single"/>
        </w:rPr>
        <w:t>Краткое описание содержания предлагаемого правового регулирования</w:t>
      </w:r>
      <w:r>
        <w:rPr>
          <w:rFonts w:ascii="PT Astra Serif" w:hAnsi="PT Astra Serif"/>
          <w:color w:val="000000"/>
          <w:u w:val="single"/>
        </w:rPr>
        <w:t>, основание дл</w:t>
      </w:r>
      <w:r>
        <w:rPr>
          <w:rFonts w:ascii="PT Astra Serif" w:hAnsi="PT Astra Serif"/>
          <w:color w:val="000000"/>
          <w:u w:val="single"/>
        </w:rPr>
        <w:t>я</w:t>
      </w:r>
      <w:r>
        <w:rPr>
          <w:rFonts w:ascii="PT Astra Serif" w:hAnsi="PT Astra Serif"/>
          <w:color w:val="000000"/>
          <w:u w:val="single"/>
        </w:rPr>
        <w:t xml:space="preserve"> разработки проекта нормативного правового акта</w:t>
      </w:r>
      <w:r>
        <w:rPr>
          <w:rFonts w:ascii="PT Astra Serif" w:hAnsi="PT Astra Serif"/>
          <w:color w:val="000000"/>
          <w:u w:val="single"/>
        </w:rPr>
        <w:t xml:space="preserve">: </w:t>
      </w:r>
    </w:p>
    <w:p w14:paraId="0C000000">
      <w:pPr>
        <w:widowControl w:val="0"/>
        <w:tabs>
          <w:tab w:leader="none" w:pos="1134" w:val="left"/>
        </w:tabs>
        <w:spacing w:line="276" w:lineRule="auto"/>
        <w:ind w:firstLine="709"/>
        <w:jc w:val="both"/>
        <w:rPr>
          <w:rFonts w:ascii="PT Astra Serif" w:hAnsi="PT Astra Serif"/>
          <w:sz w:val="24"/>
          <w:u w:val="none"/>
        </w:rPr>
      </w:pPr>
      <w:r>
        <w:rPr>
          <w:rFonts w:ascii="Times New Roman" w:hAnsi="Times New Roman"/>
          <w:sz w:val="24"/>
        </w:rPr>
        <w:t>Приведение в соответствие в связи с изменениями в п</w:t>
      </w:r>
      <w:r>
        <w:rPr>
          <w:rFonts w:ascii="Times New Roman" w:hAnsi="Times New Roman"/>
          <w:sz w:val="24"/>
        </w:rPr>
        <w:t>ункте 2 постановления Правительства Республики Саха (Якутия) от 1 июля 2026 г. № 245 «Об исполнительных органах государственной власти Республики Саха (Якутия), уполномоченных на принятие актов, устанавливающих порядки предоставления субсидий, в том числе грантов в форме субсидий, указанных в пунктах 1 и 7 статьи 78, пунктах 2 и 4 статьи 78.1 Бюджетного кодекса Российской Федерации, и отбора получателей указанных субсидий, в</w:t>
      </w:r>
      <w:r>
        <w:rPr>
          <w:rFonts w:ascii="Times New Roman" w:hAnsi="Times New Roman"/>
          <w:sz w:val="24"/>
        </w:rPr>
        <w:t xml:space="preserve"> том числе грантов в форме субсидий».</w:t>
      </w:r>
    </w:p>
    <w:p w14:paraId="0D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1.4</w:t>
      </w:r>
      <w:r>
        <w:rPr>
          <w:rFonts w:ascii="PT Astra Serif" w:hAnsi="PT Astra Serif"/>
          <w:u w:val="single"/>
        </w:rPr>
        <w:t>.</w:t>
      </w:r>
      <w:r>
        <w:rPr>
          <w:rFonts w:ascii="PT Astra Serif" w:hAnsi="PT Astra Serif"/>
          <w:u w:val="single"/>
        </w:rPr>
        <w:tab/>
      </w:r>
      <w:r>
        <w:rPr>
          <w:rFonts w:ascii="PT Astra Serif" w:hAnsi="PT Astra Serif"/>
          <w:u w:val="single"/>
        </w:rPr>
        <w:t>Контактная информация исполнителя в органе-разработчике:</w:t>
      </w:r>
    </w:p>
    <w:p w14:paraId="0E000000">
      <w:pPr>
        <w:widowControl w:val="0"/>
        <w:spacing w:line="276" w:lineRule="auto"/>
        <w:ind w:firstLine="709"/>
        <w:jc w:val="both"/>
        <w:rPr>
          <w:rFonts w:ascii="PT Astra Serif" w:hAnsi="PT Astra Serif"/>
        </w:rPr>
      </w:pPr>
      <w:r>
        <w:rPr>
          <w:rFonts w:ascii="PT Astra Serif" w:hAnsi="PT Astra Serif"/>
        </w:rPr>
        <w:t xml:space="preserve">Ф.И.О: </w:t>
      </w:r>
      <w:r>
        <w:rPr>
          <w:rFonts w:ascii="PT Astra Serif" w:hAnsi="PT Astra Serif"/>
          <w:u w:val="none"/>
        </w:rPr>
        <w:t xml:space="preserve"> Ушницкая Снежанна Германовна                                                                                           </w:t>
      </w:r>
      <w:r>
        <w:rPr>
          <w:rFonts w:ascii="PT Astra Serif" w:hAnsi="PT Astra Serif"/>
          <w:u w:val="none"/>
        </w:rPr>
        <w:t xml:space="preserve"> </w:t>
      </w:r>
    </w:p>
    <w:p w14:paraId="0F000000">
      <w:pPr>
        <w:widowControl w:val="0"/>
        <w:spacing w:line="276" w:lineRule="auto"/>
        <w:ind w:firstLine="709"/>
        <w:jc w:val="both"/>
        <w:rPr>
          <w:rFonts w:ascii="PT Astra Serif" w:hAnsi="PT Astra Serif"/>
        </w:rPr>
      </w:pPr>
      <w:r>
        <w:rPr>
          <w:rFonts w:ascii="PT Astra Serif" w:hAnsi="PT Astra Serif"/>
        </w:rPr>
        <w:t xml:space="preserve">Должность: </w:t>
      </w:r>
      <w:r>
        <w:rPr>
          <w:rFonts w:ascii="PT Astra Serif" w:hAnsi="PT Astra Serif"/>
          <w:u w:val="single"/>
        </w:rPr>
        <w:t xml:space="preserve">главный специалист ДККиГС Министерства ЖКХ и энергетики РС(Я)            </w:t>
      </w:r>
    </w:p>
    <w:p w14:paraId="10000000">
      <w:pPr>
        <w:widowControl w:val="0"/>
        <w:spacing w:line="276" w:lineRule="auto"/>
        <w:ind w:firstLine="709"/>
        <w:jc w:val="both"/>
        <w:rPr>
          <w:rFonts w:ascii="PT Astra Serif" w:hAnsi="PT Astra Serif"/>
        </w:rPr>
      </w:pPr>
      <w:r>
        <w:rPr>
          <w:rFonts w:ascii="PT Astra Serif" w:hAnsi="PT Astra Serif"/>
        </w:rPr>
        <w:t xml:space="preserve">Телефон: </w:t>
      </w:r>
      <w:r>
        <w:rPr>
          <w:rFonts w:ascii="PT Astra Serif" w:hAnsi="PT Astra Serif"/>
          <w:u w:val="single"/>
        </w:rPr>
        <w:t xml:space="preserve">8 (4112) 506-884                                                                                                             </w:t>
      </w:r>
    </w:p>
    <w:p w14:paraId="11000000">
      <w:pPr>
        <w:widowControl w:val="0"/>
        <w:spacing w:line="276" w:lineRule="auto"/>
        <w:ind w:firstLine="709"/>
        <w:jc w:val="both"/>
        <w:rPr>
          <w:rFonts w:ascii="PT Astra Serif" w:hAnsi="PT Astra Serif"/>
        </w:rPr>
      </w:pPr>
      <w:r>
        <w:rPr>
          <w:rFonts w:ascii="PT Astra Serif" w:hAnsi="PT Astra Serif"/>
        </w:rPr>
        <w:t>А</w:t>
      </w:r>
      <w:r>
        <w:rPr>
          <w:rFonts w:ascii="PT Astra Serif" w:hAnsi="PT Astra Serif"/>
        </w:rPr>
        <w:t xml:space="preserve">дрес электронной почты: </w:t>
      </w:r>
      <w:r>
        <w:rPr>
          <w:rStyle w:val="Style_1_ch"/>
        </w:rPr>
        <w:fldChar w:fldCharType="begin"/>
      </w:r>
      <w:r>
        <w:rPr>
          <w:rStyle w:val="Style_1_ch"/>
        </w:rPr>
        <w:instrText>HYPERLINK "mailto:ushnickaya.sg@sakha.gov.ru"</w:instrText>
      </w:r>
      <w:r>
        <w:rPr>
          <w:rStyle w:val="Style_1_ch"/>
        </w:rPr>
        <w:fldChar w:fldCharType="separate"/>
      </w:r>
      <w:r>
        <w:rPr>
          <w:rStyle w:val="Style_1_ch"/>
        </w:rPr>
        <w:t>ushnickaya.sg@sakha.gov.ru</w:t>
      </w:r>
      <w:r>
        <w:rPr>
          <w:rStyle w:val="Style_1_ch"/>
        </w:rPr>
        <w:fldChar w:fldCharType="end"/>
      </w:r>
      <w:r>
        <w:t xml:space="preserve"> </w:t>
      </w:r>
    </w:p>
    <w:p w14:paraId="12000000">
      <w:pPr>
        <w:widowControl w:val="0"/>
        <w:spacing w:line="276" w:lineRule="auto"/>
        <w:ind w:firstLine="709"/>
        <w:jc w:val="both"/>
        <w:rPr>
          <w:rFonts w:ascii="PT Astra Serif" w:hAnsi="PT Astra Serif"/>
        </w:rPr>
      </w:pPr>
      <w:r>
        <w:rPr>
          <w:rFonts w:ascii="PT Astra Serif" w:hAnsi="PT Astra Serif"/>
          <w:b w:val="1"/>
        </w:rPr>
        <w:t xml:space="preserve">2. </w:t>
      </w:r>
      <w:r>
        <w:rPr>
          <w:rFonts w:ascii="PT Astra Serif" w:hAnsi="PT Astra Serif"/>
          <w:b w:val="1"/>
        </w:rPr>
        <w:t>Степень регулирующего воздействия проекта нормативного правового акта</w:t>
      </w:r>
      <w:r>
        <w:rPr>
          <w:rFonts w:ascii="PT Astra Serif" w:hAnsi="PT Astra Serif"/>
          <w:b w:val="1"/>
        </w:rPr>
        <w:t xml:space="preserve">, анализ регулируемых проектов нормативного правового акта </w:t>
      </w:r>
      <w:r>
        <w:rPr>
          <w:rFonts w:ascii="PT Astra Serif" w:hAnsi="PT Astra Serif"/>
          <w:b w:val="1"/>
        </w:rPr>
        <w:t>отношений,</w:t>
      </w:r>
      <w:r>
        <w:rPr>
          <w:rFonts w:ascii="PT Astra Serif" w:hAnsi="PT Astra Serif"/>
          <w:b w:val="1"/>
        </w:rPr>
        <w:t xml:space="preserve"> обуславливающих необходимость проведения ОРВ</w:t>
      </w:r>
      <w:r>
        <w:rPr>
          <w:rFonts w:ascii="PT Astra Serif" w:hAnsi="PT Astra Serif"/>
          <w:b w:val="1"/>
        </w:rPr>
        <w:t>:</w:t>
      </w:r>
      <w:r>
        <w:rPr>
          <w:rFonts w:ascii="PT Astra Serif" w:hAnsi="PT Astra Serif"/>
          <w:b w:val="1"/>
        </w:rPr>
        <w:t xml:space="preserve"> </w:t>
      </w:r>
    </w:p>
    <w:p w14:paraId="13000000">
      <w:pPr>
        <w:pStyle w:val="Style_2"/>
        <w:widowControl w:val="0"/>
        <w:tabs>
          <w:tab w:leader="none" w:pos="1134" w:val="left"/>
        </w:tabs>
        <w:spacing w:line="276" w:lineRule="auto"/>
        <w:ind w:firstLine="709" w:left="0"/>
        <w:jc w:val="both"/>
        <w:rPr>
          <w:rFonts w:ascii="PT Astra Serif" w:hAnsi="PT Astra Serif"/>
          <w:u w:val="single"/>
        </w:rPr>
      </w:pPr>
      <w:r>
        <w:rPr>
          <w:rFonts w:ascii="PT Astra Serif" w:hAnsi="PT Astra Serif"/>
          <w:u w:val="single"/>
        </w:rPr>
        <w:t>2.1. Степень регулирующего воздействия проекта нормативного правового акта</w:t>
      </w:r>
      <w:r>
        <w:rPr>
          <w:rFonts w:ascii="PT Astra Serif" w:hAnsi="PT Astra Serif"/>
          <w:i w:val="1"/>
          <w:u w:val="single"/>
        </w:rPr>
        <w:t xml:space="preserve"> </w:t>
      </w:r>
      <w:r>
        <w:rPr>
          <w:rFonts w:ascii="PT Astra Serif" w:hAnsi="PT Astra Serif"/>
          <w:i w:val="1"/>
          <w:u w:val="single"/>
        </w:rPr>
        <w:t>(высокая, средняя, низкая)</w:t>
      </w:r>
      <w:r>
        <w:rPr>
          <w:rFonts w:ascii="PT Astra Serif" w:hAnsi="PT Astra Serif"/>
          <w:u w:val="single"/>
        </w:rPr>
        <w:t>:</w:t>
      </w:r>
      <w:r>
        <w:rPr>
          <w:rFonts w:ascii="PT Astra Serif" w:hAnsi="PT Astra Serif"/>
          <w:u w:val="none"/>
        </w:rPr>
        <w:t xml:space="preserve"> средняя</w:t>
      </w:r>
    </w:p>
    <w:p w14:paraId="14000000">
      <w:pPr>
        <w:pStyle w:val="Style_2"/>
        <w:widowControl w:val="0"/>
        <w:tabs>
          <w:tab w:leader="none" w:pos="1134" w:val="left"/>
        </w:tabs>
        <w:spacing w:line="276" w:lineRule="auto"/>
        <w:ind w:firstLine="709" w:left="0"/>
        <w:jc w:val="both"/>
        <w:rPr>
          <w:rFonts w:ascii="PT Astra Serif" w:hAnsi="PT Astra Serif"/>
          <w:sz w:val="24"/>
        </w:rPr>
      </w:pPr>
      <w:r>
        <w:rPr>
          <w:rFonts w:ascii="PT Astra Serif" w:hAnsi="PT Astra Serif"/>
          <w:u w:val="single"/>
        </w:rPr>
        <w:t xml:space="preserve">2.2. </w:t>
      </w:r>
      <w:r>
        <w:rPr>
          <w:rFonts w:ascii="PT Astra Serif" w:hAnsi="PT Astra Serif"/>
          <w:u w:val="single"/>
        </w:rPr>
        <w:t>Обоснование отнесения проекта нормативного правового акта к определенной степени регулирующего воздействия</w:t>
      </w:r>
      <w:r>
        <w:rPr>
          <w:rFonts w:ascii="PT Astra Serif" w:hAnsi="PT Astra Serif"/>
          <w:u w:val="single"/>
        </w:rPr>
        <w:t xml:space="preserve"> </w:t>
      </w:r>
      <w:r>
        <w:rPr>
          <w:rFonts w:ascii="PT Astra Serif" w:hAnsi="PT Astra Serif"/>
          <w:i w:val="1"/>
          <w:u w:val="single"/>
        </w:rPr>
        <w:t>(пункт 1.12. Положения, утверждённый Указом Главы РС(Я) от 19.06.2023г. № 2911)</w:t>
      </w:r>
      <w:r>
        <w:rPr>
          <w:rFonts w:ascii="PT Astra Serif" w:hAnsi="PT Astra Serif"/>
          <w:u w:val="single"/>
        </w:rPr>
        <w:t>:</w:t>
      </w:r>
      <w:r>
        <w:rPr>
          <w:rFonts w:ascii="PT Astra Serif" w:hAnsi="PT Astra Serif"/>
          <w:u w:val="none"/>
        </w:rPr>
        <w:t xml:space="preserve"> </w:t>
      </w:r>
    </w:p>
    <w:p w14:paraId="15000000">
      <w:pPr>
        <w:pStyle w:val="Style_2"/>
        <w:widowControl w:val="0"/>
        <w:tabs>
          <w:tab w:leader="none" w:pos="1134" w:val="left"/>
        </w:tabs>
        <w:spacing w:line="276" w:lineRule="auto"/>
        <w:ind w:firstLine="709" w:left="0"/>
        <w:jc w:val="both"/>
        <w:rPr>
          <w:rFonts w:ascii="PT Astra Serif" w:hAnsi="PT Astra Serif"/>
          <w:sz w:val="24"/>
        </w:rPr>
      </w:pPr>
      <w:r>
        <w:rPr>
          <w:rFonts w:ascii="PT Astra Serif" w:hAnsi="PT Astra Serif"/>
          <w:sz w:val="24"/>
        </w:rPr>
        <w:t>Проект НПА содержит положения, изменяющие ранее установленные обязательные требования, связанные с осуществлением предпринимательской, инвестиционной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изменяющие ранее предусмотренные обязанности и запреты для субъектов предпринимательской, инвестиционной и иной экономической деятельности, а также изменяющие ранее установленную ответственность за нарушение нормативного правого акта, затрагивающие вопросы осуществления предпринимательской, инвестиционной и иной экономической деятельности(10 рабочих дней)</w:t>
      </w:r>
      <w:r>
        <w:rPr>
          <w:rFonts w:ascii="PT Astra Serif" w:hAnsi="PT Astra Serif"/>
          <w:u w:val="none"/>
        </w:rPr>
        <w:t>.</w:t>
      </w:r>
    </w:p>
    <w:p w14:paraId="16000000">
      <w:pPr>
        <w:pStyle w:val="Style_2"/>
        <w:widowControl w:val="0"/>
        <w:tabs>
          <w:tab w:leader="none" w:pos="1134" w:val="left"/>
        </w:tabs>
        <w:spacing w:line="276" w:lineRule="auto"/>
        <w:ind w:hanging="450" w:left="450"/>
        <w:jc w:val="both"/>
        <w:rPr>
          <w:rFonts w:ascii="PT Astra Serif" w:hAnsi="PT Astra Serif"/>
          <w:u w:val="single"/>
        </w:rPr>
      </w:pPr>
    </w:p>
    <w:tbl>
      <w:tblPr>
        <w:tblStyle w:val="Style_3"/>
        <w:tblW w:type="auto" w:w="0"/>
        <w:tblInd w:type="dxa" w:w="42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58"/>
        <w:gridCol w:w="2848"/>
      </w:tblGrid>
      <w:tr>
        <w:tc>
          <w:tcPr>
            <w:tcW w:type="dxa" w:w="6658"/>
            <w:tcBorders>
              <w:top w:color="000000" w:sz="4" w:val="single"/>
              <w:left w:color="000000" w:sz="4" w:val="single"/>
              <w:bottom w:color="000000" w:sz="4" w:val="single"/>
              <w:right w:color="000000" w:sz="4" w:val="single"/>
            </w:tcBorders>
          </w:tcPr>
          <w:p w14:paraId="17000000">
            <w:pPr>
              <w:widowControl w:val="0"/>
              <w:spacing w:line="240" w:lineRule="auto"/>
              <w:ind/>
              <w:jc w:val="both"/>
              <w:rPr>
                <w:color w:val="000000"/>
              </w:rPr>
            </w:pPr>
            <w:r>
              <w:rPr>
                <w:color w:val="000000"/>
              </w:rPr>
              <w:t>2.3. Содержание проекта нормативного правового акта:</w:t>
            </w:r>
          </w:p>
        </w:tc>
        <w:tc>
          <w:tcPr>
            <w:tcW w:type="dxa" w:w="2848"/>
            <w:tcBorders>
              <w:top w:color="000000" w:sz="4" w:val="single"/>
              <w:left w:color="000000" w:sz="4" w:val="single"/>
              <w:bottom w:color="000000" w:sz="4" w:val="single"/>
              <w:right w:color="000000" w:sz="4" w:val="single"/>
            </w:tcBorders>
          </w:tcPr>
          <w:p w14:paraId="18000000">
            <w:pPr>
              <w:widowControl w:val="0"/>
              <w:spacing w:line="240" w:lineRule="auto"/>
              <w:ind/>
              <w:jc w:val="center"/>
              <w:rPr>
                <w:color w:val="000000"/>
              </w:rPr>
            </w:pPr>
            <w:r>
              <w:rPr>
                <w:color w:val="000000"/>
              </w:rPr>
              <w:t xml:space="preserve">2.4. Оценка наличия в проекте акта положений, регулирующих отношения в указанной области (сфере) </w:t>
            </w:r>
          </w:p>
        </w:tc>
      </w:tr>
      <w:tr>
        <w:tc>
          <w:tcPr>
            <w:tcW w:type="dxa" w:w="6658"/>
            <w:tcBorders>
              <w:top w:color="000000" w:sz="4" w:val="single"/>
              <w:left w:color="000000" w:sz="4" w:val="single"/>
              <w:bottom w:color="000000" w:sz="4" w:val="single"/>
              <w:right w:color="000000" w:sz="4" w:val="single"/>
            </w:tcBorders>
          </w:tcPr>
          <w:p w14:paraId="19000000">
            <w:pPr>
              <w:widowControl w:val="0"/>
              <w:spacing w:line="240" w:lineRule="auto"/>
              <w:ind/>
              <w:jc w:val="both"/>
              <w:rPr>
                <w:color w:val="000000"/>
              </w:rPr>
            </w:pPr>
            <w:r>
              <w:rPr>
                <w:color w:val="000000"/>
              </w:rPr>
              <w:t xml:space="preserve">2.3.1. </w:t>
            </w:r>
            <w:r>
              <w:rPr>
                <w:color w:val="000000"/>
              </w:rPr>
              <w:t>содержит положения, устанавливающие (изменяющие) обязательные требования для субъектов предпринимательской и иной экономической деятельности</w:t>
            </w:r>
          </w:p>
        </w:tc>
        <w:tc>
          <w:tcPr>
            <w:tcW w:type="dxa" w:w="2848"/>
            <w:tcBorders>
              <w:top w:color="000000" w:sz="4" w:val="single"/>
              <w:left w:color="000000" w:sz="4" w:val="single"/>
              <w:bottom w:color="000000" w:sz="4" w:val="single"/>
              <w:right w:color="000000" w:sz="4" w:val="single"/>
            </w:tcBorders>
          </w:tcPr>
          <w:p w14:paraId="1A000000">
            <w:pPr>
              <w:widowControl w:val="0"/>
              <w:spacing w:line="240" w:lineRule="auto"/>
              <w:ind/>
              <w:jc w:val="center"/>
              <w:rPr>
                <w:rFonts w:ascii="XO Thames" w:hAnsi="XO Thames"/>
                <w:b w:val="0"/>
                <w:sz w:val="28"/>
              </w:rPr>
            </w:pPr>
            <w:r>
              <w:rPr>
                <w:i w:val="0"/>
                <w:color w:val="000000"/>
              </w:rPr>
              <w:t>В пункте 2.4 проекта приказа прописаны требования</w:t>
            </w:r>
            <w:r>
              <w:rPr>
                <w:i w:val="0"/>
                <w:color w:val="000000"/>
                <w:sz w:val="24"/>
              </w:rPr>
              <w:t xml:space="preserve"> </w:t>
            </w:r>
            <w:r>
              <w:rPr>
                <w:rStyle w:val="Style_4_ch"/>
                <w:rFonts w:ascii="PT Astra Serif" w:hAnsi="PT Astra Serif"/>
                <w:sz w:val="24"/>
              </w:rPr>
              <w:t xml:space="preserve"> к РСО</w:t>
            </w:r>
          </w:p>
        </w:tc>
      </w:tr>
      <w:tr>
        <w:tc>
          <w:tcPr>
            <w:tcW w:type="dxa" w:w="6658"/>
            <w:tcBorders>
              <w:top w:color="000000" w:sz="4" w:val="single"/>
              <w:left w:color="000000" w:sz="4" w:val="single"/>
              <w:bottom w:color="000000" w:sz="4" w:val="single"/>
              <w:right w:color="000000" w:sz="4" w:val="single"/>
            </w:tcBorders>
          </w:tcPr>
          <w:p w14:paraId="1B000000">
            <w:pPr>
              <w:widowControl w:val="0"/>
              <w:spacing w:line="240" w:lineRule="auto"/>
              <w:ind/>
              <w:jc w:val="both"/>
              <w:rPr>
                <w:color w:val="000000"/>
              </w:rPr>
            </w:pPr>
            <w:r>
              <w:rPr>
                <w:color w:val="000000"/>
              </w:rPr>
              <w:t xml:space="preserve">2.3.2. </w:t>
            </w:r>
            <w:r>
              <w:rPr>
                <w:color w:val="000000"/>
              </w:rPr>
              <w:t xml:space="preserve">содержит положения, устанавливающие (изменяющие) обязанности и запреты для субъектов предпринимательской и </w:t>
            </w:r>
            <w:r>
              <w:rPr>
                <w:color w:val="000000"/>
              </w:rPr>
              <w:t>инвестиционной деятельности</w:t>
            </w:r>
          </w:p>
        </w:tc>
        <w:tc>
          <w:tcPr>
            <w:tcW w:type="dxa" w:w="2848"/>
            <w:tcBorders>
              <w:top w:color="000000" w:sz="4" w:val="single"/>
              <w:left w:color="000000" w:sz="4" w:val="single"/>
              <w:bottom w:color="000000" w:sz="4" w:val="single"/>
              <w:right w:color="000000" w:sz="4" w:val="single"/>
            </w:tcBorders>
          </w:tcPr>
          <w:p w14:paraId="1C000000">
            <w:pPr>
              <w:widowControl w:val="0"/>
              <w:spacing w:line="240" w:lineRule="auto"/>
              <w:ind/>
              <w:jc w:val="center"/>
              <w:rPr>
                <w:i w:val="1"/>
                <w:color w:val="000000"/>
              </w:rPr>
            </w:pPr>
            <w:r>
              <w:rPr>
                <w:i w:val="0"/>
                <w:color w:val="000000"/>
              </w:rPr>
              <w:t>В пункте 2.4 проекта приказа прописаны требования, в том числе обязанности и запреты</w:t>
            </w:r>
            <w:r>
              <w:rPr>
                <w:i w:val="0"/>
                <w:color w:val="000000"/>
                <w:sz w:val="24"/>
              </w:rPr>
              <w:t xml:space="preserve"> </w:t>
            </w:r>
            <w:r>
              <w:rPr>
                <w:rStyle w:val="Style_4_ch"/>
                <w:rFonts w:ascii="PT Astra Serif" w:hAnsi="PT Astra Serif"/>
                <w:sz w:val="24"/>
              </w:rPr>
              <w:t xml:space="preserve"> к РСО</w:t>
            </w:r>
          </w:p>
        </w:tc>
      </w:tr>
      <w:tr>
        <w:tc>
          <w:tcPr>
            <w:tcW w:type="dxa" w:w="6658"/>
            <w:tcBorders>
              <w:top w:color="000000" w:sz="4" w:val="single"/>
              <w:left w:color="000000" w:sz="4" w:val="single"/>
              <w:bottom w:color="000000" w:sz="4" w:val="single"/>
              <w:right w:color="000000" w:sz="4" w:val="single"/>
            </w:tcBorders>
          </w:tcPr>
          <w:p w14:paraId="1D000000">
            <w:pPr>
              <w:widowControl w:val="0"/>
              <w:spacing w:line="240" w:lineRule="auto"/>
              <w:ind/>
              <w:jc w:val="both"/>
              <w:rPr>
                <w:color w:val="000000"/>
              </w:rPr>
            </w:pPr>
            <w:r>
              <w:rPr>
                <w:color w:val="000000"/>
              </w:rPr>
              <w:t xml:space="preserve">2.3.3. </w:t>
            </w:r>
            <w:r>
              <w:rPr>
                <w:color w:val="000000"/>
              </w:rPr>
              <w:t xml:space="preserve">содержит положения, устанавливающие (изменяющие) ответственность за нарушение нормативных правовых актов </w:t>
            </w:r>
            <w:r>
              <w:rPr>
                <w:color w:val="000000"/>
              </w:rPr>
              <w:t xml:space="preserve">Республики Саха (Якутия) </w:t>
            </w:r>
            <w:r>
              <w:rPr>
                <w:color w:val="000000"/>
              </w:rPr>
              <w:t>в сфере предпринимательской и иной экономической деятельности</w:t>
            </w:r>
          </w:p>
        </w:tc>
        <w:tc>
          <w:tcPr>
            <w:tcW w:type="dxa" w:w="2848"/>
            <w:tcBorders>
              <w:top w:color="000000" w:sz="4" w:val="single"/>
              <w:left w:color="000000" w:sz="4" w:val="single"/>
              <w:bottom w:color="000000" w:sz="4" w:val="single"/>
              <w:right w:color="000000" w:sz="4" w:val="single"/>
            </w:tcBorders>
          </w:tcPr>
          <w:p w14:paraId="1E000000">
            <w:pPr>
              <w:widowControl w:val="0"/>
              <w:spacing w:line="240" w:lineRule="auto"/>
              <w:ind/>
              <w:jc w:val="center"/>
              <w:rPr>
                <w:i w:val="1"/>
                <w:color w:val="000000"/>
              </w:rPr>
            </w:pPr>
            <w:r>
              <w:rPr>
                <w:i w:val="0"/>
                <w:color w:val="000000"/>
              </w:rPr>
              <w:t>В пункте 4.5</w:t>
            </w:r>
            <w:r>
              <w:rPr>
                <w:i w:val="1"/>
                <w:color w:val="000000"/>
              </w:rPr>
              <w:t xml:space="preserve"> </w:t>
            </w:r>
            <w:r>
              <w:rPr>
                <w:i w:val="0"/>
                <w:color w:val="000000"/>
              </w:rPr>
              <w:t>проекта приказа прописано об ответственности за нарушение условий и порядка</w:t>
            </w:r>
          </w:p>
        </w:tc>
      </w:tr>
      <w:tr>
        <w:tc>
          <w:tcPr>
            <w:tcW w:type="dxa" w:w="6658"/>
            <w:tcBorders>
              <w:top w:color="000000" w:sz="4" w:val="single"/>
              <w:left w:color="000000" w:sz="4" w:val="single"/>
              <w:bottom w:color="000000" w:sz="4" w:val="single"/>
              <w:right w:color="000000" w:sz="4" w:val="single"/>
            </w:tcBorders>
          </w:tcPr>
          <w:p w14:paraId="1F000000">
            <w:pPr>
              <w:widowControl w:val="0"/>
              <w:spacing w:line="240" w:lineRule="auto"/>
              <w:ind/>
              <w:jc w:val="both"/>
              <w:rPr>
                <w:color w:val="000000"/>
              </w:rPr>
            </w:pPr>
            <w:r>
              <w:rPr>
                <w:color w:val="000000"/>
              </w:rPr>
              <w:t>содержит положения, предусмотренные пунктами 2.3.1-2.3.3 сводного отчета и разработан в соответствии с рекомендациями уполномоченного органа, указанными в заключении об экспертизе нормативного правового акта, либо в заключениях, подготавливаемых согласно Порядку установления и оценки применения обязательных требований, содержащихся в нормативных право</w:t>
            </w:r>
            <w:r>
              <w:rPr>
                <w:color w:val="000000"/>
              </w:rPr>
              <w:t>вых актах Республики Саха (Якутия)</w:t>
            </w:r>
            <w:r>
              <w:rPr>
                <w:color w:val="000000"/>
              </w:rPr>
              <w:t>, в том числе оценки фактического воздействия указанных нормативных правовых актов, утвержденному Указом Главы Республики Саха (Якутия)</w:t>
            </w:r>
          </w:p>
        </w:tc>
        <w:tc>
          <w:tcPr>
            <w:tcW w:type="dxa" w:w="2848"/>
            <w:tcBorders>
              <w:top w:color="000000" w:sz="4" w:val="single"/>
              <w:left w:color="000000" w:sz="4" w:val="single"/>
              <w:bottom w:color="000000" w:sz="4" w:val="single"/>
              <w:right w:color="000000" w:sz="4" w:val="single"/>
            </w:tcBorders>
          </w:tcPr>
          <w:p w14:paraId="20000000">
            <w:pPr>
              <w:widowControl w:val="1"/>
              <w:ind/>
              <w:jc w:val="center"/>
              <w:rPr>
                <w:i w:val="1"/>
                <w:color w:val="000000"/>
              </w:rPr>
            </w:pPr>
            <w:r>
              <w:rPr>
                <w:i w:val="1"/>
                <w:color w:val="000000"/>
              </w:rPr>
              <w:t>да</w:t>
            </w:r>
          </w:p>
        </w:tc>
      </w:tr>
      <w:tr>
        <w:tc>
          <w:tcPr>
            <w:tcW w:type="dxa" w:w="6658"/>
            <w:tcBorders>
              <w:top w:color="000000" w:sz="4" w:val="single"/>
              <w:left w:color="000000" w:sz="4" w:val="single"/>
              <w:bottom w:color="000000" w:sz="4" w:val="single"/>
              <w:right w:color="000000" w:sz="4" w:val="single"/>
            </w:tcBorders>
          </w:tcPr>
          <w:p w14:paraId="21000000">
            <w:pPr>
              <w:widowControl w:val="0"/>
              <w:spacing w:line="240" w:lineRule="auto"/>
              <w:ind/>
              <w:jc w:val="both"/>
              <w:rPr>
                <w:color w:val="000000"/>
              </w:rPr>
            </w:pPr>
            <w:r>
              <w:rPr>
                <w:color w:val="000000"/>
              </w:rPr>
              <w:t>содержит положения, предусмотренные пунктами 2.3.1-2.3.3 сводного отчета и разработан в соответствии с нормативными правовыми актами, затрагивающими вопросы осуществления предпринимательской и иной экономической деятельности</w:t>
            </w:r>
          </w:p>
        </w:tc>
        <w:tc>
          <w:tcPr>
            <w:tcW w:type="dxa" w:w="2848"/>
            <w:tcBorders>
              <w:top w:color="000000" w:sz="4" w:val="single"/>
              <w:left w:color="000000" w:sz="4" w:val="single"/>
              <w:bottom w:color="000000" w:sz="4" w:val="single"/>
              <w:right w:color="000000" w:sz="4" w:val="single"/>
            </w:tcBorders>
          </w:tcPr>
          <w:p w14:paraId="22000000">
            <w:pPr>
              <w:widowControl w:val="1"/>
              <w:ind/>
              <w:jc w:val="both"/>
              <w:rPr>
                <w:rFonts w:ascii="XO Thames" w:hAnsi="XO Thames"/>
                <w:sz w:val="24"/>
              </w:rPr>
            </w:pPr>
            <w:r>
              <w:rPr>
                <w:rFonts w:ascii="Times New Roman" w:hAnsi="Times New Roman"/>
                <w:sz w:val="24"/>
              </w:rPr>
              <w:t xml:space="preserve">Разработан в соответствии </w:t>
            </w:r>
            <w:r>
              <w:rPr>
                <w:rStyle w:val="Style_4_ch"/>
                <w:rFonts w:ascii="XO Thames" w:hAnsi="XO Thames"/>
                <w:sz w:val="24"/>
              </w:rPr>
              <w:t xml:space="preserve"> </w:t>
            </w:r>
            <w:r>
              <w:rPr>
                <w:rStyle w:val="Style_4_ch"/>
                <w:rFonts w:ascii="XO Thames" w:hAnsi="XO Thames"/>
                <w:sz w:val="24"/>
              </w:rPr>
              <w:t xml:space="preserve">Постановлением </w:t>
            </w:r>
            <w:r>
              <w:rPr>
                <w:rStyle w:val="Style_4_ch"/>
                <w:rFonts w:ascii="XO Thames" w:hAnsi="XO Thames"/>
                <w:sz w:val="24"/>
              </w:rPr>
              <w:t>Правительства РФ</w:t>
            </w:r>
            <w:r>
              <w:rPr>
                <w:rStyle w:val="Style_4_ch"/>
                <w:rFonts w:ascii="XO Thames" w:hAnsi="XO Thames"/>
                <w:sz w:val="24"/>
              </w:rPr>
              <w:t xml:space="preserve"> </w:t>
            </w:r>
            <w:r>
              <w:rPr>
                <w:rStyle w:val="Style_4_ch"/>
                <w:rFonts w:ascii="XO Thames" w:hAnsi="XO Thames"/>
                <w:sz w:val="24"/>
              </w:rPr>
              <w:t xml:space="preserve">от 25.10.2023 № 1782 «Об утверждении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(далее – Общие требования) </w:t>
            </w:r>
            <w:r>
              <w:rPr>
                <w:rFonts w:ascii="XO Thames" w:hAnsi="XO Thames"/>
                <w:color w:val="000000"/>
                <w:sz w:val="24"/>
              </w:rPr>
              <w:t>Закон Республики Саха (Якутия)</w:t>
            </w:r>
            <w:r>
              <w:rPr>
                <w:rFonts w:ascii="XO Thames" w:hAnsi="XO Thames"/>
                <w:b w:val="0"/>
                <w:i w:val="0"/>
                <w:caps w:val="0"/>
                <w:color w:val="000000"/>
                <w:spacing w:val="0"/>
                <w:sz w:val="24"/>
                <w:highlight w:val="white"/>
              </w:rPr>
              <w:t xml:space="preserve"> </w:t>
            </w:r>
            <w:r>
              <w:rPr>
                <w:rStyle w:val="Style_4_ch"/>
                <w:rFonts w:ascii="XO Thames" w:hAnsi="XO Thames"/>
                <w:sz w:val="24"/>
              </w:rPr>
              <w:t>о</w:t>
            </w:r>
            <w:r>
              <w:rPr>
                <w:rFonts w:ascii="XO Thames" w:hAnsi="XO Thames"/>
                <w:b w:val="0"/>
                <w:i w:val="0"/>
                <w:caps w:val="0"/>
                <w:color w:val="000000"/>
                <w:spacing w:val="0"/>
                <w:sz w:val="24"/>
                <w:highlight w:val="white"/>
              </w:rPr>
              <w:t>т 03.12.2025 № 455-VII</w:t>
            </w:r>
          </w:p>
        </w:tc>
      </w:tr>
    </w:tbl>
    <w:p w14:paraId="23000000">
      <w:pPr>
        <w:widowControl w:val="0"/>
        <w:tabs>
          <w:tab w:leader="none" w:pos="1134" w:val="left"/>
        </w:tabs>
        <w:spacing w:line="276" w:lineRule="auto"/>
        <w:ind/>
        <w:jc w:val="both"/>
        <w:rPr>
          <w:rFonts w:ascii="PT Astra Serif" w:hAnsi="PT Astra Serif"/>
        </w:rPr>
      </w:pPr>
    </w:p>
    <w:p w14:paraId="24000000">
      <w:pPr>
        <w:pStyle w:val="Style_2"/>
        <w:widowControl w:val="0"/>
        <w:tabs>
          <w:tab w:leader="none" w:pos="1134" w:val="left"/>
        </w:tabs>
        <w:spacing w:line="276" w:lineRule="auto"/>
        <w:ind w:firstLine="259" w:left="450"/>
        <w:jc w:val="both"/>
        <w:rPr>
          <w:b w:val="1"/>
        </w:rPr>
      </w:pPr>
      <w:r>
        <w:rPr>
          <w:b w:val="1"/>
        </w:rPr>
        <w:t xml:space="preserve">3. </w:t>
      </w:r>
      <w:r>
        <w:rPr>
          <w:b w:val="1"/>
        </w:rPr>
        <w:t>Описание проблемы, на решение которой направлен предлагаемый способ регулирования, оценка негативных эффектов, возникающих в связи с на</w:t>
      </w:r>
      <w:r>
        <w:rPr>
          <w:b w:val="1"/>
        </w:rPr>
        <w:t>личием рассматриваемой проблемы.</w:t>
      </w:r>
    </w:p>
    <w:p w14:paraId="25000000">
      <w:pPr>
        <w:pStyle w:val="Style_2"/>
        <w:widowControl w:val="0"/>
        <w:tabs>
          <w:tab w:leader="none" w:pos="1134" w:val="left"/>
        </w:tabs>
        <w:spacing w:line="276" w:lineRule="auto"/>
        <w:ind w:firstLine="259" w:left="450"/>
        <w:jc w:val="both"/>
        <w:rPr>
          <w:b w:val="1"/>
        </w:rPr>
      </w:pPr>
      <w:r>
        <w:t>3.1.</w:t>
      </w:r>
      <w:r>
        <w:rPr>
          <w:b w:val="1"/>
        </w:rPr>
        <w:t xml:space="preserve"> </w:t>
      </w:r>
      <w:r>
        <w:rPr>
          <w:color w:val="000000"/>
          <w:u w:val="single"/>
        </w:rPr>
        <w:t>Формулировка проблемы</w:t>
      </w:r>
      <w:r>
        <w:rPr>
          <w:color w:val="000000"/>
          <w:sz w:val="28"/>
          <w:u w:val="single"/>
        </w:rPr>
        <w:t xml:space="preserve"> </w:t>
      </w:r>
      <w:r>
        <w:rPr>
          <w:color w:val="000000"/>
          <w:u w:val="single"/>
        </w:rPr>
        <w:t>на решение которой направлен предлагаемый способ регулирования, условий и факторов ее существования (в том числе описание убытков в виде реального ущерба и упущенной выгоды, и их количественная оценка)</w:t>
      </w:r>
      <w:r>
        <w:rPr>
          <w:color w:val="000000"/>
          <w:u w:val="single"/>
        </w:rPr>
        <w:t>:</w:t>
      </w:r>
    </w:p>
    <w:p w14:paraId="26000000">
      <w:pPr>
        <w:pStyle w:val="Style_2"/>
        <w:widowControl w:val="0"/>
        <w:tabs>
          <w:tab w:leader="none" w:pos="1134" w:val="left"/>
        </w:tabs>
        <w:spacing w:line="276" w:lineRule="auto"/>
        <w:ind w:left="450"/>
        <w:jc w:val="both"/>
        <w:rPr>
          <w:rFonts w:ascii="XO Thames" w:hAnsi="XO Thames"/>
          <w:color w:val="000000"/>
          <w:sz w:val="24"/>
        </w:rPr>
      </w:pPr>
      <w:r>
        <w:rPr>
          <w:rFonts w:ascii="Times New Roman" w:hAnsi="Times New Roman"/>
          <w:sz w:val="24"/>
        </w:rPr>
        <w:t>П</w:t>
      </w:r>
      <w:r>
        <w:rPr>
          <w:rFonts w:ascii="Times New Roman" w:hAnsi="Times New Roman"/>
          <w:sz w:val="24"/>
        </w:rPr>
        <w:t>овышение</w:t>
      </w:r>
      <w:r>
        <w:rPr>
          <w:rFonts w:ascii="Times New Roman" w:hAnsi="Times New Roman"/>
          <w:sz w:val="24"/>
        </w:rPr>
        <w:t xml:space="preserve"> качества предоставления коммунальных услуг и</w:t>
      </w:r>
      <w:r>
        <w:rPr>
          <w:rFonts w:ascii="Times New Roman" w:hAnsi="Times New Roman"/>
          <w:sz w:val="24"/>
        </w:rPr>
        <w:t xml:space="preserve"> </w:t>
      </w:r>
      <w:r>
        <w:rPr>
          <w:sz w:val="24"/>
        </w:rPr>
        <w:t>о</w:t>
      </w:r>
      <w:r>
        <w:rPr>
          <w:rFonts w:ascii="XO Thames" w:hAnsi="XO Thames"/>
          <w:b w:val="0"/>
          <w:i w:val="0"/>
          <w:caps w:val="0"/>
          <w:color w:val="000000"/>
          <w:spacing w:val="0"/>
          <w:sz w:val="24"/>
          <w:highlight w:val="white"/>
        </w:rPr>
        <w:t>беспечение безопасной для окружающей среды очистку сточных вод. Также, с</w:t>
      </w:r>
      <w:r>
        <w:rPr>
          <w:color w:val="000000"/>
          <w:u w:val="none"/>
        </w:rPr>
        <w:t>воевременное</w:t>
      </w:r>
      <w:r>
        <w:rPr>
          <w:color w:val="000000"/>
          <w:u w:val="none"/>
        </w:rPr>
        <w:t xml:space="preserve"> </w:t>
      </w:r>
      <w:r>
        <w:rPr>
          <w:color w:val="000000"/>
          <w:u w:val="none"/>
        </w:rPr>
        <w:t>освоение государственных средств Республики Саха (Якутия), в целях реализации мероприятия, в соответствии с</w:t>
      </w:r>
      <w:r>
        <w:rPr>
          <w:rFonts w:ascii="Times New Roman" w:hAnsi="Times New Roman"/>
          <w:sz w:val="28"/>
        </w:rPr>
        <w:t xml:space="preserve"> </w:t>
      </w:r>
      <w:r>
        <w:rPr>
          <w:rFonts w:ascii="Times New Roman" w:hAnsi="Times New Roman"/>
          <w:sz w:val="24"/>
        </w:rPr>
        <w:t>Законом</w:t>
      </w:r>
      <w:r>
        <w:rPr>
          <w:rFonts w:ascii="Times New Roman" w:hAnsi="Times New Roman"/>
          <w:sz w:val="24"/>
        </w:rPr>
        <w:t xml:space="preserve"> Республики Саха (Якутия) от 3 декабря 2025 г. 2890-З N 455-VII «О государственном бюджете Республики Саха (Якутия) на 2026 год и на плановый период 2027 и 2028 годов»</w:t>
      </w:r>
      <w:r>
        <w:rPr>
          <w:color w:val="000000"/>
          <w:u w:val="none"/>
        </w:rPr>
        <w:t>.</w:t>
      </w:r>
    </w:p>
    <w:p w14:paraId="27000000">
      <w:pPr>
        <w:pStyle w:val="Style_2"/>
        <w:widowControl w:val="0"/>
        <w:tabs>
          <w:tab w:leader="none" w:pos="1134" w:val="left"/>
        </w:tabs>
        <w:spacing w:line="276" w:lineRule="auto"/>
        <w:ind w:firstLine="259" w:left="450"/>
        <w:jc w:val="both"/>
        <w:rPr>
          <w:color w:val="000000"/>
          <w:u w:val="none"/>
        </w:rPr>
      </w:pPr>
      <w:r>
        <w:rPr>
          <w:u w:val="single"/>
        </w:rPr>
        <w:t>3</w:t>
      </w:r>
      <w:r>
        <w:rPr>
          <w:u w:val="single"/>
        </w:rPr>
        <w:t>.2.</w:t>
      </w:r>
      <w:r>
        <w:rPr>
          <w:u w:val="single"/>
        </w:rPr>
        <w:tab/>
      </w:r>
      <w:r>
        <w:rPr>
          <w:u w:val="single"/>
        </w:rPr>
        <w:t>Информация о возникновении, выявлении проблемы и мерах, принятых ранее для ее решения, достигнутых результатах и затраченных ресурсах:</w:t>
      </w:r>
    </w:p>
    <w:p w14:paraId="28000000">
      <w:pPr>
        <w:pStyle w:val="Style_2"/>
        <w:widowControl w:val="0"/>
        <w:tabs>
          <w:tab w:leader="none" w:pos="1134" w:val="left"/>
        </w:tabs>
        <w:spacing w:line="276" w:lineRule="auto"/>
        <w:ind w:left="450"/>
        <w:jc w:val="both"/>
        <w:rPr>
          <w:sz w:val="24"/>
          <w:u w:val="none"/>
        </w:rPr>
      </w:pPr>
      <w:r>
        <w:rPr>
          <w:sz w:val="24"/>
          <w:u w:val="none"/>
        </w:rPr>
        <w:tab/>
      </w:r>
      <w:r>
        <w:rPr>
          <w:rStyle w:val="Style_4_ch"/>
          <w:rFonts w:ascii="Times New Roman" w:hAnsi="Times New Roman"/>
          <w:sz w:val="24"/>
        </w:rPr>
        <w:t xml:space="preserve">В настоящее время реализовывается пилотный проект по строительству объекта «Строительство КОС п. Чокурдах Аллаиховского улуса Республики Саха (Якутия)» </w:t>
      </w:r>
      <w:r>
        <w:rPr>
          <w:rStyle w:val="Style_4_ch"/>
          <w:rFonts w:ascii="Times New Roman" w:hAnsi="Times New Roman"/>
          <w:sz w:val="24"/>
        </w:rPr>
        <w:t>производительно</w:t>
      </w:r>
      <w:r>
        <w:rPr>
          <w:rStyle w:val="Style_4_ch"/>
          <w:rFonts w:ascii="Times New Roman" w:hAnsi="Times New Roman"/>
          <w:sz w:val="24"/>
        </w:rPr>
        <w:t>стью</w:t>
      </w:r>
      <w:r>
        <w:rPr>
          <w:rStyle w:val="Style_4_ch"/>
          <w:rFonts w:ascii="Times New Roman" w:hAnsi="Times New Roman"/>
          <w:sz w:val="24"/>
        </w:rPr>
        <w:t xml:space="preserve"> </w:t>
      </w:r>
      <w:r>
        <w:rPr>
          <w:rStyle w:val="Style_4_ch"/>
          <w:rFonts w:ascii="Times New Roman" w:hAnsi="Times New Roman"/>
          <w:sz w:val="24"/>
        </w:rPr>
        <w:t>400 м3/сутки</w:t>
      </w:r>
      <w:r>
        <w:rPr>
          <w:rStyle w:val="Style_4_ch"/>
          <w:rFonts w:ascii="Times New Roman" w:hAnsi="Times New Roman"/>
          <w:sz w:val="24"/>
        </w:rPr>
        <w:t>, годовое  субсидирование в 2024 и 2025 – по 61,9 млн рублей. Строительная готовность – 85%. Ввод объекта планируется в 2027 году.</w:t>
      </w:r>
    </w:p>
    <w:p w14:paraId="29000000">
      <w:pPr>
        <w:widowControl w:val="0"/>
        <w:tabs>
          <w:tab w:leader="none" w:pos="1134" w:val="left"/>
        </w:tabs>
        <w:spacing w:line="276" w:lineRule="auto"/>
        <w:ind w:firstLine="709"/>
        <w:jc w:val="both"/>
      </w:pPr>
      <w:r>
        <w:rPr>
          <w:u w:val="single"/>
        </w:rPr>
        <w:t>3</w:t>
      </w:r>
      <w:r>
        <w:rPr>
          <w:u w:val="single"/>
        </w:rPr>
        <w:t>.3.</w:t>
      </w:r>
      <w:r>
        <w:rPr>
          <w:u w:val="single"/>
        </w:rPr>
        <w:tab/>
      </w:r>
      <w:r>
        <w:rPr>
          <w:u w:val="single"/>
        </w:rPr>
        <w:t>Социальные группы, заинтересованные в устранении проблемы, их количественная оценка:</w:t>
      </w:r>
      <w:r>
        <w:rPr>
          <w:u w:val="none"/>
        </w:rPr>
        <w:t xml:space="preserve"> </w:t>
      </w:r>
      <w:r>
        <w:rPr>
          <w:u w:val="none"/>
        </w:rPr>
        <w:t xml:space="preserve"> </w:t>
      </w:r>
      <w:r>
        <w:rPr>
          <w:u w:val="none"/>
        </w:rPr>
        <w:t xml:space="preserve"> </w:t>
      </w:r>
    </w:p>
    <w:p w14:paraId="2A000000">
      <w:pPr>
        <w:widowControl w:val="0"/>
        <w:tabs>
          <w:tab w:leader="none" w:pos="1134" w:val="left"/>
        </w:tabs>
        <w:spacing w:line="276" w:lineRule="auto"/>
        <w:ind w:firstLine="709"/>
        <w:jc w:val="both"/>
        <w:rPr>
          <w:u w:val="none"/>
        </w:rPr>
      </w:pPr>
      <w:r>
        <w:rPr>
          <w:u w:val="none"/>
        </w:rPr>
        <w:t>Ресурсоснабжающие организации.</w:t>
      </w:r>
    </w:p>
    <w:p w14:paraId="2B000000">
      <w:pPr>
        <w:widowControl w:val="0"/>
        <w:tabs>
          <w:tab w:leader="none" w:pos="1134" w:val="left"/>
        </w:tabs>
        <w:spacing w:line="276" w:lineRule="auto"/>
        <w:ind w:firstLine="709"/>
        <w:jc w:val="both"/>
        <w:rPr>
          <w:u w:val="single"/>
        </w:rPr>
      </w:pPr>
      <w:r>
        <w:rPr>
          <w:u w:val="single"/>
        </w:rPr>
        <w:t>3</w:t>
      </w:r>
      <w:r>
        <w:rPr>
          <w:u w:val="single"/>
        </w:rPr>
        <w:t>.4.</w:t>
      </w:r>
      <w:r>
        <w:rPr>
          <w:u w:val="single"/>
        </w:rPr>
        <w:tab/>
      </w:r>
      <w:r>
        <w:rPr>
          <w:u w:val="single"/>
        </w:rPr>
        <w:t>Характеристика негативных эффектов</w:t>
      </w:r>
      <w:r>
        <w:rPr>
          <w:u w:val="single"/>
        </w:rPr>
        <w:t>(последствия)</w:t>
      </w:r>
      <w:r>
        <w:rPr>
          <w:u w:val="single"/>
        </w:rPr>
        <w:t xml:space="preserve">, </w:t>
      </w:r>
      <w:r>
        <w:rPr>
          <w:u w:val="single"/>
        </w:rPr>
        <w:t xml:space="preserve">возникающих в связи с наличием проблемы, их количественная оценка: </w:t>
      </w:r>
    </w:p>
    <w:p w14:paraId="2C000000">
      <w:pPr>
        <w:widowControl w:val="0"/>
        <w:tabs>
          <w:tab w:leader="none" w:pos="1134" w:val="left"/>
        </w:tabs>
        <w:spacing w:line="276" w:lineRule="auto"/>
        <w:ind w:firstLine="709"/>
        <w:jc w:val="both"/>
        <w:rPr>
          <w:u w:val="none"/>
        </w:rPr>
      </w:pPr>
      <w:r>
        <w:rPr>
          <w:rStyle w:val="Style_4_ch"/>
          <w:u w:val="none"/>
        </w:rPr>
        <w:t xml:space="preserve">Негативные эффекты, возникающие в связи с </w:t>
      </w:r>
      <w:r>
        <w:rPr>
          <w:rStyle w:val="Style_4_ch"/>
          <w:u w:val="none"/>
        </w:rPr>
        <w:t>утверждением данного проекта приказа Министерства жилищно-коммунального хозяйства и энергетики</w:t>
      </w:r>
      <w:r>
        <w:rPr>
          <w:rStyle w:val="Style_4_ch"/>
          <w:u w:val="none"/>
        </w:rPr>
        <w:t xml:space="preserve"> Республики Саха (Якутия) </w:t>
      </w:r>
      <w:r>
        <w:rPr>
          <w:rStyle w:val="Style_4_ch"/>
          <w:u w:val="none"/>
        </w:rPr>
        <w:t>не выявлены.</w:t>
      </w:r>
    </w:p>
    <w:p w14:paraId="2D000000">
      <w:pPr>
        <w:widowControl w:val="0"/>
        <w:tabs>
          <w:tab w:leader="none" w:pos="1134" w:val="left"/>
        </w:tabs>
        <w:spacing w:line="276" w:lineRule="auto"/>
        <w:ind w:firstLine="709"/>
        <w:jc w:val="both"/>
        <w:rPr>
          <w:u w:val="single"/>
        </w:rPr>
      </w:pPr>
      <w:r>
        <w:rPr>
          <w:u w:val="single"/>
        </w:rPr>
        <w:t>3</w:t>
      </w:r>
      <w:r>
        <w:rPr>
          <w:u w:val="single"/>
        </w:rPr>
        <w:t>.5.</w:t>
      </w:r>
      <w:r>
        <w:rPr>
          <w:u w:val="single"/>
        </w:rPr>
        <w:tab/>
      </w:r>
      <w:r>
        <w:rPr>
          <w:u w:val="single"/>
        </w:rPr>
        <w:t xml:space="preserve">Причины возникновения проблемы и факторы, поддерживающие ее существование: </w:t>
      </w:r>
    </w:p>
    <w:p w14:paraId="2E000000">
      <w:pPr>
        <w:widowControl w:val="0"/>
        <w:tabs>
          <w:tab w:leader="none" w:pos="1134" w:val="left"/>
        </w:tabs>
        <w:spacing w:line="276" w:lineRule="auto"/>
        <w:ind w:firstLine="709"/>
        <w:jc w:val="both"/>
        <w:rPr>
          <w:rFonts w:ascii="PT Astra Serif" w:hAnsi="PT Astra Serif"/>
          <w:sz w:val="24"/>
          <w:u w:val="none"/>
        </w:rPr>
      </w:pPr>
      <w:r>
        <w:rPr>
          <w:rFonts w:ascii="Times New Roman" w:hAnsi="Times New Roman"/>
          <w:sz w:val="24"/>
        </w:rPr>
        <w:t>В целях приведения в соответствие в связи с изменениями в п</w:t>
      </w:r>
      <w:r>
        <w:rPr>
          <w:rFonts w:ascii="Times New Roman" w:hAnsi="Times New Roman"/>
          <w:sz w:val="24"/>
        </w:rPr>
        <w:t>ункте 2 постановления Правительства Республики Саха (Якутия) от 1 июля 2026 г. № 245 «Об исполнительных органах государственной власти Республики Саха (Якутия), уполномоченных на принятие актов, устанавливающих порядки предоставления субсидий, в том числе грантов в форме субсидий, указанных в пунктах 1 и 7 статьи 78, пунктах 2 и 4 статьи 78.1 Бюджетного кодекса Российской Федерации, и отбора получателей указанных субсидий, в</w:t>
      </w:r>
      <w:r>
        <w:rPr>
          <w:rFonts w:ascii="Times New Roman" w:hAnsi="Times New Roman"/>
          <w:sz w:val="24"/>
        </w:rPr>
        <w:t xml:space="preserve"> том числе грантов в форме субсидий».</w:t>
      </w:r>
    </w:p>
    <w:p w14:paraId="2F000000">
      <w:pPr>
        <w:widowControl w:val="0"/>
        <w:tabs>
          <w:tab w:leader="none" w:pos="1134" w:val="left"/>
        </w:tabs>
        <w:spacing w:line="276" w:lineRule="auto"/>
        <w:ind w:firstLine="709"/>
        <w:jc w:val="both"/>
      </w:pPr>
      <w:r>
        <w:rPr>
          <w:u w:val="single"/>
        </w:rPr>
        <w:t>3</w:t>
      </w:r>
      <w:r>
        <w:rPr>
          <w:u w:val="single"/>
        </w:rPr>
        <w:t>.6.</w:t>
      </w:r>
      <w:r>
        <w:rPr>
          <w:u w:val="single"/>
        </w:rPr>
        <w:tab/>
      </w:r>
      <w:r>
        <w:rPr>
          <w:u w:val="single"/>
        </w:rPr>
        <w:t>Причины невозможности решения проблемы участниками соответствующих отношений самостоятельно, без вмешательства государства:</w:t>
      </w:r>
      <w:r>
        <w:t xml:space="preserve"> </w:t>
      </w:r>
    </w:p>
    <w:p w14:paraId="30000000">
      <w:pPr>
        <w:widowControl w:val="0"/>
        <w:spacing w:after="0" w:line="240" w:lineRule="auto"/>
        <w:ind w:firstLine="709" w:left="0" w:right="-285"/>
        <w:jc w:val="both"/>
        <w:rPr>
          <w:color w:val="000000"/>
          <w:u w:val="none"/>
        </w:rPr>
      </w:pPr>
      <w:r>
        <w:rPr>
          <w:rStyle w:val="Style_4_ch"/>
          <w:u w:val="none"/>
        </w:rPr>
        <w:t xml:space="preserve">Актуализация реализации мероприятия по </w:t>
      </w:r>
      <w:r>
        <w:rPr>
          <w:rStyle w:val="Style_4_ch"/>
          <w:u w:val="none"/>
        </w:rPr>
        <w:t xml:space="preserve">возмещению затрат хозяйствующим субъектам на уплату ими лизинговых </w:t>
      </w:r>
      <w:r>
        <w:rPr>
          <w:rStyle w:val="Style_4_ch"/>
          <w:u w:val="none"/>
        </w:rPr>
        <w:t>платежей, возникающи</w:t>
      </w:r>
      <w:r>
        <w:rPr>
          <w:rStyle w:val="Style_4_ch"/>
          <w:u w:val="none"/>
        </w:rPr>
        <w:t>х при приобретении комплексных модульных очистных сооружений (КОС) и</w:t>
      </w:r>
      <w:r>
        <w:rPr>
          <w:rStyle w:val="Style_4_ch"/>
          <w:u w:val="none"/>
        </w:rPr>
        <w:t xml:space="preserve"> своевременное о</w:t>
      </w:r>
      <w:r>
        <w:rPr>
          <w:color w:val="000000"/>
          <w:u w:val="none"/>
        </w:rPr>
        <w:t>своение государственных средств Республики Саха (Якутия), в целях реализации мероприятия, в соответствии с</w:t>
      </w:r>
      <w:r>
        <w:rPr>
          <w:rFonts w:ascii="Times New Roman" w:hAnsi="Times New Roman"/>
          <w:sz w:val="28"/>
        </w:rPr>
        <w:t xml:space="preserve"> </w:t>
      </w:r>
      <w:r>
        <w:rPr>
          <w:rFonts w:ascii="Times New Roman" w:hAnsi="Times New Roman"/>
          <w:sz w:val="24"/>
        </w:rPr>
        <w:t>Законом</w:t>
      </w:r>
      <w:r>
        <w:rPr>
          <w:rFonts w:ascii="Times New Roman" w:hAnsi="Times New Roman"/>
          <w:sz w:val="24"/>
        </w:rPr>
        <w:t xml:space="preserve"> Республики Саха (Якутия) от 3 декабря 2025 г. 2890-З N 455-VII «О государственном бюджете Республики Саха (Якутия) на 2026 год и на плановый период 2027 и 2028 годов»</w:t>
      </w:r>
      <w:r>
        <w:rPr>
          <w:color w:val="000000"/>
          <w:u w:val="none"/>
        </w:rPr>
        <w:t>.</w:t>
      </w:r>
    </w:p>
    <w:p w14:paraId="31000000">
      <w:pPr>
        <w:widowControl w:val="0"/>
        <w:tabs>
          <w:tab w:leader="none" w:pos="1134" w:val="left"/>
        </w:tabs>
        <w:spacing w:line="276" w:lineRule="auto"/>
        <w:ind w:firstLine="709"/>
        <w:jc w:val="both"/>
      </w:pPr>
      <w:r>
        <w:rPr>
          <w:u w:val="single"/>
        </w:rPr>
        <w:t>3</w:t>
      </w:r>
      <w:r>
        <w:rPr>
          <w:u w:val="single"/>
        </w:rPr>
        <w:t>.7.</w:t>
      </w:r>
      <w:r>
        <w:rPr>
          <w:u w:val="single"/>
        </w:rPr>
        <w:tab/>
      </w:r>
      <w:r>
        <w:rPr>
          <w:u w:val="single"/>
        </w:rPr>
        <w:t>Анализ</w:t>
      </w:r>
      <w:r>
        <w:rPr>
          <w:u w:val="single"/>
        </w:rPr>
        <w:t xml:space="preserve"> </w:t>
      </w:r>
      <w:r>
        <w:rPr>
          <w:u w:val="single"/>
        </w:rPr>
        <w:t>о</w:t>
      </w:r>
      <w:r>
        <w:rPr>
          <w:u w:val="single"/>
        </w:rPr>
        <w:t>пыт</w:t>
      </w:r>
      <w:r>
        <w:rPr>
          <w:u w:val="single"/>
        </w:rPr>
        <w:t>а</w:t>
      </w:r>
      <w:r>
        <w:rPr>
          <w:u w:val="single"/>
        </w:rPr>
        <w:t xml:space="preserve"> решения аналогичных проблем в других </w:t>
      </w:r>
      <w:r>
        <w:rPr>
          <w:u w:val="single"/>
        </w:rPr>
        <w:t>субъектах Российской Федерации:</w:t>
      </w:r>
    </w:p>
    <w:p w14:paraId="32000000">
      <w:pPr>
        <w:widowControl w:val="0"/>
        <w:tabs>
          <w:tab w:leader="none" w:pos="1134" w:val="left"/>
        </w:tabs>
        <w:spacing w:line="276" w:lineRule="auto"/>
        <w:ind w:firstLine="709"/>
        <w:jc w:val="both"/>
        <w:rPr>
          <w:u w:val="none"/>
        </w:rPr>
      </w:pPr>
      <w:r>
        <w:rPr>
          <w:u w:val="none"/>
        </w:rPr>
        <w:t>Отсутствует.</w:t>
      </w:r>
    </w:p>
    <w:p w14:paraId="33000000">
      <w:pPr>
        <w:widowControl w:val="0"/>
        <w:tabs>
          <w:tab w:leader="none" w:pos="1134" w:val="left"/>
        </w:tabs>
        <w:spacing w:line="276" w:lineRule="auto"/>
        <w:ind w:firstLine="709"/>
        <w:jc w:val="both"/>
        <w:rPr>
          <w:u w:val="single"/>
        </w:rPr>
      </w:pPr>
      <w:r>
        <w:rPr>
          <w:u w:val="single"/>
        </w:rPr>
        <w:t>3</w:t>
      </w:r>
      <w:r>
        <w:rPr>
          <w:u w:val="single"/>
        </w:rPr>
        <w:t>.8.</w:t>
      </w:r>
      <w:r>
        <w:rPr>
          <w:u w:val="single"/>
        </w:rPr>
        <w:tab/>
      </w:r>
      <w:r>
        <w:rPr>
          <w:u w:val="single"/>
        </w:rPr>
        <w:t xml:space="preserve">Источники данных: </w:t>
      </w:r>
    </w:p>
    <w:p w14:paraId="34000000">
      <w:pPr>
        <w:widowControl w:val="0"/>
        <w:tabs>
          <w:tab w:leader="none" w:pos="1134" w:val="left"/>
        </w:tabs>
        <w:spacing w:line="276" w:lineRule="auto"/>
        <w:ind w:firstLine="709"/>
        <w:jc w:val="both"/>
        <w:rPr>
          <w:u w:val="none"/>
        </w:rPr>
      </w:pPr>
      <w:r>
        <w:rPr>
          <w:u w:val="none"/>
        </w:rPr>
        <w:t>Постановление Правительства Республики Саха (Якутия) от 28.06.2024 №284 «</w:t>
      </w:r>
      <w:r>
        <w:t>Об утверждении порядка предоставления субсидий из</w:t>
      </w:r>
      <w:r>
        <w:rPr>
          <w:u w:val="none"/>
        </w:rPr>
        <w:t xml:space="preserve"> </w:t>
      </w:r>
      <w:r>
        <w:t>государственного бюджета Республики Саха (Якутия) на возмещение</w:t>
      </w:r>
      <w:r>
        <w:rPr>
          <w:u w:val="none"/>
        </w:rPr>
        <w:t xml:space="preserve"> </w:t>
      </w:r>
      <w:r>
        <w:t>затрат хозяйствующим субъектам на уплату ими лизинговых платежей,</w:t>
      </w:r>
    </w:p>
    <w:p w14:paraId="35000000">
      <w:r>
        <w:t xml:space="preserve">возникающих при приобретении комплексных модульных очистных </w:t>
      </w:r>
      <w:r>
        <w:t>сооружений (КОС).</w:t>
      </w:r>
    </w:p>
    <w:p w14:paraId="36000000">
      <w:pPr>
        <w:widowControl w:val="0"/>
        <w:tabs>
          <w:tab w:leader="none" w:pos="1134" w:val="left"/>
        </w:tabs>
        <w:spacing w:line="276" w:lineRule="auto"/>
        <w:ind w:firstLine="709"/>
        <w:jc w:val="both"/>
      </w:pPr>
      <w:r>
        <w:rPr>
          <w:u w:val="single"/>
        </w:rPr>
        <w:t>3</w:t>
      </w:r>
      <w:r>
        <w:rPr>
          <w:u w:val="single"/>
        </w:rPr>
        <w:t>.9.</w:t>
      </w:r>
      <w:r>
        <w:rPr>
          <w:u w:val="single"/>
        </w:rPr>
        <w:tab/>
      </w:r>
      <w:r>
        <w:rPr>
          <w:u w:val="single"/>
        </w:rPr>
        <w:t>Иная информация о проблеме</w:t>
      </w:r>
      <w:r>
        <w:t xml:space="preserve">: </w:t>
      </w:r>
    </w:p>
    <w:p w14:paraId="37000000">
      <w:pPr>
        <w:widowControl w:val="0"/>
        <w:tabs>
          <w:tab w:leader="none" w:pos="1134" w:val="left"/>
        </w:tabs>
        <w:spacing w:line="276" w:lineRule="auto"/>
        <w:ind w:firstLine="709"/>
        <w:jc w:val="both"/>
      </w:pPr>
      <w:r>
        <w:t>Отсутствует.</w:t>
      </w:r>
    </w:p>
    <w:p w14:paraId="38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4</w:t>
      </w:r>
      <w:r>
        <w:rPr>
          <w:rFonts w:ascii="PT Astra Serif" w:hAnsi="PT Astra Serif"/>
          <w:b w:val="1"/>
        </w:rPr>
        <w:t>.</w:t>
      </w:r>
      <w:r>
        <w:rPr>
          <w:rFonts w:ascii="PT Astra Serif" w:hAnsi="PT Astra Serif"/>
          <w:b w:val="1"/>
        </w:rPr>
        <w:tab/>
      </w:r>
      <w:r>
        <w:rPr>
          <w:rFonts w:ascii="PT Astra Serif" w:hAnsi="PT Astra Serif"/>
          <w:b w:val="1"/>
        </w:rPr>
        <w:t>Определение целей предлагаемого правового регулирования</w:t>
      </w:r>
      <w:r>
        <w:rPr>
          <w:rFonts w:ascii="PT Astra Serif" w:hAnsi="PT Astra Serif"/>
          <w:b w:val="1"/>
        </w:rPr>
        <w:t xml:space="preserve"> и их </w:t>
      </w:r>
      <w:r>
        <w:rPr>
          <w:rFonts w:ascii="PT Astra Serif" w:hAnsi="PT Astra Serif"/>
          <w:b w:val="1"/>
        </w:rPr>
        <w:t>соответстви</w:t>
      </w:r>
      <w:r>
        <w:rPr>
          <w:rFonts w:ascii="PT Astra Serif" w:hAnsi="PT Astra Serif"/>
          <w:b w:val="1"/>
        </w:rPr>
        <w:t>е</w:t>
      </w:r>
      <w:r>
        <w:rPr>
          <w:rFonts w:ascii="PT Astra Serif" w:hAnsi="PT Astra Serif"/>
          <w:b w:val="1"/>
        </w:rPr>
        <w:t xml:space="preserve"> принципам правового регулирования. Индикативные показатели, программы мониторинга и иные способы (методы) оценки достижения заявленных целей регулирования</w:t>
      </w:r>
    </w:p>
    <w:tbl>
      <w:tblPr>
        <w:tblStyle w:val="Style_3"/>
        <w:tblW w:type="auto" w:w="0"/>
        <w:tblInd w:type="dxa" w:w="-5"/>
        <w:tblLayout w:type="fixed"/>
        <w:tblCellMar>
          <w:top w:type="dxa" w:w="102"/>
          <w:left w:type="dxa" w:w="62"/>
          <w:bottom w:type="dxa" w:w="102"/>
          <w:right w:type="dxa" w:w="62"/>
        </w:tblCellMar>
      </w:tblPr>
      <w:tblGrid>
        <w:gridCol w:w="3544"/>
        <w:gridCol w:w="3119"/>
        <w:gridCol w:w="2703"/>
      </w:tblGrid>
      <w:tr>
        <w:tc>
          <w:tcPr>
            <w:tcW w:type="dxa" w:w="354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9000000">
            <w:pPr>
              <w:widowControl w:val="0"/>
              <w:spacing w:line="276" w:lineRule="auto"/>
              <w:ind/>
              <w:jc w:val="center"/>
              <w:rPr>
                <w:rFonts w:ascii="PT Astra Serif" w:hAnsi="PT Astra Serif"/>
              </w:rPr>
            </w:pPr>
            <w:r>
              <w:rPr>
                <w:rFonts w:ascii="PT Astra Serif" w:hAnsi="PT Astra Serif"/>
              </w:rPr>
              <w:t>4</w:t>
            </w:r>
            <w:r>
              <w:rPr>
                <w:rFonts w:ascii="PT Astra Serif" w:hAnsi="PT Astra Serif"/>
              </w:rPr>
              <w:t>.1. Цели предлагаемого правового регулирования</w:t>
            </w:r>
          </w:p>
        </w:tc>
        <w:tc>
          <w:tcPr>
            <w:tcW w:type="dxa" w:w="31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A000000">
            <w:pPr>
              <w:widowControl w:val="0"/>
              <w:spacing w:line="276" w:lineRule="auto"/>
              <w:ind/>
              <w:jc w:val="center"/>
              <w:rPr>
                <w:rFonts w:ascii="PT Astra Serif" w:hAnsi="PT Astra Serif"/>
              </w:rPr>
            </w:pPr>
            <w:r>
              <w:rPr>
                <w:rFonts w:ascii="PT Astra Serif" w:hAnsi="PT Astra Serif"/>
              </w:rPr>
              <w:t>4</w:t>
            </w:r>
            <w:r>
              <w:rPr>
                <w:rFonts w:ascii="PT Astra Serif" w:hAnsi="PT Astra Serif"/>
              </w:rPr>
              <w:t xml:space="preserve">.2. </w:t>
            </w:r>
            <w:r>
              <w:rPr>
                <w:rFonts w:ascii="PT Astra Serif" w:hAnsi="PT Astra Serif"/>
                <w:color w:val="000000"/>
              </w:rPr>
              <w:t xml:space="preserve">Установленные </w:t>
            </w:r>
            <w:r>
              <w:rPr>
                <w:rFonts w:ascii="PT Astra Serif" w:hAnsi="PT Astra Serif"/>
              </w:rPr>
              <w:t>с</w:t>
            </w:r>
            <w:r>
              <w:rPr>
                <w:rFonts w:ascii="PT Astra Serif" w:hAnsi="PT Astra Serif"/>
              </w:rPr>
              <w:t>роки достижения целей предлагаемого правового регулирования</w:t>
            </w:r>
          </w:p>
        </w:tc>
        <w:tc>
          <w:tcPr>
            <w:tcW w:type="dxa" w:w="270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B000000">
            <w:pPr>
              <w:widowControl w:val="0"/>
              <w:spacing w:line="276" w:lineRule="auto"/>
              <w:ind/>
              <w:jc w:val="center"/>
              <w:rPr>
                <w:rFonts w:ascii="PT Astra Serif" w:hAnsi="PT Astra Serif"/>
              </w:rPr>
            </w:pPr>
            <w:r>
              <w:rPr>
                <w:rFonts w:ascii="PT Astra Serif" w:hAnsi="PT Astra Serif"/>
              </w:rPr>
              <w:t>4</w:t>
            </w:r>
            <w:r>
              <w:rPr>
                <w:rFonts w:ascii="PT Astra Serif" w:hAnsi="PT Astra Serif"/>
              </w:rPr>
              <w:t>.3. Периодичность мониторинга достижения целей предлагаемого правового регулирования</w:t>
            </w:r>
          </w:p>
        </w:tc>
      </w:tr>
      <w:tr>
        <w:trPr>
          <w:trHeight w:hRule="atLeast" w:val="144"/>
        </w:trPr>
        <w:tc>
          <w:tcPr>
            <w:tcW w:type="dxa" w:w="354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C000000">
            <w:pPr>
              <w:widowControl w:val="0"/>
              <w:spacing w:line="276" w:lineRule="auto"/>
              <w:ind w:firstLine="0"/>
              <w:jc w:val="both"/>
              <w:rPr>
                <w:rFonts w:ascii="PT Astra Serif" w:hAnsi="PT Astra Serif"/>
                <w:i w:val="1"/>
                <w:sz w:val="24"/>
              </w:rPr>
            </w:pPr>
            <w:r>
              <w:rPr>
                <w:rFonts w:ascii="Times New Roman" w:hAnsi="Times New Roman"/>
                <w:sz w:val="24"/>
              </w:rPr>
              <w:t>П</w:t>
            </w:r>
            <w:r>
              <w:rPr>
                <w:rFonts w:ascii="Times New Roman" w:hAnsi="Times New Roman"/>
                <w:sz w:val="24"/>
              </w:rPr>
              <w:t>овышение</w:t>
            </w:r>
            <w:r>
              <w:rPr>
                <w:rFonts w:ascii="Times New Roman" w:hAnsi="Times New Roman"/>
                <w:sz w:val="24"/>
              </w:rPr>
              <w:t xml:space="preserve"> качества и надежности предоставления коммунальных услуг</w:t>
            </w:r>
          </w:p>
        </w:tc>
        <w:tc>
          <w:tcPr>
            <w:tcW w:type="dxa" w:w="311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D000000">
            <w:pPr>
              <w:widowControl w:val="0"/>
              <w:spacing w:line="276" w:lineRule="auto"/>
              <w:ind w:firstLine="0"/>
              <w:jc w:val="both"/>
              <w:rPr>
                <w:rFonts w:ascii="PT Astra Serif" w:hAnsi="PT Astra Serif"/>
                <w:sz w:val="24"/>
              </w:rPr>
            </w:pPr>
            <w:r>
              <w:rPr>
                <w:rFonts w:ascii="Times New Roman" w:hAnsi="Times New Roman"/>
                <w:sz w:val="24"/>
              </w:rPr>
              <w:t xml:space="preserve"> с момента </w:t>
            </w:r>
            <w:r>
              <w:rPr>
                <w:rFonts w:ascii="Times New Roman" w:hAnsi="Times New Roman"/>
                <w:sz w:val="24"/>
              </w:rPr>
              <w:t>предоставления</w:t>
            </w:r>
            <w:r>
              <w:rPr>
                <w:rFonts w:ascii="Times New Roman" w:hAnsi="Times New Roman"/>
                <w:sz w:val="24"/>
              </w:rPr>
              <w:t xml:space="preserve"> </w:t>
            </w:r>
          </w:p>
        </w:tc>
        <w:tc>
          <w:tcPr>
            <w:tcW w:type="dxa" w:w="270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E000000">
            <w:pPr>
              <w:widowControl w:val="0"/>
              <w:spacing w:line="276" w:lineRule="auto"/>
              <w:ind w:firstLine="709"/>
              <w:jc w:val="center"/>
              <w:rPr>
                <w:rFonts w:ascii="PT Astra Serif" w:hAnsi="PT Astra Serif"/>
                <w:sz w:val="24"/>
              </w:rPr>
            </w:pPr>
            <w:r>
              <w:rPr>
                <w:rFonts w:ascii="Times New Roman" w:hAnsi="Times New Roman"/>
                <w:sz w:val="24"/>
              </w:rPr>
              <w:t>ежеквартально</w:t>
            </w:r>
          </w:p>
        </w:tc>
      </w:tr>
    </w:tbl>
    <w:p w14:paraId="3F000000">
      <w:pPr>
        <w:widowControl w:val="0"/>
        <w:tabs>
          <w:tab w:leader="none" w:pos="1134" w:val="left"/>
        </w:tabs>
        <w:spacing w:line="276" w:lineRule="auto"/>
        <w:ind w:firstLine="709"/>
        <w:jc w:val="both"/>
        <w:rPr>
          <w:rFonts w:ascii="PT Astra Serif" w:hAnsi="PT Astra Serif"/>
          <w:u w:val="single"/>
        </w:rPr>
      </w:pPr>
      <w:r>
        <w:rPr>
          <w:rFonts w:ascii="PT Astra Serif" w:hAnsi="PT Astra Serif"/>
          <w:u w:val="single"/>
        </w:rPr>
        <w:t>4</w:t>
      </w:r>
      <w:r>
        <w:rPr>
          <w:rFonts w:ascii="PT Astra Serif" w:hAnsi="PT Astra Serif"/>
          <w:u w:val="single"/>
        </w:rPr>
        <w:t>.4.</w:t>
      </w:r>
      <w:r>
        <w:rPr>
          <w:rFonts w:ascii="PT Astra Serif" w:hAnsi="PT Astra Serif"/>
          <w:u w:val="single"/>
        </w:rPr>
        <w:tab/>
      </w:r>
      <w:r>
        <w:rPr>
          <w:rFonts w:ascii="PT Astra Serif" w:hAnsi="PT Astra Serif"/>
          <w:u w:val="single"/>
        </w:rPr>
        <w:t xml:space="preserve">Действующие нормативные правовые акты, поручения, другие решения, из которых </w:t>
      </w:r>
      <w:r>
        <w:rPr>
          <w:rFonts w:ascii="PT Astra Serif" w:hAnsi="PT Astra Serif"/>
          <w:u w:val="single"/>
        </w:rPr>
        <w:t>вытекает необходимость разработки предлагаемого правового регулирования в данной области, которые определяют необходимость постановки указанных целей:</w:t>
      </w:r>
    </w:p>
    <w:p w14:paraId="40000000">
      <w:pPr>
        <w:widowControl w:val="0"/>
        <w:tabs>
          <w:tab w:leader="none" w:pos="1134" w:val="left"/>
        </w:tabs>
        <w:spacing w:line="276" w:lineRule="auto"/>
        <w:ind w:firstLine="709"/>
        <w:jc w:val="both"/>
        <w:rPr>
          <w:u w:val="none"/>
        </w:rPr>
      </w:pPr>
      <w:r>
        <w:rPr>
          <w:u w:val="none"/>
        </w:rPr>
        <w:t>Постановление Правительства Республики Саха (Якутия) от 28.06.2024 №284 «</w:t>
      </w:r>
      <w:r>
        <w:t>Об утверждении порядка предоставления субсидий из</w:t>
      </w:r>
      <w:r>
        <w:rPr>
          <w:u w:val="none"/>
        </w:rPr>
        <w:t xml:space="preserve"> </w:t>
      </w:r>
      <w:r>
        <w:t>государственного бюджета Республики Саха (Якутия) на возмещение</w:t>
      </w:r>
      <w:r>
        <w:rPr>
          <w:u w:val="none"/>
        </w:rPr>
        <w:t xml:space="preserve"> </w:t>
      </w:r>
      <w:r>
        <w:t>затрат хозяйствующим субъектам на уплату ими лизинговых платежей,</w:t>
      </w:r>
      <w:r>
        <w:rPr>
          <w:u w:val="none"/>
        </w:rPr>
        <w:t xml:space="preserve"> </w:t>
      </w:r>
      <w:r>
        <w:t xml:space="preserve">возникающих при приобретении комплексных модульных очистных </w:t>
      </w:r>
      <w:r>
        <w:t>сооружений (КОС).</w:t>
      </w:r>
    </w:p>
    <w:p w14:paraId="41000000">
      <w:pPr>
        <w:widowControl w:val="0"/>
        <w:spacing w:after="0" w:line="240" w:lineRule="auto"/>
        <w:ind w:firstLine="709" w:left="0" w:right="-285"/>
        <w:jc w:val="both"/>
        <w:rPr>
          <w:rFonts w:ascii="XO Thames" w:hAnsi="XO Thames"/>
          <w:sz w:val="24"/>
        </w:rPr>
      </w:pPr>
      <w:r>
        <w:rPr>
          <w:rStyle w:val="Style_4_ch"/>
          <w:rFonts w:ascii="XO Thames" w:hAnsi="XO Thames"/>
          <w:sz w:val="24"/>
        </w:rPr>
        <w:t xml:space="preserve">Пункт 4 протокола Министерства жилищно-коммунального хозяйства и энергетики Республики Саха (Якутия) </w:t>
      </w:r>
      <w:r>
        <w:rPr>
          <w:rStyle w:val="Style_4_ch"/>
          <w:rFonts w:ascii="XO Thames" w:hAnsi="XO Thames"/>
          <w:sz w:val="24"/>
        </w:rPr>
        <w:t>от 08.10.2024 № 2-450 о заседании комиссии по отбору получателей по предоставлению субсидий из государственного бюджета Республики Саха (Якутия) на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w:t>
      </w:r>
    </w:p>
    <w:p w14:paraId="42000000">
      <w:pPr>
        <w:widowControl w:val="0"/>
        <w:tabs>
          <w:tab w:leader="none" w:pos="1134" w:val="left"/>
        </w:tabs>
        <w:spacing w:line="276" w:lineRule="auto"/>
        <w:ind w:firstLine="709"/>
        <w:jc w:val="both"/>
        <w:rPr>
          <w:rFonts w:ascii="PT Astra Serif" w:hAnsi="PT Astra Serif"/>
        </w:rPr>
      </w:pPr>
    </w:p>
    <w:tbl>
      <w:tblPr>
        <w:tblStyle w:val="Style_3"/>
        <w:tblW w:type="auto" w:w="0"/>
        <w:tblInd w:type="dxa" w:w="-5"/>
        <w:tblLayout w:type="fixed"/>
        <w:tblCellMar>
          <w:top w:type="dxa" w:w="102"/>
          <w:left w:type="dxa" w:w="62"/>
          <w:bottom w:type="dxa" w:w="102"/>
          <w:right w:type="dxa" w:w="62"/>
        </w:tblCellMar>
      </w:tblPr>
      <w:tblGrid>
        <w:gridCol w:w="3402"/>
        <w:gridCol w:w="1985"/>
        <w:gridCol w:w="1701"/>
        <w:gridCol w:w="2278"/>
      </w:tblGrid>
      <w:tr>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3000000">
            <w:pPr>
              <w:widowControl w:val="0"/>
              <w:spacing w:line="276" w:lineRule="auto"/>
              <w:ind/>
              <w:rPr>
                <w:rFonts w:ascii="PT Astra Serif" w:hAnsi="PT Astra Serif"/>
              </w:rPr>
            </w:pPr>
            <w:r>
              <w:rPr>
                <w:rFonts w:ascii="PT Astra Serif" w:hAnsi="PT Astra Serif"/>
              </w:rPr>
              <w:t>4</w:t>
            </w:r>
            <w:r>
              <w:rPr>
                <w:rFonts w:ascii="PT Astra Serif" w:hAnsi="PT Astra Serif"/>
              </w:rPr>
              <w:t>.5. Цели предлагаемого правового регулирования</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4000000">
            <w:pPr>
              <w:widowControl w:val="0"/>
              <w:spacing w:line="276" w:lineRule="auto"/>
              <w:ind/>
              <w:rPr>
                <w:rFonts w:ascii="PT Astra Serif" w:hAnsi="PT Astra Serif"/>
              </w:rPr>
            </w:pPr>
            <w:r>
              <w:rPr>
                <w:rFonts w:ascii="PT Astra Serif" w:hAnsi="PT Astra Serif"/>
              </w:rPr>
              <w:t>4</w:t>
            </w:r>
            <w:r>
              <w:rPr>
                <w:rFonts w:ascii="PT Astra Serif" w:hAnsi="PT Astra Serif"/>
              </w:rPr>
              <w:t>.6. Индикаторы достижения целей предлагаемого правового регулирования</w:t>
            </w: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5000000">
            <w:pPr>
              <w:widowControl w:val="0"/>
              <w:spacing w:line="276" w:lineRule="auto"/>
              <w:ind/>
              <w:rPr>
                <w:rFonts w:ascii="PT Astra Serif" w:hAnsi="PT Astra Serif"/>
              </w:rPr>
            </w:pPr>
            <w:r>
              <w:rPr>
                <w:rFonts w:ascii="PT Astra Serif" w:hAnsi="PT Astra Serif"/>
              </w:rPr>
              <w:t>4</w:t>
            </w:r>
            <w:r>
              <w:rPr>
                <w:rFonts w:ascii="PT Astra Serif" w:hAnsi="PT Astra Serif"/>
              </w:rPr>
              <w:t>.7. Единица измерения индикаторов</w:t>
            </w:r>
          </w:p>
        </w:tc>
        <w:tc>
          <w:tcPr>
            <w:tcW w:type="dxa" w:w="227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6000000">
            <w:pPr>
              <w:widowControl w:val="0"/>
              <w:spacing w:line="276" w:lineRule="auto"/>
              <w:ind/>
              <w:rPr>
                <w:rFonts w:ascii="PT Astra Serif" w:hAnsi="PT Astra Serif"/>
              </w:rPr>
            </w:pPr>
            <w:r>
              <w:rPr>
                <w:rFonts w:ascii="PT Astra Serif" w:hAnsi="PT Astra Serif"/>
              </w:rPr>
              <w:t>4</w:t>
            </w:r>
            <w:r>
              <w:rPr>
                <w:rFonts w:ascii="PT Astra Serif" w:hAnsi="PT Astra Serif"/>
              </w:rPr>
              <w:t>.8. Целевые значения индикаторов по годам</w:t>
            </w:r>
          </w:p>
        </w:tc>
      </w:tr>
      <w:tr>
        <w:tc>
          <w:tcPr>
            <w:tcW w:type="dxa" w:w="340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47000000">
            <w:pPr>
              <w:widowControl w:val="0"/>
              <w:spacing w:line="276" w:lineRule="auto"/>
              <w:ind w:firstLine="0" w:left="0"/>
              <w:jc w:val="both"/>
              <w:rPr>
                <w:rFonts w:ascii="PT Astra Serif" w:hAnsi="PT Astra Serif"/>
                <w:strike w:val="1"/>
                <w:sz w:val="24"/>
              </w:rPr>
            </w:pPr>
            <w:r>
              <w:rPr>
                <w:rFonts w:ascii="Times New Roman" w:hAnsi="Times New Roman"/>
                <w:sz w:val="24"/>
              </w:rPr>
              <w:t>П</w:t>
            </w:r>
            <w:r>
              <w:rPr>
                <w:rFonts w:ascii="Times New Roman" w:hAnsi="Times New Roman"/>
                <w:sz w:val="24"/>
              </w:rPr>
              <w:t>овышение</w:t>
            </w:r>
            <w:r>
              <w:rPr>
                <w:rFonts w:ascii="Times New Roman" w:hAnsi="Times New Roman"/>
                <w:sz w:val="24"/>
              </w:rPr>
              <w:t xml:space="preserve"> качества и надежности предоставления коммунальных услуг</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8000000">
            <w:pPr>
              <w:widowControl w:val="0"/>
              <w:numPr>
                <w:ilvl w:val="0"/>
                <w:numId w:val="1"/>
              </w:numPr>
              <w:tabs>
                <w:tab w:leader="none" w:pos="520" w:val="left"/>
              </w:tabs>
              <w:spacing w:after="0" w:line="240" w:lineRule="auto"/>
              <w:ind w:firstLine="0" w:left="0"/>
              <w:jc w:val="left"/>
              <w:rPr>
                <w:rFonts w:ascii="XO Thames" w:hAnsi="XO Thames"/>
                <w:sz w:val="24"/>
              </w:rPr>
            </w:pPr>
            <w:r>
              <w:rPr>
                <w:rFonts w:ascii="XO Thames" w:hAnsi="XO Thames"/>
                <w:sz w:val="24"/>
              </w:rPr>
              <w:t>приобретение оборудования комплекса модульных очистных сооружений (КОС);</w:t>
            </w:r>
          </w:p>
          <w:p w14:paraId="49000000">
            <w:r>
              <w:rPr>
                <w:rStyle w:val="Style_4_ch"/>
                <w:rFonts w:ascii="XO Thames" w:hAnsi="XO Thames"/>
                <w:sz w:val="24"/>
              </w:rPr>
              <w:t>2)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w:t>
            </w:r>
          </w:p>
          <w:p w14:paraId="4A000000">
            <w:pPr>
              <w:widowControl w:val="0"/>
              <w:spacing w:line="276" w:lineRule="auto"/>
              <w:ind w:firstLine="709"/>
              <w:jc w:val="center"/>
              <w:rPr>
                <w:rFonts w:ascii="PT Astra Serif" w:hAnsi="PT Astra Serif"/>
                <w:strike w:val="1"/>
              </w:rPr>
            </w:pPr>
          </w:p>
        </w:tc>
        <w:tc>
          <w:tcPr>
            <w:tcW w:type="dxa" w:w="1701"/>
            <w:tcBorders>
              <w:top w:color="000000" w:sz="4" w:val="single"/>
              <w:left w:color="000000" w:sz="4" w:val="single"/>
              <w:bottom w:color="000000" w:sz="4" w:val="single"/>
              <w:right w:color="000000" w:sz="4" w:val="single"/>
            </w:tcBorders>
            <w:tcMar>
              <w:top w:type="dxa" w:w="102"/>
              <w:left w:type="dxa" w:w="62"/>
              <w:bottom w:type="dxa" w:w="102"/>
              <w:right w:type="dxa" w:w="62"/>
            </w:tcMar>
            <w:vAlign w:val="top"/>
          </w:tcPr>
          <w:p w14:paraId="4B000000">
            <w:pPr>
              <w:widowControl w:val="0"/>
              <w:numPr>
                <w:ilvl w:val="0"/>
                <w:numId w:val="2"/>
              </w:numPr>
              <w:spacing w:line="276" w:lineRule="auto"/>
              <w:ind/>
              <w:rPr>
                <w:rFonts w:ascii="PT Astra Serif" w:hAnsi="PT Astra Serif"/>
                <w:strike w:val="0"/>
              </w:rPr>
            </w:pPr>
            <w:r>
              <w:rPr>
                <w:rFonts w:ascii="PT Astra Serif" w:hAnsi="PT Astra Serif"/>
                <w:strike w:val="0"/>
              </w:rPr>
              <w:t>ед.</w:t>
            </w:r>
          </w:p>
          <w:p w14:paraId="4C000000">
            <w:pPr>
              <w:widowControl w:val="0"/>
              <w:numPr>
                <w:ilvl w:val="0"/>
                <w:numId w:val="2"/>
              </w:numPr>
              <w:spacing w:line="276" w:lineRule="auto"/>
              <w:ind/>
              <w:rPr>
                <w:rFonts w:ascii="PT Astra Serif" w:hAnsi="PT Astra Serif"/>
                <w:strike w:val="0"/>
              </w:rPr>
            </w:pPr>
            <w:r>
              <w:rPr>
                <w:rFonts w:ascii="PT Astra Serif" w:hAnsi="PT Astra Serif"/>
                <w:strike w:val="0"/>
              </w:rPr>
              <w:t>%</w:t>
            </w:r>
          </w:p>
        </w:tc>
        <w:tc>
          <w:tcPr>
            <w:tcW w:type="dxa" w:w="2278"/>
            <w:tcBorders>
              <w:top w:color="000000" w:sz="4" w:val="single"/>
              <w:left w:color="000000" w:sz="4" w:val="single"/>
              <w:bottom w:color="000000" w:sz="4" w:val="single"/>
              <w:right w:color="000000" w:sz="4" w:val="single"/>
            </w:tcBorders>
            <w:tcMar>
              <w:top w:type="dxa" w:w="102"/>
              <w:left w:type="dxa" w:w="62"/>
              <w:bottom w:type="dxa" w:w="102"/>
              <w:right w:type="dxa" w:w="62"/>
            </w:tcMar>
            <w:vAlign w:val="top"/>
          </w:tcPr>
          <w:p w14:paraId="4D000000">
            <w:pPr>
              <w:widowControl w:val="0"/>
              <w:numPr>
                <w:ilvl w:val="0"/>
                <w:numId w:val="3"/>
              </w:numPr>
              <w:tabs>
                <w:tab w:leader="none" w:pos="117" w:val="left"/>
              </w:tabs>
              <w:spacing w:after="0" w:line="240" w:lineRule="auto"/>
              <w:ind w:firstLine="0" w:left="0"/>
              <w:jc w:val="both"/>
              <w:rPr>
                <w:rFonts w:ascii="XO Thames" w:hAnsi="XO Thames"/>
                <w:sz w:val="24"/>
              </w:rPr>
            </w:pPr>
            <w:r>
              <w:rPr>
                <w:rFonts w:ascii="XO Thames" w:hAnsi="XO Thames"/>
                <w:sz w:val="24"/>
              </w:rPr>
              <w:t>приобретение оборудования комплекса модульных очистных сооружений (КОС) в текущем году – 1 ед;</w:t>
            </w:r>
          </w:p>
          <w:p w14:paraId="4E000000">
            <w:pPr>
              <w:widowControl w:val="0"/>
              <w:numPr>
                <w:ilvl w:val="0"/>
                <w:numId w:val="3"/>
              </w:numPr>
              <w:tabs>
                <w:tab w:leader="none" w:pos="117" w:val="left"/>
              </w:tabs>
              <w:spacing w:after="0" w:line="240" w:lineRule="auto"/>
              <w:ind w:firstLine="0" w:left="0"/>
              <w:jc w:val="both"/>
              <w:rPr>
                <w:rFonts w:ascii="XO Thames" w:hAnsi="XO Thames"/>
                <w:sz w:val="24"/>
              </w:rPr>
            </w:pPr>
            <w:r>
              <w:rPr>
                <w:rStyle w:val="Style_4_ch"/>
                <w:rFonts w:ascii="XO Thames" w:hAnsi="XO Thames"/>
                <w:sz w:val="24"/>
              </w:rPr>
              <w:t>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 в  100%.</w:t>
            </w:r>
          </w:p>
          <w:p w14:paraId="4F000000">
            <w:pPr>
              <w:widowControl w:val="0"/>
              <w:spacing w:line="276" w:lineRule="auto"/>
              <w:ind w:firstLine="709"/>
              <w:rPr>
                <w:rFonts w:ascii="PT Astra Serif" w:hAnsi="PT Astra Serif"/>
                <w:strike w:val="1"/>
              </w:rPr>
            </w:pPr>
          </w:p>
        </w:tc>
      </w:tr>
    </w:tbl>
    <w:p w14:paraId="50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4</w:t>
      </w:r>
      <w:r>
        <w:rPr>
          <w:rFonts w:ascii="PT Astra Serif" w:hAnsi="PT Astra Serif"/>
          <w:u w:val="single"/>
        </w:rPr>
        <w:t>.9</w:t>
      </w:r>
      <w:r>
        <w:rPr>
          <w:rFonts w:ascii="PT Astra Serif" w:hAnsi="PT Astra Serif"/>
          <w:u w:val="single"/>
        </w:rPr>
        <w:tab/>
      </w:r>
      <w:r>
        <w:rPr>
          <w:rFonts w:ascii="PT Astra Serif" w:hAnsi="PT Astra Serif"/>
          <w:u w:val="single"/>
        </w:rPr>
        <w:t>Методы расчета индикаторов достижения целей предлагаемого правового регулирования, источники информации для расчетов:</w:t>
      </w:r>
      <w:r>
        <w:rPr>
          <w:rFonts w:ascii="PT Astra Serif" w:hAnsi="PT Astra Serif"/>
        </w:rPr>
        <w:t xml:space="preserve"> </w:t>
      </w:r>
    </w:p>
    <w:p w14:paraId="51000000">
      <w:pPr>
        <w:widowControl w:val="0"/>
        <w:tabs>
          <w:tab w:leader="none" w:pos="1134" w:val="left"/>
        </w:tabs>
        <w:spacing w:line="276" w:lineRule="auto"/>
        <w:ind w:firstLine="709"/>
        <w:jc w:val="both"/>
        <w:rPr>
          <w:rFonts w:ascii="PT Astra Serif" w:hAnsi="PT Astra Serif"/>
        </w:rPr>
      </w:pPr>
      <w:r>
        <w:rPr>
          <w:rFonts w:ascii="PT Astra Serif" w:hAnsi="PT Astra Serif"/>
        </w:rPr>
        <w:t>Отсутствует.</w:t>
      </w:r>
    </w:p>
    <w:p w14:paraId="52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4</w:t>
      </w:r>
      <w:r>
        <w:rPr>
          <w:rFonts w:ascii="PT Astra Serif" w:hAnsi="PT Astra Serif"/>
          <w:u w:val="single"/>
        </w:rPr>
        <w:t>.10.</w:t>
      </w:r>
      <w:r>
        <w:rPr>
          <w:rFonts w:ascii="PT Astra Serif" w:hAnsi="PT Astra Serif"/>
          <w:u w:val="single"/>
        </w:rPr>
        <w:tab/>
      </w:r>
      <w:r>
        <w:rPr>
          <w:rFonts w:ascii="PT Astra Serif" w:hAnsi="PT Astra Serif"/>
          <w:u w:val="single"/>
        </w:rPr>
        <w:t>Проведение мониторинга и иные способы (методы) оценки достижения целей предлагаемого правового регулирования:</w:t>
      </w:r>
    </w:p>
    <w:p w14:paraId="53000000">
      <w:pPr>
        <w:widowControl w:val="0"/>
        <w:tabs>
          <w:tab w:leader="none" w:pos="1134" w:val="left"/>
        </w:tabs>
        <w:spacing w:line="276" w:lineRule="auto"/>
        <w:ind w:firstLine="709"/>
        <w:jc w:val="both"/>
        <w:rPr>
          <w:rFonts w:ascii="PT Astra Serif" w:hAnsi="PT Astra Serif"/>
          <w:u w:val="none"/>
        </w:rPr>
      </w:pPr>
      <w:r>
        <w:rPr>
          <w:rFonts w:ascii="PT Astra Serif" w:hAnsi="PT Astra Serif"/>
          <w:u w:val="none"/>
        </w:rPr>
        <w:t>Периодическая отчетность.</w:t>
      </w:r>
    </w:p>
    <w:p w14:paraId="54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4</w:t>
      </w:r>
      <w:r>
        <w:rPr>
          <w:rFonts w:ascii="PT Astra Serif" w:hAnsi="PT Astra Serif"/>
          <w:u w:val="single"/>
        </w:rPr>
        <w:t>.11.</w:t>
      </w:r>
      <w:r>
        <w:rPr>
          <w:rFonts w:ascii="PT Astra Serif" w:hAnsi="PT Astra Serif"/>
          <w:u w:val="single"/>
        </w:rPr>
        <w:tab/>
      </w:r>
      <w:r>
        <w:rPr>
          <w:rFonts w:ascii="PT Astra Serif" w:hAnsi="PT Astra Serif"/>
          <w:u w:val="single"/>
        </w:rPr>
        <w:t>Оценка затрат на проведение мониторинга достижения целей предлагаемого правового регулирования</w:t>
      </w:r>
      <w:r>
        <w:rPr>
          <w:rFonts w:ascii="PT Astra Serif" w:hAnsi="PT Astra Serif"/>
        </w:rPr>
        <w:t xml:space="preserve">: </w:t>
      </w:r>
    </w:p>
    <w:p w14:paraId="55000000">
      <w:pPr>
        <w:widowControl w:val="0"/>
        <w:tabs>
          <w:tab w:leader="none" w:pos="1134" w:val="left"/>
        </w:tabs>
        <w:spacing w:line="276" w:lineRule="auto"/>
        <w:ind w:firstLine="709"/>
        <w:jc w:val="both"/>
        <w:rPr>
          <w:rFonts w:ascii="PT Astra Serif" w:hAnsi="PT Astra Serif"/>
          <w:sz w:val="24"/>
        </w:rPr>
      </w:pPr>
      <w:r>
        <w:rPr>
          <w:rFonts w:ascii="Times New Roman" w:hAnsi="Times New Roman"/>
          <w:sz w:val="24"/>
          <w:u w:val="none"/>
        </w:rPr>
        <w:t>Мониторинг осуществляется в рамках</w:t>
      </w:r>
      <w:r>
        <w:rPr>
          <w:rFonts w:ascii="Times New Roman" w:hAnsi="Times New Roman"/>
          <w:sz w:val="24"/>
          <w:u w:val="none"/>
        </w:rPr>
        <w:t xml:space="preserve"> лимита</w:t>
      </w:r>
      <w:r>
        <w:rPr>
          <w:rFonts w:ascii="Times New Roman" w:hAnsi="Times New Roman"/>
          <w:sz w:val="24"/>
          <w:u w:val="none"/>
        </w:rPr>
        <w:t xml:space="preserve"> бюджетных ассигнований на исполнение полномочий Министерства</w:t>
      </w:r>
      <w:r>
        <w:rPr>
          <w:rFonts w:ascii="Times New Roman" w:hAnsi="Times New Roman"/>
          <w:sz w:val="24"/>
        </w:rPr>
        <w:t>.</w:t>
      </w:r>
    </w:p>
    <w:p w14:paraId="56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4</w:t>
      </w:r>
      <w:r>
        <w:rPr>
          <w:rFonts w:ascii="PT Astra Serif" w:hAnsi="PT Astra Serif"/>
          <w:u w:val="single"/>
        </w:rPr>
        <w:t>.12.</w:t>
      </w:r>
      <w:r>
        <w:rPr>
          <w:rFonts w:ascii="PT Astra Serif" w:hAnsi="PT Astra Serif"/>
          <w:u w:val="single"/>
        </w:rPr>
        <w:tab/>
      </w:r>
      <w:r>
        <w:rPr>
          <w:rFonts w:ascii="PT Astra Serif" w:hAnsi="PT Astra Serif"/>
          <w:u w:val="single"/>
        </w:rPr>
        <w:t>Источники информации для расчета индикаторов:</w:t>
      </w:r>
    </w:p>
    <w:p w14:paraId="57000000">
      <w:pPr>
        <w:widowControl w:val="0"/>
        <w:tabs>
          <w:tab w:leader="none" w:pos="1134" w:val="left"/>
        </w:tabs>
        <w:spacing w:line="276" w:lineRule="auto"/>
        <w:ind w:firstLine="709"/>
        <w:jc w:val="both"/>
        <w:rPr>
          <w:rFonts w:ascii="PT Astra Serif" w:hAnsi="PT Astra Serif"/>
          <w:u w:val="none"/>
        </w:rPr>
      </w:pPr>
      <w:r>
        <w:rPr>
          <w:rFonts w:ascii="PT Astra Serif" w:hAnsi="PT Astra Serif"/>
          <w:u w:val="none"/>
        </w:rPr>
        <w:t>Отсутствует.</w:t>
      </w:r>
    </w:p>
    <w:p w14:paraId="58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 xml:space="preserve">5. </w:t>
      </w:r>
      <w:r>
        <w:rPr>
          <w:rFonts w:ascii="PT Astra Serif" w:hAnsi="PT Astra Serif"/>
          <w:b w:val="1"/>
        </w:rPr>
        <w:t>Основные группы субъектов предпринимательской и инвестиционной деятельности, иные заинтересованные лица, включая органы государственной власти Республики Саха (Якутия) и органы местного самоуправления Республики Саха (Якутия), интересы которых будут затронуты предлагаемым правовым регулированием, оценка количества таких субъектов предпринимательской и инвестиционной деятельности</w:t>
      </w:r>
    </w:p>
    <w:p w14:paraId="59000000">
      <w:pPr>
        <w:widowControl w:val="0"/>
        <w:tabs>
          <w:tab w:leader="none" w:pos="1134" w:val="left"/>
        </w:tabs>
        <w:spacing w:line="276" w:lineRule="auto"/>
        <w:ind w:firstLine="709"/>
        <w:jc w:val="both"/>
        <w:rPr>
          <w:rFonts w:ascii="PT Astra Serif" w:hAnsi="PT Astra Serif"/>
        </w:rPr>
      </w:pPr>
    </w:p>
    <w:tbl>
      <w:tblPr>
        <w:tblStyle w:val="Style_3"/>
        <w:tblW w:type="auto" w:w="0"/>
        <w:tblLayout w:type="fixed"/>
        <w:tblCellMar>
          <w:top w:type="dxa" w:w="102"/>
          <w:left w:type="dxa" w:w="62"/>
          <w:bottom w:type="dxa" w:w="102"/>
          <w:right w:type="dxa" w:w="62"/>
        </w:tblCellMar>
      </w:tblPr>
      <w:tblGrid>
        <w:gridCol w:w="3614"/>
        <w:gridCol w:w="2253"/>
        <w:gridCol w:w="3606"/>
      </w:tblGrid>
      <w:tr>
        <w:trPr>
          <w:trHeight w:hRule="atLeast" w:val="1797"/>
        </w:trPr>
        <w:tc>
          <w:tcPr>
            <w:tcW w:type="dxa" w:w="361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A000000">
            <w:pPr>
              <w:widowControl w:val="0"/>
              <w:spacing w:line="276" w:lineRule="auto"/>
              <w:ind/>
              <w:jc w:val="center"/>
              <w:rPr>
                <w:rFonts w:ascii="PT Astra Serif" w:hAnsi="PT Astra Serif"/>
              </w:rPr>
            </w:pPr>
            <w:r>
              <w:rPr>
                <w:rFonts w:ascii="PT Astra Serif" w:hAnsi="PT Astra Serif"/>
              </w:rPr>
              <w:t>5</w:t>
            </w:r>
            <w:r>
              <w:rPr>
                <w:rFonts w:ascii="PT Astra Serif" w:hAnsi="PT Astra Serif"/>
              </w:rPr>
              <w:t>.1. Группы потенциальных адресатов предлагаемого правового регулирования (краткое описание их качественных характеристик)</w:t>
            </w:r>
          </w:p>
        </w:tc>
        <w:tc>
          <w:tcPr>
            <w:tcW w:type="dxa" w:w="225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B000000">
            <w:pPr>
              <w:widowControl w:val="0"/>
              <w:spacing w:line="276" w:lineRule="auto"/>
              <w:ind/>
              <w:jc w:val="center"/>
              <w:rPr>
                <w:rFonts w:ascii="PT Astra Serif" w:hAnsi="PT Astra Serif"/>
              </w:rPr>
            </w:pPr>
            <w:r>
              <w:rPr>
                <w:rFonts w:ascii="PT Astra Serif" w:hAnsi="PT Astra Serif"/>
              </w:rPr>
              <w:t>5</w:t>
            </w:r>
            <w:r>
              <w:rPr>
                <w:rFonts w:ascii="PT Astra Serif" w:hAnsi="PT Astra Serif"/>
              </w:rPr>
              <w:t xml:space="preserve">.2. </w:t>
            </w:r>
            <w:r>
              <w:rPr>
                <w:rFonts w:ascii="PT Astra Serif" w:hAnsi="PT Astra Serif"/>
              </w:rPr>
              <w:t>Оценка количества</w:t>
            </w:r>
            <w:r>
              <w:rPr>
                <w:rFonts w:ascii="PT Astra Serif" w:hAnsi="PT Astra Serif"/>
              </w:rPr>
              <w:t xml:space="preserve"> участников группы</w:t>
            </w:r>
          </w:p>
        </w:tc>
        <w:tc>
          <w:tcPr>
            <w:tcW w:type="dxa" w:w="36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C000000">
            <w:pPr>
              <w:widowControl w:val="0"/>
              <w:spacing w:line="276" w:lineRule="auto"/>
              <w:ind/>
              <w:jc w:val="center"/>
              <w:rPr>
                <w:rFonts w:ascii="PT Astra Serif" w:hAnsi="PT Astra Serif"/>
              </w:rPr>
            </w:pPr>
            <w:r>
              <w:rPr>
                <w:rFonts w:ascii="PT Astra Serif" w:hAnsi="PT Astra Serif"/>
              </w:rPr>
              <w:t>5</w:t>
            </w:r>
            <w:r>
              <w:rPr>
                <w:rFonts w:ascii="PT Astra Serif" w:hAnsi="PT Astra Serif"/>
              </w:rPr>
              <w:t>.3. Источники данных</w:t>
            </w:r>
          </w:p>
        </w:tc>
      </w:tr>
      <w:tr>
        <w:tc>
          <w:tcPr>
            <w:tcW w:type="dxa" w:w="361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D000000">
            <w:pPr>
              <w:widowControl w:val="0"/>
              <w:spacing w:line="276" w:lineRule="auto"/>
              <w:ind w:firstLine="709"/>
              <w:jc w:val="both"/>
              <w:rPr>
                <w:rFonts w:ascii="PT Astra Serif" w:hAnsi="PT Astra Serif"/>
              </w:rPr>
            </w:pPr>
            <w:r>
              <w:rPr>
                <w:rFonts w:ascii="Times New Roman" w:hAnsi="Times New Roman"/>
                <w:sz w:val="24"/>
              </w:rPr>
              <w:t>Ресурсоснабжающие</w:t>
            </w:r>
            <w:r>
              <w:rPr>
                <w:rFonts w:ascii="Times New Roman" w:hAnsi="Times New Roman"/>
                <w:sz w:val="24"/>
              </w:rPr>
              <w:t xml:space="preserve"> организации Республики Саха (Якутия) (по согласованию)</w:t>
            </w:r>
          </w:p>
        </w:tc>
        <w:tc>
          <w:tcPr>
            <w:tcW w:type="dxa" w:w="225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E000000">
            <w:pPr>
              <w:widowControl w:val="0"/>
              <w:spacing w:line="276" w:lineRule="auto"/>
              <w:ind w:firstLine="709"/>
              <w:jc w:val="left"/>
              <w:rPr>
                <w:rFonts w:ascii="PT Astra Serif" w:hAnsi="PT Astra Serif"/>
              </w:rPr>
            </w:pPr>
            <w:r>
              <w:rPr>
                <w:rFonts w:ascii="PT Astra Serif" w:hAnsi="PT Astra Serif"/>
              </w:rPr>
              <w:t>1</w:t>
            </w:r>
          </w:p>
        </w:tc>
        <w:tc>
          <w:tcPr>
            <w:tcW w:type="dxa" w:w="36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F000000">
            <w:pPr>
              <w:rPr>
                <w:rFonts w:ascii="XO Thames" w:hAnsi="XO Thames"/>
                <w:caps w:val="0"/>
              </w:rPr>
            </w:pPr>
            <w:r>
              <w:rPr>
                <w:rFonts w:ascii="XO Thames" w:hAnsi="XO Thames"/>
                <w:caps w:val="0"/>
              </w:rPr>
              <w:t>Порядок предоставления субсидий из государственного бюджета Республики Саха (Якутия) на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 утвержденный постановление Правительства Республики Саха (Якутия) от 28.06.2024 № 284 «Об утверждении порядка предоставления субсидий из государственного бюджета Республики Саха (Якутия) на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w:t>
            </w:r>
          </w:p>
        </w:tc>
      </w:tr>
    </w:tbl>
    <w:p w14:paraId="60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6</w:t>
      </w:r>
      <w:r>
        <w:rPr>
          <w:rFonts w:ascii="PT Astra Serif" w:hAnsi="PT Astra Serif"/>
          <w:b w:val="1"/>
        </w:rPr>
        <w:t>.</w:t>
      </w:r>
      <w:r>
        <w:rPr>
          <w:rFonts w:ascii="PT Astra Serif" w:hAnsi="PT Astra Serif"/>
          <w:b w:val="1"/>
        </w:rPr>
        <w:tab/>
      </w:r>
      <w:r>
        <w:rPr>
          <w:rFonts w:ascii="PT Astra Serif" w:hAnsi="PT Astra Serif"/>
          <w:b w:val="1"/>
        </w:rPr>
        <w:t xml:space="preserve">Новые </w:t>
      </w:r>
      <w:r>
        <w:rPr>
          <w:rFonts w:ascii="PT Astra Serif" w:hAnsi="PT Astra Serif"/>
          <w:b w:val="1"/>
        </w:rPr>
        <w:t>функции</w:t>
      </w:r>
      <w:r>
        <w:rPr>
          <w:rFonts w:ascii="PT Astra Serif" w:hAnsi="PT Astra Serif"/>
          <w:b w:val="1"/>
        </w:rPr>
        <w:t xml:space="preserve"> (полномочий, обязанностей, прав) органов государственной власти Республики Саха (Якутия) (органов местного самоуправления), а также порядка их реализации в связи с введением предлагаемого правового регулирования </w:t>
      </w:r>
    </w:p>
    <w:tbl>
      <w:tblPr>
        <w:tblStyle w:val="Style_3"/>
        <w:tblW w:type="auto" w:w="0"/>
        <w:tblLayout w:type="fixed"/>
        <w:tblCellMar>
          <w:top w:type="dxa" w:w="102"/>
          <w:left w:type="dxa" w:w="62"/>
          <w:bottom w:type="dxa" w:w="102"/>
          <w:right w:type="dxa" w:w="62"/>
        </w:tblCellMar>
      </w:tblPr>
      <w:tblGrid>
        <w:gridCol w:w="2142"/>
        <w:gridCol w:w="1842"/>
        <w:gridCol w:w="1843"/>
        <w:gridCol w:w="1985"/>
        <w:gridCol w:w="1582"/>
      </w:tblGrid>
      <w:tr>
        <w:tc>
          <w:tcPr>
            <w:tcW w:type="dxa" w:w="214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1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 xml:space="preserve">.1. </w:t>
            </w:r>
            <w:r>
              <w:rPr>
                <w:rFonts w:ascii="PT Astra Serif" w:hAnsi="PT Astra Serif"/>
              </w:rPr>
              <w:t>Описание новых или изменения существующи</w:t>
            </w:r>
            <w:r>
              <w:rPr>
                <w:rFonts w:ascii="PT Astra Serif" w:hAnsi="PT Astra Serif"/>
              </w:rPr>
              <w:t>х</w:t>
            </w:r>
            <w:r>
              <w:rPr>
                <w:rFonts w:ascii="PT Astra Serif" w:hAnsi="PT Astra Serif"/>
              </w:rPr>
              <w:t xml:space="preserve"> функций, полномочий</w:t>
            </w:r>
            <w:r>
              <w:rPr>
                <w:rFonts w:ascii="PT Astra Serif" w:hAnsi="PT Astra Serif"/>
              </w:rPr>
              <w:t xml:space="preserve">, </w:t>
            </w:r>
            <w:r>
              <w:rPr>
                <w:rFonts w:ascii="PT Astra Serif" w:hAnsi="PT Astra Serif"/>
              </w:rPr>
              <w:t>обязанностей или прав</w:t>
            </w:r>
          </w:p>
        </w:tc>
        <w:tc>
          <w:tcPr>
            <w:tcW w:type="dxa" w:w="184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2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.2. Характер функции (новая / изменяемая / отменяемая)</w:t>
            </w:r>
          </w:p>
        </w:tc>
        <w:tc>
          <w:tcPr>
            <w:tcW w:type="dxa" w:w="184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3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.3.</w:t>
            </w:r>
            <w:r>
              <w:rPr>
                <w:rFonts w:ascii="PT Astra Serif" w:hAnsi="PT Astra Serif"/>
              </w:rPr>
              <w:t>Предполагаемый порядок реализации</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4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.4. Оценка изменения трудовых затрат (чел./час в год), изменения численности сотрудников (чел.)</w:t>
            </w:r>
          </w:p>
        </w:tc>
        <w:tc>
          <w:tcPr>
            <w:tcW w:type="dxa" w:w="158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00000">
            <w:pPr>
              <w:widowControl w:val="0"/>
              <w:spacing w:line="276" w:lineRule="auto"/>
              <w:ind/>
              <w:jc w:val="center"/>
              <w:rPr>
                <w:rFonts w:ascii="PT Astra Serif" w:hAnsi="PT Astra Serif"/>
              </w:rPr>
            </w:pPr>
            <w:r>
              <w:rPr>
                <w:rFonts w:ascii="PT Astra Serif" w:hAnsi="PT Astra Serif"/>
              </w:rPr>
              <w:t>6</w:t>
            </w:r>
            <w:r>
              <w:rPr>
                <w:rFonts w:ascii="PT Astra Serif" w:hAnsi="PT Astra Serif"/>
              </w:rPr>
              <w:t>.5. Оценка изменения потребностей в других ресурсах</w:t>
            </w:r>
          </w:p>
        </w:tc>
      </w:tr>
      <w:tr>
        <w:tc>
          <w:tcPr>
            <w:tcW w:type="dxa" w:w="9394"/>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00000">
            <w:pPr>
              <w:widowControl w:val="0"/>
              <w:spacing w:line="276" w:lineRule="auto"/>
              <w:ind/>
              <w:rPr>
                <w:rFonts w:ascii="PT Astra Serif" w:hAnsi="PT Astra Serif"/>
              </w:rPr>
            </w:pPr>
            <w:r>
              <w:rPr>
                <w:rFonts w:ascii="PT Astra Serif" w:hAnsi="PT Astra Serif"/>
              </w:rPr>
              <w:t>Наим</w:t>
            </w:r>
            <w:r>
              <w:rPr>
                <w:rFonts w:ascii="PT Astra Serif" w:hAnsi="PT Astra Serif"/>
              </w:rPr>
              <w:t xml:space="preserve">енование органа </w:t>
            </w:r>
            <w:r>
              <w:t>государственной власти</w:t>
            </w:r>
            <w:r>
              <w:t>:</w:t>
            </w:r>
            <w:r>
              <w:t xml:space="preserve"> </w:t>
            </w:r>
            <w:r>
              <w:t xml:space="preserve">Министерство </w:t>
            </w:r>
            <w:r>
              <w:t>жилищно-коммунального хозяйства и энергетики</w:t>
            </w:r>
            <w:r>
              <w:t xml:space="preserve"> Республики Саха (Якутия)</w:t>
            </w:r>
          </w:p>
        </w:tc>
      </w:tr>
      <w:tr>
        <w:tc>
          <w:tcPr>
            <w:tcW w:type="dxa" w:w="214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00000">
            <w:pPr>
              <w:pStyle w:val="Style_4"/>
              <w:widowControl w:val="0"/>
              <w:spacing w:line="276" w:lineRule="auto"/>
              <w:ind/>
              <w:jc w:val="center"/>
            </w:pPr>
            <w:r>
              <w:t>Функция (полном</w:t>
            </w:r>
            <w:r>
              <w:t xml:space="preserve">очие, обязанность или право) </w:t>
            </w:r>
          </w:p>
        </w:tc>
        <w:tc>
          <w:tcPr>
            <w:tcW w:type="dxa" w:w="184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8000000">
            <w:pPr>
              <w:widowControl w:val="0"/>
              <w:spacing w:line="276" w:lineRule="auto"/>
              <w:ind w:firstLine="0"/>
              <w:jc w:val="center"/>
              <w:rPr>
                <w:rFonts w:ascii="PT Astra Serif" w:hAnsi="PT Astra Serif"/>
              </w:rPr>
            </w:pPr>
            <w:r>
              <w:rPr>
                <w:rFonts w:ascii="PT Astra Serif" w:hAnsi="PT Astra Serif"/>
              </w:rPr>
              <w:t>Не изменяемая</w:t>
            </w:r>
          </w:p>
        </w:tc>
        <w:tc>
          <w:tcPr>
            <w:tcW w:type="dxa" w:w="184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00000">
            <w:pPr>
              <w:widowControl w:val="0"/>
              <w:spacing w:line="276" w:lineRule="auto"/>
              <w:ind w:firstLine="0"/>
              <w:jc w:val="center"/>
              <w:rPr>
                <w:rFonts w:ascii="PT Astra Serif" w:hAnsi="PT Astra Serif"/>
              </w:rPr>
            </w:pPr>
            <w:r>
              <w:rPr>
                <w:rFonts w:ascii="PT Astra Serif" w:hAnsi="PT Astra Serif"/>
              </w:rPr>
              <w:t>Не изменяется</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A000000">
            <w:pPr>
              <w:widowControl w:val="0"/>
              <w:spacing w:line="276" w:lineRule="auto"/>
              <w:ind w:firstLine="0"/>
              <w:jc w:val="center"/>
              <w:rPr>
                <w:rFonts w:ascii="PT Astra Serif" w:hAnsi="PT Astra Serif"/>
              </w:rPr>
            </w:pPr>
            <w:r>
              <w:rPr>
                <w:rFonts w:ascii="PT Astra Serif" w:hAnsi="PT Astra Serif"/>
              </w:rPr>
              <w:t>Не изменяется</w:t>
            </w:r>
          </w:p>
        </w:tc>
        <w:tc>
          <w:tcPr>
            <w:tcW w:type="dxa" w:w="158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B000000">
            <w:pPr>
              <w:widowControl w:val="0"/>
              <w:spacing w:line="276" w:lineRule="auto"/>
              <w:ind w:hanging="142"/>
              <w:jc w:val="center"/>
              <w:rPr>
                <w:rFonts w:ascii="PT Astra Serif" w:hAnsi="PT Astra Serif"/>
              </w:rPr>
            </w:pPr>
            <w:r>
              <w:rPr>
                <w:rFonts w:ascii="PT Astra Serif" w:hAnsi="PT Astra Serif"/>
              </w:rPr>
              <w:t>Не требуется</w:t>
            </w:r>
          </w:p>
        </w:tc>
      </w:tr>
    </w:tbl>
    <w:p w14:paraId="6C000000">
      <w:pPr>
        <w:widowControl w:val="0"/>
        <w:tabs>
          <w:tab w:leader="none" w:pos="1134" w:val="left"/>
        </w:tabs>
        <w:spacing w:line="276" w:lineRule="auto"/>
        <w:ind w:firstLine="709"/>
        <w:jc w:val="both"/>
        <w:rPr>
          <w:rFonts w:ascii="PT Astra Serif" w:hAnsi="PT Astra Serif"/>
        </w:rPr>
      </w:pPr>
      <w:r>
        <w:rPr>
          <w:rFonts w:ascii="PT Astra Serif" w:hAnsi="PT Astra Serif"/>
          <w:b w:val="1"/>
        </w:rPr>
        <w:t xml:space="preserve">7. </w:t>
      </w:r>
      <w:r>
        <w:rPr>
          <w:rFonts w:ascii="PT Astra Serif" w:hAnsi="PT Astra Serif"/>
          <w:b w:val="1"/>
        </w:rPr>
        <w:t>Оценка</w:t>
      </w:r>
      <w:r>
        <w:rPr>
          <w:rFonts w:ascii="PT Astra Serif" w:hAnsi="PT Astra Serif"/>
          <w:b w:val="1"/>
          <w:color w:val="FF0000"/>
        </w:rPr>
        <w:t xml:space="preserve"> </w:t>
      </w:r>
      <w:r>
        <w:rPr>
          <w:rFonts w:ascii="PT Astra Serif" w:hAnsi="PT Astra Serif"/>
          <w:b w:val="1"/>
        </w:rPr>
        <w:t>соответствующи</w:t>
      </w:r>
      <w:r>
        <w:rPr>
          <w:rFonts w:ascii="PT Astra Serif" w:hAnsi="PT Astra Serif"/>
          <w:b w:val="1"/>
        </w:rPr>
        <w:t>х</w:t>
      </w:r>
      <w:r>
        <w:rPr>
          <w:rFonts w:ascii="PT Astra Serif" w:hAnsi="PT Astra Serif"/>
          <w:b w:val="1"/>
        </w:rPr>
        <w:t xml:space="preserve"> расходов (доходов) государственного бюджета Республики Саха (Якутия) (местных бюджетов), связанных с введением предлагаемого правового регулирования</w:t>
      </w:r>
    </w:p>
    <w:tbl>
      <w:tblPr>
        <w:tblStyle w:val="Style_3"/>
        <w:tblW w:type="auto" w:w="0"/>
        <w:tblInd w:type="dxa" w:w="-5"/>
        <w:tblLayout w:type="fixed"/>
        <w:tblCellMar>
          <w:top w:type="dxa" w:w="102"/>
          <w:left w:type="dxa" w:w="62"/>
          <w:bottom w:type="dxa" w:w="102"/>
          <w:right w:type="dxa" w:w="62"/>
        </w:tblCellMar>
      </w:tblPr>
      <w:tblGrid>
        <w:gridCol w:w="2835"/>
        <w:gridCol w:w="3686"/>
        <w:gridCol w:w="2845"/>
      </w:tblGrid>
      <w:tr>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00000">
            <w:pPr>
              <w:widowControl w:val="0"/>
              <w:spacing w:line="276" w:lineRule="auto"/>
              <w:ind/>
              <w:jc w:val="center"/>
              <w:rPr>
                <w:rFonts w:ascii="PT Astra Serif" w:hAnsi="PT Astra Serif"/>
              </w:rPr>
            </w:pPr>
            <w:r>
              <w:rPr>
                <w:rFonts w:ascii="PT Astra Serif" w:hAnsi="PT Astra Serif"/>
              </w:rPr>
              <w:t>7</w:t>
            </w:r>
            <w:r>
              <w:rPr>
                <w:rFonts w:ascii="PT Astra Serif" w:hAnsi="PT Astra Serif"/>
              </w:rPr>
              <w:t>.1. Наименование функции (полномочия, обязанности или права) (в соответствии с подпунктом 5.1)</w:t>
            </w:r>
          </w:p>
        </w:tc>
        <w:tc>
          <w:tcPr>
            <w:tcW w:type="dxa" w:w="368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00000">
            <w:pPr>
              <w:widowControl w:val="0"/>
              <w:spacing w:line="276" w:lineRule="auto"/>
              <w:ind/>
              <w:jc w:val="center"/>
              <w:rPr>
                <w:rFonts w:ascii="PT Astra Serif" w:hAnsi="PT Astra Serif"/>
              </w:rPr>
            </w:pPr>
            <w:r>
              <w:rPr>
                <w:rFonts w:ascii="PT Astra Serif" w:hAnsi="PT Astra Serif"/>
              </w:rPr>
              <w:t>7</w:t>
            </w:r>
            <w:r>
              <w:rPr>
                <w:rFonts w:ascii="PT Astra Serif" w:hAnsi="PT Astra Serif"/>
              </w:rPr>
              <w:t xml:space="preserve">.2. </w:t>
            </w:r>
            <w:r>
              <w:rPr>
                <w:rFonts w:ascii="PT Astra Serif" w:hAnsi="PT Astra Serif"/>
              </w:rPr>
              <w:t>Описание видов</w:t>
            </w:r>
            <w:r>
              <w:rPr>
                <w:rFonts w:ascii="PT Astra Serif" w:hAnsi="PT Astra Serif"/>
              </w:rPr>
              <w:t xml:space="preserve"> расходов (возможных поступлений) бюджета Республики Саха (Якутия) (местных бюджетов)</w:t>
            </w:r>
          </w:p>
          <w:p w14:paraId="6F000000">
            <w:pPr>
              <w:widowControl w:val="0"/>
              <w:spacing w:line="276" w:lineRule="auto"/>
              <w:ind/>
              <w:jc w:val="center"/>
              <w:rPr>
                <w:rFonts w:ascii="PT Astra Serif" w:hAnsi="PT Astra Serif"/>
              </w:rPr>
            </w:pPr>
          </w:p>
        </w:tc>
        <w:tc>
          <w:tcPr>
            <w:tcW w:type="dxa" w:w="2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0000000">
            <w:pPr>
              <w:widowControl w:val="0"/>
              <w:spacing w:line="276" w:lineRule="auto"/>
              <w:ind/>
              <w:jc w:val="center"/>
              <w:rPr>
                <w:rFonts w:ascii="PT Astra Serif" w:hAnsi="PT Astra Serif"/>
              </w:rPr>
            </w:pPr>
            <w:r>
              <w:rPr>
                <w:rFonts w:ascii="PT Astra Serif" w:hAnsi="PT Astra Serif"/>
              </w:rPr>
              <w:t>7</w:t>
            </w:r>
            <w:r>
              <w:rPr>
                <w:rFonts w:ascii="PT Astra Serif" w:hAnsi="PT Astra Serif"/>
              </w:rPr>
              <w:t>.3. Количественная оценка расходов и возможных поступлений, млн. рублей</w:t>
            </w:r>
          </w:p>
        </w:tc>
      </w:tr>
      <w:tr>
        <w:trPr>
          <w:trHeight w:hRule="atLeast" w:val="393"/>
        </w:trPr>
        <w:tc>
          <w:tcPr>
            <w:tcW w:type="dxa" w:w="9366"/>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1000000">
            <w:pPr>
              <w:widowControl w:val="0"/>
              <w:spacing w:line="276" w:lineRule="auto"/>
              <w:ind/>
              <w:rPr>
                <w:rFonts w:ascii="PT Astra Serif" w:hAnsi="PT Astra Serif"/>
              </w:rPr>
            </w:pPr>
            <w:r>
              <w:rPr>
                <w:rFonts w:ascii="PT Astra Serif" w:hAnsi="PT Astra Serif"/>
              </w:rPr>
              <w:t>Наименование</w:t>
            </w:r>
            <w:r>
              <w:rPr>
                <w:rFonts w:ascii="PT Astra Serif" w:hAnsi="PT Astra Serif"/>
              </w:rPr>
              <w:t xml:space="preserve"> органа государственной власти</w:t>
            </w:r>
            <w:r>
              <w:rPr>
                <w:rFonts w:ascii="PT Astra Serif" w:hAnsi="PT Astra Serif"/>
              </w:rPr>
              <w:t>:</w:t>
            </w:r>
            <w:r>
              <w:rPr>
                <w:rFonts w:ascii="PT Astra Serif" w:hAnsi="PT Astra Serif"/>
              </w:rPr>
              <w:t xml:space="preserve"> </w:t>
            </w:r>
            <w:r>
              <w:rPr>
                <w:rFonts w:ascii="PT Astra Serif" w:hAnsi="PT Astra Serif"/>
              </w:rPr>
              <w:t xml:space="preserve">Министерство </w:t>
            </w:r>
            <w:r>
              <w:rPr>
                <w:rFonts w:ascii="PT Astra Serif" w:hAnsi="PT Astra Serif"/>
              </w:rPr>
              <w:t>жилищно-коммунального хозяйства и энергетики</w:t>
            </w:r>
            <w:r>
              <w:rPr>
                <w:rFonts w:ascii="PT Astra Serif" w:hAnsi="PT Astra Serif"/>
              </w:rPr>
              <w:t xml:space="preserve"> Республики Саха (Якутия)</w:t>
            </w:r>
          </w:p>
        </w:tc>
      </w:tr>
      <w:tr>
        <w:trPr>
          <w:trHeight w:hRule="atLeast" w:val="798"/>
        </w:trPr>
        <w:tc>
          <w:tcPr>
            <w:tcW w:type="dxa" w:w="28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00000">
            <w:pPr>
              <w:widowControl w:val="0"/>
              <w:spacing w:line="276" w:lineRule="auto"/>
              <w:ind w:firstLine="0"/>
              <w:jc w:val="both"/>
              <w:rPr>
                <w:rFonts w:ascii="PT Astra Serif" w:hAnsi="PT Astra Serif"/>
              </w:rPr>
            </w:pPr>
            <w:r>
              <w:rPr>
                <w:rFonts w:ascii="Times New Roman" w:hAnsi="Times New Roman"/>
                <w:sz w:val="24"/>
              </w:rPr>
              <w:t>Ресурсоснабжающие</w:t>
            </w:r>
            <w:r>
              <w:rPr>
                <w:rFonts w:ascii="Times New Roman" w:hAnsi="Times New Roman"/>
                <w:sz w:val="24"/>
              </w:rPr>
              <w:t xml:space="preserve"> организации Республики Саха (Якутия) (по согласованию)</w:t>
            </w:r>
          </w:p>
          <w:p w14:paraId="73000000">
            <w:pPr>
              <w:widowControl w:val="0"/>
              <w:spacing w:line="276" w:lineRule="auto"/>
              <w:ind w:firstLine="709"/>
              <w:jc w:val="center"/>
              <w:rPr>
                <w:rFonts w:ascii="PT Astra Serif" w:hAnsi="PT Astra Serif"/>
              </w:rPr>
            </w:pPr>
          </w:p>
        </w:tc>
        <w:tc>
          <w:tcPr>
            <w:tcW w:type="dxa" w:w="368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00000">
            <w:pPr>
              <w:widowControl w:val="0"/>
              <w:spacing w:after="0" w:line="240" w:lineRule="auto"/>
              <w:ind w:firstLine="0" w:left="0"/>
              <w:jc w:val="both"/>
              <w:rPr>
                <w:rFonts w:ascii="Times New Roman" w:hAnsi="Times New Roman"/>
                <w:sz w:val="24"/>
              </w:rPr>
            </w:pPr>
            <w:r>
              <w:rPr>
                <w:rFonts w:ascii="XO Thames" w:hAnsi="XO Thames"/>
                <w:b w:val="0"/>
                <w:i w:val="0"/>
                <w:caps w:val="0"/>
                <w:color w:val="000000"/>
                <w:spacing w:val="0"/>
                <w:sz w:val="24"/>
              </w:rPr>
              <w:t xml:space="preserve"> </w:t>
            </w:r>
            <w:r>
              <w:t>Не требуется, поскольку проектом не вводятся новые обязательные требования и не изменяется содержание действующих обязанностей субъектов предпринимательской, инвестиционной и иной экономической деятельности.</w:t>
            </w:r>
          </w:p>
        </w:tc>
        <w:tc>
          <w:tcPr>
            <w:tcW w:type="dxa" w:w="284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00000">
            <w:pPr>
              <w:widowControl w:val="0"/>
              <w:spacing w:line="240" w:lineRule="auto"/>
              <w:ind w:firstLine="0"/>
              <w:rPr>
                <w:rFonts w:ascii="PT Astra Serif" w:hAnsi="PT Astra Serif"/>
              </w:rPr>
            </w:pPr>
            <w:r>
              <w:t xml:space="preserve">Проект разработан исключительно в целях приведения его положений в соответствие </w:t>
            </w:r>
            <w:r>
              <w:rPr>
                <w:rFonts w:ascii="Times New Roman" w:hAnsi="Times New Roman"/>
                <w:sz w:val="24"/>
              </w:rPr>
              <w:t>в связи с изменениями в п</w:t>
            </w:r>
            <w:r>
              <w:rPr>
                <w:rFonts w:ascii="Times New Roman" w:hAnsi="Times New Roman"/>
                <w:sz w:val="24"/>
              </w:rPr>
              <w:t>ункте 2 постановления Правительства Республики Саха (Якутия) от 1 июля 2026 г. № 245 «Об исполнительных органах государственной власти Республики Саха (Якутия), уполномоченных на принятие актов, устанавливающих порядки предоставления субсидий, в том числе грантов в форме субсидий, указанных в пунктах 1 и 7 статьи 78, пунктах 2 и 4 статьи 78.1 Бюджетного кодекса Российской Федерации, и отбора получателей указанных субсидий, в</w:t>
            </w:r>
            <w:r>
              <w:rPr>
                <w:rFonts w:ascii="Times New Roman" w:hAnsi="Times New Roman"/>
                <w:sz w:val="24"/>
              </w:rPr>
              <w:t xml:space="preserve"> том числе грантов в форме субсидий» </w:t>
            </w:r>
            <w:r>
              <w:t>положений проекта носит организационно-технический характер, не требует выделения дополнительных ассигнований (денежных средств) и не оказывает влияния на доходную или расходную части государственного бюджета</w:t>
            </w:r>
          </w:p>
        </w:tc>
      </w:tr>
    </w:tbl>
    <w:p w14:paraId="76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7</w:t>
      </w:r>
      <w:r>
        <w:rPr>
          <w:rFonts w:ascii="PT Astra Serif" w:hAnsi="PT Astra Serif"/>
          <w:u w:val="single"/>
        </w:rPr>
        <w:t>.4.</w:t>
      </w:r>
      <w:r>
        <w:rPr>
          <w:rFonts w:ascii="PT Astra Serif" w:hAnsi="PT Astra Serif"/>
          <w:u w:val="single"/>
        </w:rPr>
        <w:tab/>
      </w:r>
      <w:r>
        <w:rPr>
          <w:rFonts w:ascii="PT Astra Serif" w:hAnsi="PT Astra Serif"/>
          <w:u w:val="single"/>
        </w:rPr>
        <w:t>Другие сведения о дополнительных расходах (доходах) государственного бюджета Республики Саха (Якутия) (местных бюджетов), возникающих в связи с введением предлагаемого правового регулирования</w:t>
      </w:r>
      <w:r>
        <w:rPr>
          <w:rFonts w:ascii="PT Astra Serif" w:hAnsi="PT Astra Serif"/>
        </w:rPr>
        <w:t xml:space="preserve">: </w:t>
      </w:r>
    </w:p>
    <w:p w14:paraId="77000000">
      <w:pPr>
        <w:widowControl w:val="0"/>
        <w:tabs>
          <w:tab w:leader="none" w:pos="1134" w:val="left"/>
        </w:tabs>
        <w:spacing w:line="276" w:lineRule="auto"/>
        <w:ind w:firstLine="709"/>
        <w:jc w:val="both"/>
        <w:rPr>
          <w:rFonts w:ascii="PT Astra Serif" w:hAnsi="PT Astra Serif"/>
        </w:rPr>
      </w:pPr>
      <w:r>
        <w:rPr>
          <w:rFonts w:ascii="PT Astra Serif" w:hAnsi="PT Astra Serif"/>
        </w:rPr>
        <w:t>Отсутствует.</w:t>
      </w:r>
    </w:p>
    <w:p w14:paraId="78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7</w:t>
      </w:r>
      <w:r>
        <w:rPr>
          <w:rFonts w:ascii="PT Astra Serif" w:hAnsi="PT Astra Serif"/>
          <w:u w:val="single"/>
        </w:rPr>
        <w:t>.5.</w:t>
      </w:r>
      <w:r>
        <w:rPr>
          <w:rFonts w:ascii="PT Astra Serif" w:hAnsi="PT Astra Serif"/>
          <w:u w:val="single"/>
        </w:rPr>
        <w:tab/>
      </w:r>
      <w:r>
        <w:rPr>
          <w:rFonts w:ascii="PT Astra Serif" w:hAnsi="PT Astra Serif"/>
          <w:u w:val="single"/>
        </w:rPr>
        <w:t>Источники данных:</w:t>
      </w:r>
      <w:r>
        <w:rPr>
          <w:rFonts w:ascii="PT Astra Serif" w:hAnsi="PT Astra Serif"/>
        </w:rPr>
        <w:t xml:space="preserve"> </w:t>
      </w:r>
    </w:p>
    <w:p w14:paraId="79000000">
      <w:pPr>
        <w:widowControl w:val="0"/>
        <w:numPr>
          <w:ilvl w:val="0"/>
          <w:numId w:val="4"/>
        </w:numPr>
        <w:tabs>
          <w:tab w:leader="none" w:pos="1134" w:val="left"/>
        </w:tabs>
        <w:spacing w:line="240" w:lineRule="auto"/>
        <w:ind/>
        <w:jc w:val="both"/>
        <w:rPr>
          <w:rFonts w:ascii="PT Astra Serif" w:hAnsi="PT Astra Serif"/>
        </w:rPr>
      </w:pPr>
      <w:r>
        <w:rPr>
          <w:rFonts w:ascii="XO Thames" w:hAnsi="XO Thames"/>
          <w:b w:val="0"/>
          <w:i w:val="0"/>
          <w:caps w:val="0"/>
          <w:color w:val="000000"/>
          <w:spacing w:val="0"/>
          <w:sz w:val="24"/>
        </w:rPr>
        <w:t>Постановление Правительства РС (Я) от 16.09.2026 № 347 "О проекте закона Республики Саха (Якутия) «О государственном бюджете Республики Саха (Якутия) на 2027 год и на плановый период 2028 и 2029 годов»";</w:t>
      </w:r>
    </w:p>
    <w:p w14:paraId="7A000000">
      <w:pPr>
        <w:widowControl w:val="0"/>
        <w:numPr>
          <w:ilvl w:val="0"/>
          <w:numId w:val="4"/>
        </w:numPr>
        <w:tabs>
          <w:tab w:leader="none" w:pos="1134" w:val="left"/>
        </w:tabs>
        <w:spacing w:line="240" w:lineRule="auto"/>
        <w:ind/>
        <w:jc w:val="both"/>
        <w:rPr>
          <w:rFonts w:ascii="XO Thames" w:hAnsi="XO Thames"/>
          <w:b w:val="0"/>
          <w:i w:val="0"/>
          <w:caps w:val="0"/>
          <w:color w:val="000000"/>
          <w:spacing w:val="0"/>
          <w:sz w:val="24"/>
        </w:rPr>
      </w:pPr>
      <w:r>
        <w:rPr>
          <w:rFonts w:ascii="Times New Roman" w:hAnsi="Times New Roman"/>
          <w:sz w:val="24"/>
        </w:rPr>
        <w:t>Постановление Правительства Республики Саха (Якутия) от 1 июля 2026 г. № 245 «Об исполнительных органах государственной власти Республики Саха (Якутия), уполномоченных на принятие актов, устанавливающих порядки предоставления субсидий, в том числе грантов в форме субсидий, указанных в пунктах 1 и 7 статьи 78, пунктах 2 и 4 статьи 78.1 Бюджетного кодекса Российской Федерации, и отбора получателей указанных субсидий, в</w:t>
      </w:r>
      <w:r>
        <w:rPr>
          <w:rFonts w:ascii="Times New Roman" w:hAnsi="Times New Roman"/>
          <w:sz w:val="24"/>
        </w:rPr>
        <w:t xml:space="preserve"> том числе грантов в форме субсидий».</w:t>
      </w:r>
    </w:p>
    <w:p w14:paraId="7B000000">
      <w:pPr>
        <w:widowControl w:val="0"/>
        <w:tabs>
          <w:tab w:leader="none" w:pos="1134" w:val="left"/>
        </w:tabs>
        <w:spacing w:line="276" w:lineRule="auto"/>
        <w:ind/>
        <w:jc w:val="both"/>
        <w:rPr>
          <w:rFonts w:ascii="Times New Roman" w:hAnsi="Times New Roman"/>
          <w:sz w:val="24"/>
        </w:rPr>
      </w:pPr>
    </w:p>
    <w:p w14:paraId="7C000000">
      <w:pPr>
        <w:widowControl w:val="0"/>
        <w:tabs>
          <w:tab w:leader="none" w:pos="1134" w:val="left"/>
        </w:tabs>
        <w:spacing w:line="276" w:lineRule="auto"/>
        <w:ind w:firstLine="709"/>
        <w:jc w:val="both"/>
        <w:rPr>
          <w:rFonts w:ascii="PT Astra Serif" w:hAnsi="PT Astra Serif"/>
          <w:strike w:val="0"/>
        </w:rPr>
      </w:pPr>
      <w:r>
        <w:rPr>
          <w:rFonts w:ascii="PT Astra Serif" w:hAnsi="PT Astra Serif"/>
          <w:b w:val="1"/>
          <w:strike w:val="0"/>
        </w:rPr>
        <w:t>8</w:t>
      </w:r>
      <w:r>
        <w:rPr>
          <w:rFonts w:ascii="PT Astra Serif" w:hAnsi="PT Astra Serif"/>
          <w:b w:val="1"/>
          <w:strike w:val="0"/>
        </w:rPr>
        <w:t>.</w:t>
      </w:r>
      <w:r>
        <w:rPr>
          <w:rFonts w:ascii="PT Astra Serif" w:hAnsi="PT Astra Serif"/>
          <w:b w:val="1"/>
          <w:strike w:val="0"/>
        </w:rPr>
        <w:tab/>
      </w:r>
      <w:r>
        <w:rPr>
          <w:rFonts w:ascii="PT Astra Serif" w:hAnsi="PT Astra Serif"/>
          <w:b w:val="1"/>
          <w:strike w:val="0"/>
        </w:rPr>
        <w:t>Новые или изменяющие ранее предусмотренные нормативным правовым актом обязательные требования, обязанности и запреты для субъектов предпринимательской, инвестиционной и иной экономической деятельности, а также устанавливающие или изменяющие ответственность за нарушение нормативных правовых актов, затрагивающих вопросы субъектов предпринимательской, инвестиционной и иной экономической деятельности</w:t>
      </w:r>
      <w:r>
        <w:rPr>
          <w:rFonts w:ascii="PT Astra Serif" w:hAnsi="PT Astra Serif"/>
          <w:b w:val="1"/>
          <w:strike w:val="0"/>
        </w:rPr>
        <w:t>, оценка расходов и доходов субъектов предпринимательской, инвестиционной и иной экономической деятельности, связанных с необходимостью соблюдения установленных обязательных требований, обязанностей либо изменением содержания таких обязательных требований, обязанностей, а также связанных с введением или изменением ответственности</w:t>
      </w:r>
    </w:p>
    <w:tbl>
      <w:tblPr>
        <w:tblStyle w:val="Style_3"/>
        <w:tblW w:type="auto" w:w="0"/>
        <w:tblInd w:type="dxa" w:w="-5"/>
        <w:tblLayout w:type="fixed"/>
        <w:tblCellMar>
          <w:top w:type="dxa" w:w="102"/>
          <w:left w:type="dxa" w:w="62"/>
          <w:bottom w:type="dxa" w:w="102"/>
          <w:right w:type="dxa" w:w="62"/>
        </w:tblCellMar>
      </w:tblPr>
      <w:tblGrid>
        <w:gridCol w:w="2694"/>
        <w:gridCol w:w="2976"/>
        <w:gridCol w:w="1985"/>
        <w:gridCol w:w="1711"/>
      </w:tblGrid>
      <w:tr>
        <w:trPr>
          <w:trHeight w:hRule="atLeast" w:val="566"/>
        </w:trPr>
        <w:tc>
          <w:tcPr>
            <w:tcW w:type="dxa" w:w="2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00000">
            <w:pPr>
              <w:widowControl w:val="0"/>
              <w:spacing w:line="276" w:lineRule="auto"/>
              <w:ind/>
              <w:jc w:val="center"/>
              <w:rPr>
                <w:rFonts w:ascii="PT Astra Serif" w:hAnsi="PT Astra Serif"/>
              </w:rPr>
            </w:pPr>
            <w:r>
              <w:rPr>
                <w:rFonts w:ascii="PT Astra Serif" w:hAnsi="PT Astra Serif"/>
              </w:rPr>
              <w:t>8</w:t>
            </w:r>
            <w:r>
              <w:rPr>
                <w:rFonts w:ascii="PT Astra Serif" w:hAnsi="PT Astra Serif"/>
              </w:rPr>
              <w:t>.1. Группы потенциальных адресатов предлагаемого правового регул</w:t>
            </w:r>
            <w:r>
              <w:rPr>
                <w:rFonts w:ascii="PT Astra Serif" w:hAnsi="PT Astra Serif"/>
              </w:rPr>
              <w:t>ирования (в соответствии с пп. 5</w:t>
            </w:r>
            <w:r>
              <w:rPr>
                <w:rFonts w:ascii="PT Astra Serif" w:hAnsi="PT Astra Serif"/>
              </w:rPr>
              <w:t>.1 сводного отчета)</w:t>
            </w:r>
          </w:p>
        </w:tc>
        <w:tc>
          <w:tcPr>
            <w:tcW w:type="dxa" w:w="2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00000">
            <w:pPr>
              <w:widowControl w:val="0"/>
              <w:spacing w:line="276" w:lineRule="auto"/>
              <w:ind/>
              <w:jc w:val="center"/>
              <w:rPr>
                <w:rFonts w:ascii="PT Astra Serif" w:hAnsi="PT Astra Serif"/>
              </w:rPr>
            </w:pPr>
            <w:r>
              <w:rPr>
                <w:rFonts w:ascii="PT Astra Serif" w:hAnsi="PT Astra Serif"/>
              </w:rPr>
              <w:t>8</w:t>
            </w:r>
            <w:r>
              <w:rPr>
                <w:rFonts w:ascii="PT Astra Serif" w:hAnsi="PT Astra Serif"/>
              </w:rPr>
              <w:t xml:space="preserve">.2. </w:t>
            </w:r>
            <w:r>
              <w:rPr>
                <w:rFonts w:ascii="PT Astra Serif" w:hAnsi="PT Astra Serif"/>
              </w:rPr>
              <w:t>Описание новых обязательных требований, обязанностей, запретов и ограничений или изменения содержания существующих обязательных требований, обязанностей, запретов и ограничений</w:t>
            </w:r>
            <w:r>
              <w:rPr>
                <w:rFonts w:ascii="PT Astra Serif" w:hAnsi="PT Astra Serif"/>
              </w:rPr>
              <w:t xml:space="preserve"> (с указанием соответствующих </w:t>
            </w:r>
            <w:r>
              <w:rPr>
                <w:rFonts w:ascii="PT Astra Serif" w:hAnsi="PT Astra Serif"/>
              </w:rPr>
              <w:t>положений проекта нормативного правового акта)</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00000">
            <w:pPr>
              <w:widowControl w:val="0"/>
              <w:spacing w:line="276" w:lineRule="auto"/>
              <w:ind/>
              <w:jc w:val="center"/>
              <w:rPr>
                <w:rFonts w:ascii="PT Astra Serif" w:hAnsi="PT Astra Serif"/>
              </w:rPr>
            </w:pPr>
            <w:r>
              <w:rPr>
                <w:rFonts w:ascii="PT Astra Serif" w:hAnsi="PT Astra Serif"/>
              </w:rPr>
              <w:t>8</w:t>
            </w:r>
            <w:r>
              <w:rPr>
                <w:rFonts w:ascii="PT Astra Serif" w:hAnsi="PT Astra Serif"/>
              </w:rPr>
              <w:t>.3. Порядок организации соблюдения обязательных требований, исполнения обязанностей, запретов и ограничений</w:t>
            </w:r>
          </w:p>
        </w:tc>
        <w:tc>
          <w:tcPr>
            <w:tcW w:type="dxa" w:w="171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00000">
            <w:pPr>
              <w:widowControl w:val="0"/>
              <w:spacing w:line="276" w:lineRule="auto"/>
              <w:ind/>
              <w:jc w:val="center"/>
              <w:rPr>
                <w:rFonts w:ascii="PT Astra Serif" w:hAnsi="PT Astra Serif"/>
              </w:rPr>
            </w:pPr>
            <w:r>
              <w:rPr>
                <w:rFonts w:ascii="PT Astra Serif" w:hAnsi="PT Astra Serif"/>
              </w:rPr>
              <w:t>8</w:t>
            </w:r>
            <w:r>
              <w:rPr>
                <w:rFonts w:ascii="PT Astra Serif" w:hAnsi="PT Astra Serif"/>
              </w:rPr>
              <w:t>.4.</w:t>
            </w:r>
            <w:r>
              <w:t xml:space="preserve"> </w:t>
            </w:r>
            <w:r>
              <w:rPr>
                <w:rFonts w:ascii="PT Astra Serif" w:hAnsi="PT Astra Serif"/>
              </w:rPr>
              <w:t xml:space="preserve">Описание и оценка видов расходов (доходов) </w:t>
            </w:r>
          </w:p>
          <w:p w14:paraId="81000000">
            <w:pPr>
              <w:widowControl w:val="0"/>
              <w:spacing w:line="276" w:lineRule="auto"/>
              <w:ind/>
              <w:jc w:val="center"/>
              <w:rPr>
                <w:rFonts w:ascii="PT Astra Serif" w:hAnsi="PT Astra Serif"/>
              </w:rPr>
            </w:pPr>
            <w:r>
              <w:rPr>
                <w:rFonts w:ascii="PT Astra Serif" w:hAnsi="PT Astra Serif"/>
              </w:rPr>
              <w:t>(тыс. рублей)</w:t>
            </w:r>
          </w:p>
          <w:p w14:paraId="82000000">
            <w:pPr>
              <w:widowControl w:val="0"/>
              <w:spacing w:line="276" w:lineRule="auto"/>
              <w:ind/>
              <w:jc w:val="center"/>
              <w:rPr>
                <w:rFonts w:ascii="PT Astra Serif" w:hAnsi="PT Astra Serif"/>
              </w:rPr>
            </w:pPr>
          </w:p>
        </w:tc>
      </w:tr>
      <w:tr>
        <w:tc>
          <w:tcPr>
            <w:tcW w:type="dxa" w:w="2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00000">
            <w:pPr>
              <w:widowControl w:val="0"/>
              <w:spacing w:line="276" w:lineRule="auto"/>
              <w:ind w:firstLine="0"/>
              <w:jc w:val="both"/>
              <w:rPr>
                <w:rFonts w:ascii="PT Astra Serif" w:hAnsi="PT Astra Serif"/>
              </w:rPr>
            </w:pPr>
            <w:r>
              <w:rPr>
                <w:rFonts w:ascii="Times New Roman" w:hAnsi="Times New Roman"/>
                <w:sz w:val="24"/>
              </w:rPr>
              <w:t>Ресурсоснабжающие</w:t>
            </w:r>
            <w:r>
              <w:rPr>
                <w:rFonts w:ascii="Times New Roman" w:hAnsi="Times New Roman"/>
                <w:sz w:val="24"/>
              </w:rPr>
              <w:t xml:space="preserve"> организации Республики Саха (Якутия) (по согласованию)</w:t>
            </w:r>
          </w:p>
        </w:tc>
        <w:tc>
          <w:tcPr>
            <w:tcW w:type="dxa" w:w="297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4000000">
            <w:pPr>
              <w:widowControl w:val="1"/>
              <w:spacing w:line="276" w:lineRule="auto"/>
              <w:ind w:firstLine="709"/>
              <w:jc w:val="center"/>
              <w:rPr>
                <w:rFonts w:ascii="PT Astra Serif" w:hAnsi="PT Astra Serif"/>
              </w:rPr>
            </w:pPr>
            <w:r>
              <w:rPr>
                <w:rFonts w:ascii="PT Astra Serif" w:hAnsi="PT Astra Serif"/>
              </w:rPr>
              <w:t>-</w:t>
            </w:r>
          </w:p>
        </w:tc>
        <w:tc>
          <w:tcPr>
            <w:tcW w:type="dxa" w:w="19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5000000">
            <w:pPr>
              <w:widowControl w:val="0"/>
              <w:spacing w:line="276" w:lineRule="auto"/>
              <w:ind w:firstLine="709"/>
              <w:jc w:val="center"/>
              <w:rPr>
                <w:rFonts w:ascii="PT Astra Serif" w:hAnsi="PT Astra Serif"/>
              </w:rPr>
            </w:pPr>
            <w:r>
              <w:rPr>
                <w:rFonts w:ascii="PT Astra Serif" w:hAnsi="PT Astra Serif"/>
              </w:rPr>
              <w:t>-</w:t>
            </w:r>
          </w:p>
        </w:tc>
        <w:tc>
          <w:tcPr>
            <w:tcW w:type="dxa" w:w="171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86000000">
            <w:pPr>
              <w:widowControl w:val="0"/>
              <w:spacing w:line="276" w:lineRule="auto"/>
              <w:ind w:firstLine="709"/>
              <w:jc w:val="center"/>
              <w:rPr>
                <w:rFonts w:ascii="PT Astra Serif" w:hAnsi="PT Astra Serif"/>
              </w:rPr>
            </w:pPr>
            <w:r>
              <w:rPr>
                <w:rFonts w:ascii="PT Astra Serif" w:hAnsi="PT Astra Serif"/>
              </w:rPr>
              <w:t>-</w:t>
            </w:r>
          </w:p>
        </w:tc>
      </w:tr>
    </w:tbl>
    <w:p w14:paraId="87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8</w:t>
      </w:r>
      <w:r>
        <w:rPr>
          <w:rFonts w:ascii="PT Astra Serif" w:hAnsi="PT Astra Serif"/>
          <w:u w:val="single"/>
        </w:rPr>
        <w:t>.5.</w:t>
      </w:r>
      <w:r>
        <w:rPr>
          <w:rFonts w:ascii="PT Astra Serif" w:hAnsi="PT Astra Serif"/>
          <w:u w:val="single"/>
        </w:rPr>
        <w:tab/>
      </w:r>
      <w:r>
        <w:rPr>
          <w:rFonts w:ascii="PT Astra Serif" w:hAnsi="PT Astra Serif"/>
          <w:u w:val="single"/>
        </w:rPr>
        <w:t xml:space="preserve">Издержки и выгоды адресатов предлагаемого правового регулирования, не поддающиеся количественной оценке: </w:t>
      </w:r>
    </w:p>
    <w:p w14:paraId="88000000">
      <w:pPr>
        <w:widowControl w:val="0"/>
        <w:spacing w:after="0" w:line="240" w:lineRule="auto"/>
        <w:ind w:firstLine="709" w:left="0" w:right="-285"/>
        <w:jc w:val="both"/>
        <w:rPr>
          <w:rFonts w:ascii="Times New Roman" w:hAnsi="Times New Roman"/>
          <w:sz w:val="24"/>
          <w:u w:val="none"/>
        </w:rPr>
      </w:pPr>
      <w:r>
        <w:rPr>
          <w:rFonts w:ascii="Times New Roman" w:hAnsi="Times New Roman"/>
          <w:sz w:val="24"/>
          <w:u w:val="none"/>
        </w:rPr>
        <w:t xml:space="preserve">Дополнительный механизм государственной поддержки </w:t>
      </w:r>
      <w:r>
        <w:rPr>
          <w:rFonts w:ascii="Times New Roman" w:hAnsi="Times New Roman"/>
          <w:sz w:val="24"/>
          <w:u w:val="none"/>
        </w:rPr>
        <w:t>населению на улучшение жилищно-коммунальных услуг</w:t>
      </w:r>
      <w:r>
        <w:rPr>
          <w:rFonts w:ascii="Times New Roman" w:hAnsi="Times New Roman"/>
          <w:sz w:val="24"/>
          <w:u w:val="none"/>
        </w:rPr>
        <w:t>.</w:t>
      </w:r>
    </w:p>
    <w:p w14:paraId="89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8</w:t>
      </w:r>
      <w:r>
        <w:rPr>
          <w:rFonts w:ascii="PT Astra Serif" w:hAnsi="PT Astra Serif"/>
          <w:u w:val="single"/>
        </w:rPr>
        <w:t>.6.</w:t>
      </w:r>
      <w:r>
        <w:rPr>
          <w:rFonts w:ascii="PT Astra Serif" w:hAnsi="PT Astra Serif"/>
          <w:u w:val="single"/>
        </w:rPr>
        <w:tab/>
      </w:r>
      <w:r>
        <w:rPr>
          <w:rFonts w:ascii="PT Astra Serif" w:hAnsi="PT Astra Serif"/>
          <w:u w:val="single"/>
        </w:rPr>
        <w:t xml:space="preserve">Источники данных: </w:t>
      </w:r>
    </w:p>
    <w:p w14:paraId="8A000000">
      <w:pPr>
        <w:widowControl w:val="0"/>
        <w:tabs>
          <w:tab w:leader="none" w:pos="1134" w:val="left"/>
        </w:tabs>
        <w:spacing w:line="276" w:lineRule="auto"/>
        <w:ind w:firstLine="709"/>
        <w:jc w:val="both"/>
        <w:rPr>
          <w:rFonts w:ascii="PT Astra Serif" w:hAnsi="PT Astra Serif"/>
          <w:u w:val="none"/>
        </w:rPr>
      </w:pPr>
      <w:r>
        <w:rPr>
          <w:rFonts w:ascii="PT Astra Serif" w:hAnsi="PT Astra Serif"/>
          <w:u w:val="none"/>
        </w:rPr>
        <w:t>Отсутствует.</w:t>
      </w:r>
    </w:p>
    <w:p w14:paraId="8B000000">
      <w:pPr>
        <w:widowControl w:val="0"/>
        <w:tabs>
          <w:tab w:leader="none" w:pos="1134" w:val="left"/>
        </w:tabs>
        <w:spacing w:line="276" w:lineRule="auto"/>
        <w:ind w:firstLine="709"/>
        <w:jc w:val="both"/>
        <w:rPr>
          <w:rFonts w:ascii="PT Astra Serif" w:hAnsi="PT Astra Serif"/>
          <w:b w:val="1"/>
        </w:rPr>
      </w:pPr>
      <w:r>
        <w:rPr>
          <w:rFonts w:ascii="PT Astra Serif" w:hAnsi="PT Astra Serif"/>
          <w:b w:val="1"/>
        </w:rPr>
        <w:t xml:space="preserve">9. </w:t>
      </w:r>
      <w:r>
        <w:rPr>
          <w:rFonts w:ascii="PT Astra Serif" w:hAnsi="PT Astra Serif"/>
          <w:b w:val="1"/>
        </w:rPr>
        <w:t>Риски решения проблемы предложенным способом регулирования и риски негативных последствий, а также описание методов контроля эффективности избранного способа достижения цели регулирования</w:t>
      </w:r>
    </w:p>
    <w:tbl>
      <w:tblPr>
        <w:tblStyle w:val="Style_3"/>
        <w:tblW w:type="auto" w:w="0"/>
        <w:tblInd w:type="dxa" w:w="-5"/>
        <w:tblLayout w:type="fixed"/>
        <w:tblCellMar>
          <w:top w:type="dxa" w:w="102"/>
          <w:left w:type="dxa" w:w="62"/>
          <w:bottom w:type="dxa" w:w="102"/>
          <w:right w:type="dxa" w:w="62"/>
        </w:tblCellMar>
      </w:tblPr>
      <w:tblGrid>
        <w:gridCol w:w="2268"/>
        <w:gridCol w:w="3119"/>
        <w:gridCol w:w="1843"/>
        <w:gridCol w:w="2136"/>
      </w:tblGrid>
      <w:tr>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00000">
            <w:pPr>
              <w:widowControl w:val="0"/>
              <w:spacing w:line="276" w:lineRule="auto"/>
              <w:ind/>
              <w:jc w:val="center"/>
              <w:rPr>
                <w:rFonts w:ascii="PT Astra Serif" w:hAnsi="PT Astra Serif"/>
              </w:rPr>
            </w:pPr>
            <w:r>
              <w:rPr>
                <w:rFonts w:ascii="PT Astra Serif" w:hAnsi="PT Astra Serif"/>
              </w:rPr>
              <w:t>9</w:t>
            </w:r>
            <w:r>
              <w:rPr>
                <w:rFonts w:ascii="PT Astra Serif" w:hAnsi="PT Astra Serif"/>
              </w:rPr>
              <w:t>.1. Виды рисков</w:t>
            </w:r>
            <w:r>
              <w:rPr>
                <w:rFonts w:ascii="PT Astra Serif" w:hAnsi="PT Astra Serif"/>
              </w:rPr>
              <w:t xml:space="preserve"> решения проблем предложенным способом и риски негативных последствий</w:t>
            </w:r>
          </w:p>
        </w:tc>
        <w:tc>
          <w:tcPr>
            <w:tcW w:type="dxa" w:w="31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00000">
            <w:pPr>
              <w:widowControl w:val="0"/>
              <w:spacing w:line="276" w:lineRule="auto"/>
              <w:ind/>
              <w:jc w:val="center"/>
              <w:rPr>
                <w:rFonts w:ascii="PT Astra Serif" w:hAnsi="PT Astra Serif"/>
              </w:rPr>
            </w:pPr>
            <w:r>
              <w:rPr>
                <w:rFonts w:ascii="PT Astra Serif" w:hAnsi="PT Astra Serif"/>
              </w:rPr>
              <w:t>9</w:t>
            </w:r>
            <w:r>
              <w:rPr>
                <w:rFonts w:ascii="PT Astra Serif" w:hAnsi="PT Astra Serif"/>
              </w:rPr>
              <w:t xml:space="preserve">.2. Оценка вероятности наступления </w:t>
            </w:r>
            <w:r>
              <w:rPr>
                <w:rFonts w:ascii="PT Astra Serif" w:hAnsi="PT Astra Serif"/>
              </w:rPr>
              <w:t>рисков</w:t>
            </w:r>
          </w:p>
        </w:tc>
        <w:tc>
          <w:tcPr>
            <w:tcW w:type="dxa" w:w="184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00000">
            <w:pPr>
              <w:widowControl w:val="0"/>
              <w:spacing w:line="276" w:lineRule="auto"/>
              <w:ind/>
              <w:jc w:val="center"/>
              <w:rPr>
                <w:rFonts w:ascii="PT Astra Serif" w:hAnsi="PT Astra Serif"/>
              </w:rPr>
            </w:pPr>
            <w:r>
              <w:rPr>
                <w:rFonts w:ascii="PT Astra Serif" w:hAnsi="PT Astra Serif"/>
              </w:rPr>
              <w:t>9</w:t>
            </w:r>
            <w:r>
              <w:rPr>
                <w:rFonts w:ascii="PT Astra Serif" w:hAnsi="PT Astra Serif"/>
              </w:rPr>
              <w:t>.3. Методы контроля эффективности избранного способа достижения целей регулирования</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00000">
            <w:pPr>
              <w:widowControl w:val="0"/>
              <w:spacing w:line="276" w:lineRule="auto"/>
              <w:ind/>
              <w:jc w:val="center"/>
              <w:rPr>
                <w:rFonts w:ascii="PT Astra Serif" w:hAnsi="PT Astra Serif"/>
              </w:rPr>
            </w:pPr>
            <w:r>
              <w:rPr>
                <w:rFonts w:ascii="PT Astra Serif" w:hAnsi="PT Astra Serif"/>
              </w:rPr>
              <w:t>9</w:t>
            </w:r>
            <w:r>
              <w:rPr>
                <w:rFonts w:ascii="PT Astra Serif" w:hAnsi="PT Astra Serif"/>
              </w:rPr>
              <w:t>.4. Степень контроля рисков (полный/частичный/отсутствует)</w:t>
            </w:r>
          </w:p>
        </w:tc>
      </w:tr>
      <w:tr>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00000">
            <w:pPr>
              <w:widowControl w:val="0"/>
              <w:spacing w:line="276" w:lineRule="auto"/>
              <w:ind w:firstLine="0"/>
              <w:jc w:val="center"/>
              <w:rPr>
                <w:rFonts w:ascii="PT Astra Serif" w:hAnsi="PT Astra Serif"/>
              </w:rPr>
            </w:pPr>
            <w:r>
              <w:rPr>
                <w:rFonts w:ascii="PT Astra Serif" w:hAnsi="PT Astra Serif"/>
              </w:rPr>
              <w:t>отсутствует</w:t>
            </w:r>
          </w:p>
        </w:tc>
        <w:tc>
          <w:tcPr>
            <w:tcW w:type="dxa" w:w="31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00000">
            <w:pPr>
              <w:widowControl w:val="0"/>
              <w:spacing w:line="276" w:lineRule="auto"/>
              <w:ind w:firstLine="0"/>
              <w:jc w:val="center"/>
              <w:rPr>
                <w:rFonts w:ascii="PT Astra Serif" w:hAnsi="PT Astra Serif"/>
              </w:rPr>
            </w:pPr>
            <w:r>
              <w:rPr>
                <w:rFonts w:ascii="PT Astra Serif" w:hAnsi="PT Astra Serif"/>
              </w:rPr>
              <w:t>отсутствует</w:t>
            </w:r>
          </w:p>
        </w:tc>
        <w:tc>
          <w:tcPr>
            <w:tcW w:type="dxa" w:w="184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00000">
            <w:pPr>
              <w:widowControl w:val="0"/>
              <w:spacing w:line="276" w:lineRule="auto"/>
              <w:ind w:firstLine="142"/>
              <w:jc w:val="center"/>
              <w:rPr>
                <w:rFonts w:ascii="PT Astra Serif" w:hAnsi="PT Astra Serif"/>
              </w:rPr>
            </w:pPr>
            <w:r>
              <w:rPr>
                <w:rFonts w:ascii="PT Astra Serif" w:hAnsi="PT Astra Serif"/>
              </w:rPr>
              <w:t>отсутствует</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3000000">
            <w:pPr>
              <w:widowControl w:val="0"/>
              <w:spacing w:line="276" w:lineRule="auto"/>
              <w:ind w:firstLine="0"/>
              <w:jc w:val="center"/>
              <w:rPr>
                <w:rFonts w:ascii="PT Astra Serif" w:hAnsi="PT Astra Serif"/>
              </w:rPr>
            </w:pPr>
            <w:r>
              <w:rPr>
                <w:rFonts w:ascii="PT Astra Serif" w:hAnsi="PT Astra Serif"/>
              </w:rPr>
              <w:t>отсутствует</w:t>
            </w:r>
          </w:p>
        </w:tc>
      </w:tr>
    </w:tbl>
    <w:p w14:paraId="94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9</w:t>
      </w:r>
      <w:r>
        <w:rPr>
          <w:rFonts w:ascii="PT Astra Serif" w:hAnsi="PT Astra Serif"/>
          <w:u w:val="single"/>
        </w:rPr>
        <w:t>.5.</w:t>
      </w:r>
      <w:r>
        <w:rPr>
          <w:rFonts w:ascii="PT Astra Serif" w:hAnsi="PT Astra Serif"/>
          <w:u w:val="single"/>
        </w:rPr>
        <w:tab/>
      </w:r>
      <w:r>
        <w:rPr>
          <w:rFonts w:ascii="PT Astra Serif" w:hAnsi="PT Astra Serif"/>
          <w:u w:val="single"/>
        </w:rPr>
        <w:t>Источники данных:</w:t>
      </w:r>
      <w:r>
        <w:rPr>
          <w:rFonts w:ascii="PT Astra Serif" w:hAnsi="PT Astra Serif"/>
        </w:rPr>
        <w:t xml:space="preserve"> </w:t>
      </w:r>
    </w:p>
    <w:p w14:paraId="95000000">
      <w:pPr>
        <w:widowControl w:val="0"/>
        <w:tabs>
          <w:tab w:leader="none" w:pos="1134" w:val="left"/>
        </w:tabs>
        <w:spacing w:line="276" w:lineRule="auto"/>
        <w:ind w:firstLine="709"/>
        <w:jc w:val="both"/>
        <w:rPr>
          <w:rFonts w:ascii="PT Astra Serif" w:hAnsi="PT Astra Serif"/>
        </w:rPr>
      </w:pPr>
      <w:r>
        <w:rPr>
          <w:rFonts w:ascii="PT Astra Serif" w:hAnsi="PT Astra Serif"/>
        </w:rPr>
        <w:t>Отсутствует.</w:t>
      </w:r>
    </w:p>
    <w:p w14:paraId="96000000">
      <w:pPr>
        <w:widowControl w:val="0"/>
        <w:tabs>
          <w:tab w:leader="none" w:pos="1134" w:val="left"/>
        </w:tabs>
        <w:spacing w:line="276" w:lineRule="auto"/>
        <w:ind w:firstLine="709"/>
        <w:jc w:val="both"/>
        <w:rPr>
          <w:rFonts w:ascii="PT Astra Serif" w:hAnsi="PT Astra Serif"/>
        </w:rPr>
      </w:pPr>
      <w:r>
        <w:rPr>
          <w:rFonts w:ascii="PT Astra Serif" w:hAnsi="PT Astra Serif"/>
        </w:rPr>
        <w:t>1</w:t>
      </w:r>
      <w:r>
        <w:rPr>
          <w:rFonts w:ascii="PT Astra Serif" w:hAnsi="PT Astra Serif"/>
        </w:rPr>
        <w:t xml:space="preserve">0. </w:t>
      </w:r>
      <w:r>
        <w:rPr>
          <w:rFonts w:ascii="PT Astra Serif" w:hAnsi="PT Astra Serif"/>
        </w:rPr>
        <w:t>Индикативные показатели, программы мониторинга и иные способы (методы) оценки достижения заявленных целей регулирования</w:t>
      </w: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29"/>
        <w:gridCol w:w="1612"/>
        <w:gridCol w:w="2284"/>
        <w:gridCol w:w="1626"/>
        <w:gridCol w:w="1086"/>
        <w:gridCol w:w="2484"/>
      </w:tblGrid>
      <w:tr>
        <w:tc>
          <w:tcPr>
            <w:tcW w:type="dxa" w:w="2441"/>
            <w:gridSpan w:val="2"/>
            <w:tcBorders>
              <w:top w:color="000000" w:sz="4" w:val="single"/>
              <w:left w:color="000000" w:sz="4" w:val="single"/>
              <w:bottom w:color="000000" w:sz="4" w:val="single"/>
              <w:right w:color="000000" w:sz="4" w:val="single"/>
            </w:tcBorders>
          </w:tcPr>
          <w:p w14:paraId="97000000">
            <w:pPr>
              <w:widowControl w:val="1"/>
              <w:ind/>
              <w:jc w:val="center"/>
            </w:pPr>
            <w:r>
              <w:t>10</w:t>
            </w:r>
            <w:r>
              <w:t>.1.</w:t>
            </w:r>
          </w:p>
          <w:p w14:paraId="98000000">
            <w:pPr>
              <w:widowControl w:val="1"/>
              <w:ind/>
              <w:jc w:val="center"/>
            </w:pPr>
            <w:r>
              <w:t>Цели предлагаемого регулирования</w:t>
            </w:r>
            <w:r>
              <w:rPr>
                <w:vertAlign w:val="superscript"/>
              </w:rPr>
              <w:footnoteReference w:id="1"/>
            </w:r>
          </w:p>
        </w:tc>
        <w:tc>
          <w:tcPr>
            <w:tcW w:type="dxa" w:w="2284"/>
            <w:tcBorders>
              <w:top w:color="000000" w:sz="4" w:val="single"/>
              <w:left w:color="000000" w:sz="4" w:val="single"/>
              <w:bottom w:color="000000" w:sz="4" w:val="single"/>
              <w:right w:color="000000" w:sz="4" w:val="single"/>
            </w:tcBorders>
          </w:tcPr>
          <w:p w14:paraId="99000000">
            <w:pPr>
              <w:widowControl w:val="1"/>
              <w:ind/>
              <w:jc w:val="center"/>
            </w:pPr>
            <w:r>
              <w:t>10</w:t>
            </w:r>
            <w:r>
              <w:t>.2.</w:t>
            </w:r>
          </w:p>
          <w:p w14:paraId="9A000000">
            <w:pPr>
              <w:widowControl w:val="1"/>
              <w:ind/>
              <w:jc w:val="center"/>
            </w:pPr>
            <w:r>
              <w:t>Индикативные показатели</w:t>
            </w:r>
          </w:p>
          <w:p w14:paraId="9B000000">
            <w:pPr>
              <w:widowControl w:val="1"/>
              <w:ind/>
              <w:jc w:val="center"/>
            </w:pPr>
            <w:r>
              <w:t>(по годам)</w:t>
            </w:r>
          </w:p>
        </w:tc>
        <w:tc>
          <w:tcPr>
            <w:tcW w:type="dxa" w:w="2712"/>
            <w:gridSpan w:val="2"/>
            <w:tcBorders>
              <w:top w:color="000000" w:sz="4" w:val="single"/>
              <w:left w:color="000000" w:sz="4" w:val="single"/>
              <w:bottom w:color="000000" w:sz="4" w:val="single"/>
              <w:right w:color="000000" w:sz="4" w:val="single"/>
            </w:tcBorders>
          </w:tcPr>
          <w:p w14:paraId="9C000000">
            <w:pPr>
              <w:widowControl w:val="1"/>
              <w:ind/>
              <w:jc w:val="center"/>
            </w:pPr>
            <w:r>
              <w:t>10</w:t>
            </w:r>
            <w:r>
              <w:t>.3.</w:t>
            </w:r>
          </w:p>
          <w:p w14:paraId="9D000000">
            <w:pPr>
              <w:widowControl w:val="1"/>
              <w:ind/>
              <w:jc w:val="center"/>
            </w:pPr>
            <w:r>
              <w:t>Единицы измерения индикативных показателей</w:t>
            </w:r>
          </w:p>
        </w:tc>
        <w:tc>
          <w:tcPr>
            <w:tcW w:type="dxa" w:w="2484"/>
            <w:tcBorders>
              <w:top w:color="000000" w:sz="4" w:val="single"/>
              <w:left w:color="000000" w:sz="4" w:val="single"/>
              <w:bottom w:color="000000" w:sz="4" w:val="single"/>
              <w:right w:color="000000" w:sz="4" w:val="single"/>
            </w:tcBorders>
          </w:tcPr>
          <w:p w14:paraId="9E000000">
            <w:pPr>
              <w:widowControl w:val="1"/>
              <w:ind/>
              <w:jc w:val="center"/>
            </w:pPr>
            <w:r>
              <w:t>10</w:t>
            </w:r>
            <w:r>
              <w:t>.4.</w:t>
            </w:r>
          </w:p>
          <w:p w14:paraId="9F000000">
            <w:pPr>
              <w:widowControl w:val="1"/>
              <w:ind/>
              <w:jc w:val="center"/>
            </w:pPr>
            <w:r>
              <w:t>Способы расчета индикативных показателей</w:t>
            </w:r>
          </w:p>
        </w:tc>
      </w:tr>
      <w:tr>
        <w:trPr>
          <w:trHeight w:hRule="atLeast" w:val="330"/>
        </w:trPr>
        <w:tc>
          <w:tcPr>
            <w:tcW w:type="dxa" w:w="2441"/>
            <w:gridSpan w:val="2"/>
            <w:tcBorders>
              <w:top w:color="000000" w:sz="4" w:val="single"/>
              <w:left w:color="000000" w:sz="4" w:val="single"/>
              <w:bottom w:color="000000" w:sz="4" w:val="single"/>
              <w:right w:color="000000" w:sz="4" w:val="single"/>
            </w:tcBorders>
          </w:tcPr>
          <w:p w14:paraId="A0000000">
            <w:pPr>
              <w:widowControl w:val="1"/>
              <w:ind/>
              <w:jc w:val="center"/>
            </w:pPr>
            <w:r>
              <w:rPr>
                <w:rFonts w:ascii="Times New Roman" w:hAnsi="Times New Roman"/>
                <w:sz w:val="24"/>
              </w:rPr>
              <w:t>П</w:t>
            </w:r>
            <w:r>
              <w:rPr>
                <w:rFonts w:ascii="Times New Roman" w:hAnsi="Times New Roman"/>
                <w:sz w:val="24"/>
              </w:rPr>
              <w:t>овышение</w:t>
            </w:r>
            <w:r>
              <w:rPr>
                <w:rFonts w:ascii="Times New Roman" w:hAnsi="Times New Roman"/>
                <w:sz w:val="24"/>
              </w:rPr>
              <w:t xml:space="preserve"> качества и надежности предоставления коммунальных услуг</w:t>
            </w:r>
          </w:p>
        </w:tc>
        <w:tc>
          <w:tcPr>
            <w:tcW w:type="dxa" w:w="2284"/>
            <w:tcBorders>
              <w:top w:color="000000" w:sz="4" w:val="single"/>
              <w:left w:color="000000" w:sz="4" w:val="single"/>
              <w:bottom w:color="000000" w:sz="4" w:val="single"/>
              <w:right w:color="000000" w:sz="4" w:val="single"/>
            </w:tcBorders>
          </w:tcPr>
          <w:p w14:paraId="A1000000">
            <w:pPr>
              <w:widowControl w:val="0"/>
              <w:numPr>
                <w:ilvl w:val="0"/>
                <w:numId w:val="5"/>
              </w:numPr>
              <w:tabs>
                <w:tab w:leader="none" w:pos="520" w:val="left"/>
              </w:tabs>
              <w:spacing w:after="0" w:line="240" w:lineRule="auto"/>
              <w:ind w:firstLine="0" w:left="0"/>
              <w:jc w:val="left"/>
              <w:rPr>
                <w:rFonts w:ascii="XO Thames" w:hAnsi="XO Thames"/>
                <w:sz w:val="24"/>
              </w:rPr>
            </w:pPr>
            <w:r>
              <w:rPr>
                <w:rFonts w:ascii="XO Thames" w:hAnsi="XO Thames"/>
                <w:sz w:val="24"/>
              </w:rPr>
              <w:t>приобретение оборудования комплекса модульных очистных сооружений (КОС);</w:t>
            </w:r>
          </w:p>
          <w:p w14:paraId="A2000000">
            <w:r>
              <w:rPr>
                <w:rStyle w:val="Style_4_ch"/>
                <w:rFonts w:ascii="XO Thames" w:hAnsi="XO Thames"/>
                <w:sz w:val="24"/>
              </w:rPr>
              <w:t>2) возмещение затрат хозяйствующим субъектам на уплату ими лизинговых платежей, возникающих при приобретении комплексных модульных очистных сооружений (КОС)</w:t>
            </w:r>
          </w:p>
        </w:tc>
        <w:tc>
          <w:tcPr>
            <w:tcW w:type="dxa" w:w="2712"/>
            <w:gridSpan w:val="2"/>
            <w:tcBorders>
              <w:top w:color="000000" w:sz="4" w:val="single"/>
              <w:left w:color="000000" w:sz="4" w:val="single"/>
              <w:bottom w:color="000000" w:sz="4" w:val="single"/>
              <w:right w:color="000000" w:sz="4" w:val="single"/>
            </w:tcBorders>
          </w:tcPr>
          <w:p w14:paraId="A3000000">
            <w:pPr>
              <w:numPr>
                <w:numId w:val="6"/>
              </w:numPr>
            </w:pPr>
            <w:r>
              <w:t>единица</w:t>
            </w:r>
          </w:p>
          <w:p w14:paraId="A4000000">
            <w:pPr>
              <w:numPr>
                <w:numId w:val="6"/>
              </w:numPr>
            </w:pPr>
            <w:r>
              <w:t>процент</w:t>
            </w:r>
          </w:p>
        </w:tc>
        <w:tc>
          <w:tcPr>
            <w:tcW w:type="dxa" w:w="2484"/>
            <w:tcBorders>
              <w:top w:color="000000" w:sz="4" w:val="single"/>
              <w:left w:color="000000" w:sz="4" w:val="single"/>
              <w:bottom w:color="000000" w:sz="4" w:val="single"/>
              <w:right w:color="000000" w:sz="4" w:val="single"/>
            </w:tcBorders>
          </w:tcPr>
          <w:p w14:paraId="A5000000">
            <w:pPr>
              <w:widowControl w:val="1"/>
              <w:numPr>
                <w:numId w:val="7"/>
              </w:numPr>
              <w:ind w:firstLine="0" w:left="0"/>
            </w:pPr>
            <w:r>
              <w:t>По количеству сформированных актов за год.</w:t>
            </w:r>
          </w:p>
          <w:p w14:paraId="A6000000">
            <w:pPr>
              <w:widowControl w:val="1"/>
              <w:numPr>
                <w:numId w:val="7"/>
              </w:numPr>
              <w:ind w:firstLine="0" w:left="0"/>
            </w:pPr>
            <w:r>
              <w:t xml:space="preserve">Процент </w:t>
            </w:r>
            <w:r>
              <w:rPr>
                <w:rStyle w:val="Style_4_ch"/>
                <w:rFonts w:ascii="XO Thames" w:hAnsi="XO Thames"/>
                <w:sz w:val="24"/>
              </w:rPr>
              <w:t>возмещения затрат хозяйствующим субъектам на уплату ими лизинговых платежей, возникающих при приобретении комплексных модульных очистных сооружений (КОС)</w:t>
            </w:r>
          </w:p>
        </w:tc>
      </w:tr>
      <w:tr>
        <w:tc>
          <w:tcPr>
            <w:tcW w:type="dxa" w:w="829"/>
            <w:tcBorders>
              <w:top w:color="000000" w:sz="4" w:val="single"/>
              <w:left w:color="000000" w:sz="4" w:val="single"/>
              <w:bottom w:color="000000" w:sz="4" w:val="single"/>
              <w:right w:color="000000" w:sz="4" w:val="single"/>
            </w:tcBorders>
          </w:tcPr>
          <w:p w14:paraId="A7000000">
            <w:r>
              <w:t>10</w:t>
            </w:r>
            <w:r>
              <w:t>.5.</w:t>
            </w:r>
          </w:p>
        </w:tc>
        <w:tc>
          <w:tcPr>
            <w:tcW w:type="dxa" w:w="9092"/>
            <w:gridSpan w:val="5"/>
            <w:tcBorders>
              <w:top w:color="000000" w:sz="4" w:val="single"/>
              <w:left w:color="000000" w:sz="4" w:val="single"/>
              <w:bottom w:color="000000" w:sz="4" w:val="single"/>
              <w:right w:color="000000" w:sz="4" w:val="single"/>
            </w:tcBorders>
          </w:tcPr>
          <w:p w14:paraId="A8000000">
            <w:pPr>
              <w:widowControl w:val="1"/>
              <w:pBdr>
                <w:bottom w:color="000000" w:space="1" w:sz="4" w:val="single"/>
              </w:pBdr>
              <w:ind/>
            </w:pPr>
            <w:r>
              <w:t>Информация о программах мониторинга и иных способах (методах) оценки достижения заявленных целей регулирования:</w:t>
            </w:r>
          </w:p>
          <w:p w14:paraId="A9000000">
            <w:pPr>
              <w:widowControl w:val="1"/>
              <w:pBdr>
                <w:bottom w:color="000000" w:space="1" w:sz="4" w:val="single"/>
              </w:pBdr>
              <w:ind/>
              <w:jc w:val="both"/>
              <w:rPr>
                <w:rFonts w:ascii="XO Thames" w:hAnsi="XO Thames"/>
                <w:b w:val="0"/>
                <w:sz w:val="24"/>
              </w:rPr>
            </w:pPr>
            <w:r>
              <w:t>Мониторинг осуществляется Министерством жилищно-коммунального хозяйства и энергетики Республики Саха (Якутия)</w:t>
            </w:r>
            <w:r>
              <w:rPr>
                <w:rFonts w:ascii="XO Thames" w:hAnsi="XO Thames"/>
                <w:sz w:val="24"/>
              </w:rPr>
              <w:t xml:space="preserve"> исходя из достижений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w:t>
            </w:r>
          </w:p>
          <w:p w14:paraId="AA000000">
            <w:pPr>
              <w:widowControl w:val="1"/>
              <w:ind/>
              <w:jc w:val="center"/>
            </w:pPr>
            <w:r>
              <w:rPr>
                <w:i w:val="1"/>
              </w:rPr>
              <w:t xml:space="preserve"> (место для текстового описания)</w:t>
            </w:r>
          </w:p>
        </w:tc>
      </w:tr>
      <w:tr>
        <w:tc>
          <w:tcPr>
            <w:tcW w:type="dxa" w:w="829"/>
            <w:tcBorders>
              <w:top w:color="000000" w:sz="4" w:val="single"/>
              <w:left w:color="000000" w:sz="4" w:val="single"/>
              <w:bottom w:color="000000" w:sz="4" w:val="single"/>
              <w:right w:color="000000" w:sz="4" w:val="single"/>
            </w:tcBorders>
          </w:tcPr>
          <w:p w14:paraId="AB000000">
            <w:r>
              <w:t>10</w:t>
            </w:r>
            <w:r>
              <w:t>.6.</w:t>
            </w:r>
          </w:p>
        </w:tc>
        <w:tc>
          <w:tcPr>
            <w:tcW w:type="dxa" w:w="5522"/>
            <w:gridSpan w:val="3"/>
            <w:tcBorders>
              <w:top w:color="000000" w:sz="4" w:val="single"/>
              <w:left w:color="000000" w:sz="4" w:val="single"/>
              <w:bottom w:color="000000" w:sz="4" w:val="single"/>
              <w:right w:color="000000" w:sz="4" w:val="single"/>
            </w:tcBorders>
          </w:tcPr>
          <w:p w14:paraId="AC000000">
            <w:r>
              <w:t>Оценка затрат на осуществление мониторинга (в среднем в год):</w:t>
            </w:r>
          </w:p>
        </w:tc>
        <w:tc>
          <w:tcPr>
            <w:tcW w:type="dxa" w:w="3570"/>
            <w:gridSpan w:val="2"/>
            <w:tcBorders>
              <w:top w:color="000000" w:sz="4" w:val="single"/>
              <w:left w:color="000000" w:sz="4" w:val="single"/>
              <w:bottom w:color="000000" w:sz="4" w:val="single"/>
              <w:right w:color="000000" w:sz="4" w:val="single"/>
            </w:tcBorders>
          </w:tcPr>
          <w:p w14:paraId="AD000000"/>
          <w:p w14:paraId="AE000000">
            <w:r>
              <w:t>0,00 (тыс. рублей)</w:t>
            </w:r>
          </w:p>
          <w:p w14:paraId="AF000000"/>
        </w:tc>
      </w:tr>
      <w:tr>
        <w:tc>
          <w:tcPr>
            <w:tcW w:type="dxa" w:w="829"/>
            <w:tcBorders>
              <w:top w:color="000000" w:sz="4" w:val="single"/>
              <w:left w:color="000000" w:sz="4" w:val="single"/>
              <w:bottom w:color="000000" w:sz="4" w:val="single"/>
              <w:right w:color="000000" w:sz="4" w:val="single"/>
            </w:tcBorders>
          </w:tcPr>
          <w:p w14:paraId="B0000000">
            <w:r>
              <w:t>10</w:t>
            </w:r>
            <w:r>
              <w:t>.7.</w:t>
            </w:r>
          </w:p>
        </w:tc>
        <w:tc>
          <w:tcPr>
            <w:tcW w:type="dxa" w:w="9092"/>
            <w:gridSpan w:val="5"/>
            <w:tcBorders>
              <w:top w:color="000000" w:sz="4" w:val="single"/>
              <w:left w:color="000000" w:sz="4" w:val="single"/>
              <w:bottom w:color="000000" w:sz="4" w:val="single"/>
              <w:right w:color="000000" w:sz="4" w:val="single"/>
            </w:tcBorders>
          </w:tcPr>
          <w:p w14:paraId="B1000000">
            <w:pPr>
              <w:widowControl w:val="1"/>
              <w:pBdr>
                <w:bottom w:color="000000" w:space="1" w:sz="4" w:val="single"/>
              </w:pBdr>
              <w:ind/>
            </w:pPr>
            <w:r>
              <w:t>Описание источников информации для расчета показателей (индикаторов):</w:t>
            </w:r>
          </w:p>
          <w:p w14:paraId="B2000000">
            <w:pPr>
              <w:widowControl w:val="1"/>
              <w:pBdr>
                <w:bottom w:color="000000" w:space="1" w:sz="4" w:val="single"/>
              </w:pBdr>
              <w:ind/>
            </w:pPr>
            <w:r>
              <w:rPr>
                <w:rFonts w:ascii="XO Thames" w:hAnsi="XO Thames"/>
                <w:sz w:val="24"/>
              </w:rPr>
              <w:t xml:space="preserve">Министерством жилищно-коммунального хозяйства и энергетики осуществляется проверка соблюдения условий и порядка предоставления субсидий, в том числе в части достижения результата предоставления субсидий. Органом государственного финансового контроля осуществляется проверка в соответствии со статьями 268.1 и 269.2 Бюджетного кодекса Российской Федерации. </w:t>
            </w:r>
          </w:p>
          <w:p w14:paraId="B3000000">
            <w:pPr>
              <w:widowControl w:val="1"/>
              <w:ind/>
              <w:jc w:val="center"/>
            </w:pPr>
            <w:r>
              <w:rPr>
                <w:i w:val="1"/>
              </w:rPr>
              <w:t xml:space="preserve"> (место для текстового описания)</w:t>
            </w:r>
          </w:p>
        </w:tc>
      </w:tr>
      <w:tr>
        <w:tc>
          <w:tcPr>
            <w:tcW w:type="dxa" w:w="829"/>
            <w:tcBorders>
              <w:top w:color="000000" w:sz="4" w:val="single"/>
              <w:left w:color="000000" w:sz="4" w:val="single"/>
              <w:bottom w:color="000000" w:sz="4" w:val="single"/>
              <w:right w:color="000000" w:sz="4" w:val="single"/>
            </w:tcBorders>
          </w:tcPr>
          <w:p w14:paraId="B4000000">
            <w:r>
              <w:t>10</w:t>
            </w:r>
            <w:r>
              <w:t>.8.</w:t>
            </w:r>
          </w:p>
        </w:tc>
        <w:tc>
          <w:tcPr>
            <w:tcW w:type="dxa" w:w="9092"/>
            <w:gridSpan w:val="5"/>
            <w:tcBorders>
              <w:top w:color="000000" w:sz="4" w:val="single"/>
              <w:left w:color="000000" w:sz="4" w:val="single"/>
              <w:bottom w:color="000000" w:sz="4" w:val="single"/>
              <w:right w:color="000000" w:sz="4" w:val="single"/>
            </w:tcBorders>
          </w:tcPr>
          <w:p w14:paraId="B5000000">
            <w:pPr>
              <w:widowControl w:val="1"/>
              <w:pBdr>
                <w:bottom w:color="000000" w:space="1" w:sz="4" w:val="single"/>
              </w:pBdr>
              <w:ind/>
            </w:pPr>
            <w:r>
              <w:t xml:space="preserve">Организационно-технические, методологические, информационные и иные мероприятия, необходимые для достижения заявленных целей регулирования: </w:t>
            </w:r>
            <w:r>
              <w:t>Отсутствует</w:t>
            </w:r>
            <w:r>
              <w:br/>
            </w:r>
            <w:r>
              <w:rPr>
                <w:i w:val="1"/>
              </w:rPr>
              <w:t>(место для текстового описания)</w:t>
            </w:r>
          </w:p>
        </w:tc>
      </w:tr>
    </w:tbl>
    <w:p w14:paraId="B6000000">
      <w:pPr>
        <w:widowControl w:val="0"/>
        <w:tabs>
          <w:tab w:leader="none" w:pos="1134" w:val="left"/>
        </w:tabs>
        <w:spacing w:line="276" w:lineRule="auto"/>
        <w:ind w:firstLine="709"/>
        <w:jc w:val="both"/>
        <w:rPr>
          <w:rFonts w:ascii="PT Astra Serif" w:hAnsi="PT Astra Serif"/>
        </w:rPr>
      </w:pPr>
    </w:p>
    <w:p w14:paraId="B7000000">
      <w:pPr>
        <w:widowControl w:val="0"/>
        <w:tabs>
          <w:tab w:leader="none" w:pos="1134" w:val="left"/>
        </w:tabs>
        <w:spacing w:line="276" w:lineRule="auto"/>
        <w:ind w:firstLine="709"/>
        <w:jc w:val="both"/>
        <w:rPr>
          <w:rFonts w:ascii="PT Astra Serif" w:hAnsi="PT Astra Serif"/>
          <w:color w:val="000000"/>
        </w:rPr>
      </w:pPr>
      <w:r>
        <w:rPr>
          <w:rFonts w:ascii="PT Astra Serif" w:hAnsi="PT Astra Serif"/>
          <w:b w:val="1"/>
          <w:color w:val="000000"/>
        </w:rPr>
        <w:t>11</w:t>
      </w:r>
      <w:r>
        <w:rPr>
          <w:rFonts w:ascii="PT Astra Serif" w:hAnsi="PT Astra Serif"/>
          <w:b w:val="1"/>
          <w:color w:val="000000"/>
        </w:rPr>
        <w:t>.</w:t>
      </w:r>
      <w:r>
        <w:rPr>
          <w:rFonts w:ascii="PT Astra Serif" w:hAnsi="PT Astra Serif"/>
          <w:b w:val="1"/>
          <w:color w:val="000000"/>
        </w:rPr>
        <w:tab/>
      </w:r>
      <w:r>
        <w:rPr>
          <w:rFonts w:ascii="PT Astra Serif" w:hAnsi="PT Astra Serif"/>
          <w:color w:val="000000"/>
        </w:rPr>
        <w:t xml:space="preserve">Сравнение возможных вариантов решения проблемы </w:t>
      </w:r>
    </w:p>
    <w:tbl>
      <w:tblPr>
        <w:tblStyle w:val="Style_3"/>
        <w:tblW w:type="auto" w:w="0"/>
        <w:tblInd w:type="dxa" w:w="-5"/>
        <w:tblLayout w:type="fixed"/>
        <w:tblCellMar>
          <w:top w:type="dxa" w:w="102"/>
          <w:left w:type="dxa" w:w="62"/>
          <w:bottom w:type="dxa" w:w="102"/>
          <w:right w:type="dxa" w:w="62"/>
        </w:tblCellMar>
      </w:tblPr>
      <w:tblGrid>
        <w:gridCol w:w="4962"/>
        <w:gridCol w:w="2268"/>
        <w:gridCol w:w="2136"/>
      </w:tblGrid>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8000000">
            <w:pPr>
              <w:widowControl w:val="0"/>
              <w:spacing w:line="276" w:lineRule="auto"/>
              <w:ind w:firstLine="709"/>
              <w:rPr>
                <w:rFonts w:ascii="PT Astra Serif" w:hAnsi="PT Astra Serif"/>
                <w:strike w:val="1"/>
                <w:color w:val="000000"/>
              </w:rPr>
            </w:pP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9000000">
            <w:pPr>
              <w:widowControl w:val="0"/>
              <w:spacing w:line="276" w:lineRule="auto"/>
              <w:ind w:firstLine="709"/>
              <w:rPr>
                <w:rFonts w:ascii="PT Astra Serif" w:hAnsi="PT Astra Serif"/>
                <w:color w:val="000000"/>
              </w:rPr>
            </w:pPr>
            <w:r>
              <w:rPr>
                <w:rFonts w:ascii="PT Astra Serif" w:hAnsi="PT Astra Serif"/>
                <w:color w:val="000000"/>
              </w:rPr>
              <w:t xml:space="preserve">Вариант 1 </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A000000">
            <w:pPr>
              <w:widowControl w:val="0"/>
              <w:spacing w:line="276" w:lineRule="auto"/>
              <w:ind w:firstLine="709"/>
              <w:rPr>
                <w:rFonts w:ascii="PT Astra Serif" w:hAnsi="PT Astra Serif"/>
                <w:color w:val="000000"/>
              </w:rPr>
            </w:pPr>
            <w:r>
              <w:rPr>
                <w:rFonts w:ascii="PT Astra Serif" w:hAnsi="PT Astra Serif"/>
                <w:color w:val="000000"/>
              </w:rPr>
              <w:t xml:space="preserve">Вариант 2 </w:t>
            </w:r>
          </w:p>
        </w:tc>
      </w:tr>
      <w:tr>
        <w:trPr>
          <w:trHeight w:hRule="atLeast" w:val="503"/>
        </w:trP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B000000">
            <w:pPr>
              <w:widowControl w:val="0"/>
              <w:spacing w:line="276" w:lineRule="auto"/>
              <w:ind/>
              <w:jc w:val="both"/>
              <w:rPr>
                <w:rFonts w:ascii="PT Astra Serif" w:hAnsi="PT Astra Serif"/>
                <w:color w:val="000000"/>
              </w:rPr>
            </w:pPr>
            <w:r>
              <w:rPr>
                <w:rFonts w:ascii="PT Astra Serif" w:hAnsi="PT Astra Serif"/>
                <w:color w:val="000000"/>
              </w:rPr>
              <w:t>Содержание варианта решения проблемы</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C000000">
            <w:pPr>
              <w:widowControl w:val="0"/>
              <w:spacing w:line="276" w:lineRule="auto"/>
              <w:ind w:firstLine="0" w:left="0"/>
              <w:jc w:val="both"/>
              <w:rPr>
                <w:i w:val="1"/>
                <w:color w:val="C00000"/>
                <w:sz w:val="24"/>
              </w:rPr>
            </w:pPr>
            <w:r>
              <w:rPr>
                <w:rFonts w:ascii="Times New Roman" w:hAnsi="Times New Roman"/>
                <w:sz w:val="24"/>
              </w:rPr>
              <w:t>Принятие акта</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D000000">
            <w:pPr>
              <w:widowControl w:val="0"/>
              <w:spacing w:line="276" w:lineRule="auto"/>
              <w:ind w:firstLine="0"/>
              <w:rPr>
                <w:i w:val="1"/>
                <w:color w:val="C00000"/>
                <w:sz w:val="24"/>
              </w:rPr>
            </w:pPr>
            <w:r>
              <w:rPr>
                <w:rFonts w:ascii="Times New Roman" w:hAnsi="Times New Roman"/>
                <w:sz w:val="24"/>
              </w:rPr>
              <w:t>Не принятие акта</w:t>
            </w:r>
          </w:p>
        </w:tc>
      </w:tr>
      <w:tr>
        <w:trPr>
          <w:trHeight w:hRule="atLeast" w:val="1493"/>
        </w:trP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E000000">
            <w:pPr>
              <w:widowControl w:val="0"/>
              <w:spacing w:line="276" w:lineRule="auto"/>
              <w:ind/>
              <w:jc w:val="both"/>
              <w:rPr>
                <w:rFonts w:ascii="PT Astra Serif" w:hAnsi="PT Astra Serif"/>
                <w:color w:val="000000"/>
              </w:rPr>
            </w:pPr>
            <w:r>
              <w:rPr>
                <w:rFonts w:ascii="PT Astra Serif" w:hAnsi="PT Astra Serif"/>
                <w:color w:val="000000"/>
              </w:rPr>
              <w:t>Качественная характеристика и оценка динамики численности потенциальных адресатов предлагаемого правового регулирования в среднесрочном периоде (1 - 3 года)</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F000000">
            <w:pPr>
              <w:widowControl w:val="1"/>
              <w:spacing w:after="120" w:before="120"/>
              <w:ind w:firstLine="0" w:left="120" w:right="120"/>
            </w:pPr>
            <w:r>
              <w:t>Произойдет замещение устаревших  систем очистки на современные комплексные модульные КОС.</w:t>
            </w:r>
            <w:r>
              <w:rPr>
                <w:rFonts w:ascii="Times New Roman" w:hAnsi="Times New Roman"/>
                <w:sz w:val="24"/>
              </w:rPr>
              <w:t xml:space="preserve"> 6-7 РСО (кумулятивно)</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top"/>
          </w:tcPr>
          <w:p w14:paraId="C0000000">
            <w:pPr>
              <w:widowControl w:val="1"/>
              <w:spacing w:after="0" w:before="0"/>
              <w:ind w:hanging="7" w:left="120" w:right="120"/>
              <w:jc w:val="both"/>
            </w:pPr>
            <w:r>
              <w:t>Рост расходов на ликвидацию ЧС, штрафы, судебные издержки, возможные федеральные санкции.</w:t>
            </w:r>
          </w:p>
          <w:p w14:paraId="C1000000">
            <w:pPr>
              <w:widowControl w:val="1"/>
              <w:spacing w:after="0" w:before="0"/>
              <w:ind w:hanging="7" w:left="120" w:right="120"/>
              <w:jc w:val="both"/>
            </w:pPr>
            <w:r>
              <w:t xml:space="preserve"> 0 РСО</w:t>
            </w:r>
          </w:p>
        </w:tc>
      </w:tr>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2000000">
            <w:pPr>
              <w:widowControl w:val="0"/>
              <w:spacing w:line="276" w:lineRule="auto"/>
              <w:ind/>
              <w:jc w:val="both"/>
              <w:rPr>
                <w:rFonts w:ascii="PT Astra Serif" w:hAnsi="PT Astra Serif"/>
                <w:color w:val="000000"/>
              </w:rPr>
            </w:pPr>
            <w:r>
              <w:rPr>
                <w:rFonts w:ascii="PT Astra Serif" w:hAnsi="PT Astra Serif"/>
                <w:color w:val="000000"/>
              </w:rPr>
              <w:t>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3000000">
            <w:pPr>
              <w:widowControl w:val="1"/>
              <w:spacing w:line="276" w:lineRule="auto"/>
              <w:ind/>
              <w:jc w:val="center"/>
              <w:rPr>
                <w:i w:val="0"/>
                <w:color w:val="000000"/>
              </w:rPr>
            </w:pPr>
            <w:r>
              <w:rPr>
                <w:i w:val="0"/>
                <w:color w:val="000000"/>
              </w:rPr>
              <w:t>0</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4000000">
            <w:pPr>
              <w:widowControl w:val="0"/>
              <w:spacing w:line="276" w:lineRule="auto"/>
              <w:ind/>
              <w:jc w:val="center"/>
              <w:rPr>
                <w:i w:val="0"/>
                <w:color w:val="000000"/>
              </w:rPr>
            </w:pPr>
            <w:r>
              <w:rPr>
                <w:i w:val="0"/>
                <w:color w:val="000000"/>
              </w:rPr>
              <w:t>0</w:t>
            </w:r>
          </w:p>
        </w:tc>
      </w:tr>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5000000">
            <w:pPr>
              <w:widowControl w:val="0"/>
              <w:spacing w:line="276" w:lineRule="auto"/>
              <w:ind/>
              <w:jc w:val="both"/>
              <w:rPr>
                <w:rFonts w:ascii="PT Astra Serif" w:hAnsi="PT Astra Serif"/>
                <w:color w:val="000000"/>
              </w:rPr>
            </w:pPr>
            <w:r>
              <w:rPr>
                <w:rFonts w:ascii="PT Astra Serif" w:hAnsi="PT Astra Serif"/>
                <w:color w:val="000000"/>
              </w:rPr>
              <w:t>Оценка расходов (доходов) государственного бюджета Республики Саха (Якутия), связанных с введением предлагаемого правового регулирования</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6000000">
            <w:pPr>
              <w:widowControl w:val="0"/>
              <w:spacing w:line="276" w:lineRule="auto"/>
              <w:ind/>
              <w:jc w:val="center"/>
              <w:rPr>
                <w:i w:val="0"/>
                <w:color w:val="000000"/>
              </w:rPr>
            </w:pPr>
            <w:r>
              <w:rPr>
                <w:i w:val="0"/>
                <w:color w:val="000000"/>
              </w:rPr>
              <w:t>0</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7000000">
            <w:pPr>
              <w:widowControl w:val="0"/>
              <w:spacing w:line="276" w:lineRule="auto"/>
              <w:ind/>
              <w:jc w:val="center"/>
              <w:rPr>
                <w:i w:val="0"/>
                <w:color w:val="000000"/>
              </w:rPr>
            </w:pPr>
            <w:r>
              <w:rPr>
                <w:i w:val="0"/>
                <w:color w:val="000000"/>
              </w:rPr>
              <w:t>0</w:t>
            </w:r>
          </w:p>
        </w:tc>
      </w:tr>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8000000">
            <w:pPr>
              <w:widowControl w:val="0"/>
              <w:spacing w:line="276" w:lineRule="auto"/>
              <w:ind/>
              <w:jc w:val="both"/>
              <w:rPr>
                <w:rFonts w:ascii="PT Astra Serif" w:hAnsi="PT Astra Serif"/>
                <w:color w:val="000000"/>
              </w:rPr>
            </w:pPr>
            <w:r>
              <w:rPr>
                <w:rFonts w:ascii="PT Astra Serif" w:hAnsi="PT Astra Serif"/>
                <w:color w:val="000000"/>
              </w:rPr>
              <w:t>Оценка возможности достижения заявленн</w:t>
            </w:r>
            <w:r>
              <w:rPr>
                <w:rFonts w:ascii="PT Astra Serif" w:hAnsi="PT Astra Serif"/>
                <w:color w:val="000000"/>
              </w:rPr>
              <w:t>ых целей регулирования (раздел 4</w:t>
            </w:r>
            <w:r>
              <w:rPr>
                <w:rFonts w:ascii="PT Astra Serif" w:hAnsi="PT Astra Serif"/>
                <w:color w:val="000000"/>
              </w:rPr>
              <w:t xml:space="preserve"> сводного отчета) посредством применения рассматриваемых вариантов предлагаемого правового регулирования</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9000000">
            <w:pPr>
              <w:widowControl w:val="0"/>
              <w:spacing w:line="276" w:lineRule="auto"/>
              <w:ind w:firstLine="0"/>
              <w:jc w:val="center"/>
              <w:rPr>
                <w:i w:val="0"/>
                <w:color w:val="000000"/>
              </w:rPr>
            </w:pPr>
            <w:r>
              <w:rPr>
                <w:i w:val="0"/>
                <w:color w:val="000000"/>
              </w:rPr>
              <w:t>Достигается</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A000000">
            <w:pPr>
              <w:widowControl w:val="0"/>
              <w:spacing w:line="276" w:lineRule="auto"/>
              <w:ind w:firstLine="0"/>
              <w:jc w:val="center"/>
              <w:rPr>
                <w:i w:val="0"/>
                <w:color w:val="000000"/>
              </w:rPr>
            </w:pPr>
            <w:r>
              <w:rPr>
                <w:i w:val="0"/>
                <w:color w:val="000000"/>
              </w:rPr>
              <w:t>Не достигается</w:t>
            </w:r>
          </w:p>
        </w:tc>
      </w:tr>
      <w:tr>
        <w:tc>
          <w:tcPr>
            <w:tcW w:type="dxa" w:w="496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B000000">
            <w:pPr>
              <w:widowControl w:val="0"/>
              <w:spacing w:line="276" w:lineRule="auto"/>
              <w:ind/>
              <w:jc w:val="both"/>
              <w:rPr>
                <w:rFonts w:ascii="PT Astra Serif" w:hAnsi="PT Astra Serif"/>
                <w:color w:val="000000"/>
              </w:rPr>
            </w:pPr>
            <w:r>
              <w:rPr>
                <w:rFonts w:ascii="PT Astra Serif" w:hAnsi="PT Astra Serif"/>
                <w:color w:val="000000"/>
              </w:rPr>
              <w:t xml:space="preserve">Оценка рисков неблагоприятных последствий </w:t>
            </w:r>
          </w:p>
        </w:tc>
        <w:tc>
          <w:tcPr>
            <w:tcW w:type="dxa" w:w="226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C000000">
            <w:pPr>
              <w:widowControl w:val="0"/>
              <w:spacing w:line="276" w:lineRule="auto"/>
              <w:ind/>
              <w:jc w:val="center"/>
              <w:rPr>
                <w:i w:val="0"/>
                <w:color w:val="000000"/>
              </w:rPr>
            </w:pPr>
            <w:r>
              <w:rPr>
                <w:i w:val="0"/>
                <w:color w:val="000000"/>
              </w:rPr>
              <w:t>Низкая</w:t>
            </w:r>
          </w:p>
        </w:tc>
        <w:tc>
          <w:tcPr>
            <w:tcW w:type="dxa" w:w="21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D000000">
            <w:pPr>
              <w:widowControl w:val="0"/>
              <w:spacing w:line="276" w:lineRule="auto"/>
              <w:ind/>
              <w:jc w:val="center"/>
              <w:rPr>
                <w:i w:val="0"/>
                <w:color w:val="000000"/>
              </w:rPr>
            </w:pPr>
            <w:r>
              <w:rPr>
                <w:i w:val="0"/>
                <w:color w:val="000000"/>
              </w:rPr>
              <w:t>Высокая</w:t>
            </w:r>
          </w:p>
        </w:tc>
      </w:tr>
    </w:tbl>
    <w:p w14:paraId="CE00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11.1</w:t>
      </w:r>
      <w:r>
        <w:rPr>
          <w:rFonts w:ascii="PT Astra Serif" w:hAnsi="PT Astra Serif"/>
          <w:u w:val="single"/>
        </w:rPr>
        <w:t>.</w:t>
      </w:r>
      <w:r>
        <w:rPr>
          <w:rFonts w:ascii="PT Astra Serif" w:hAnsi="PT Astra Serif"/>
          <w:u w:val="single"/>
        </w:rPr>
        <w:tab/>
      </w:r>
      <w:r>
        <w:rPr>
          <w:rFonts w:ascii="PT Astra Serif" w:hAnsi="PT Astra Serif"/>
          <w:u w:val="single"/>
        </w:rPr>
        <w:t>Обоснование выбора предпочтительного варианта решения выявленной проблемы</w:t>
      </w:r>
      <w:r>
        <w:rPr>
          <w:rFonts w:ascii="PT Astra Serif" w:hAnsi="PT Astra Serif"/>
        </w:rPr>
        <w:t>:</w:t>
      </w:r>
    </w:p>
    <w:p w14:paraId="CF000000">
      <w:pPr>
        <w:widowControl w:val="0"/>
        <w:spacing w:after="0" w:line="240" w:lineRule="auto"/>
        <w:ind w:firstLine="709" w:left="0" w:right="-285"/>
        <w:jc w:val="both"/>
        <w:rPr>
          <w:rFonts w:ascii="Times New Roman" w:hAnsi="Times New Roman"/>
          <w:sz w:val="24"/>
          <w:u w:val="none"/>
        </w:rPr>
      </w:pPr>
      <w:r>
        <w:rPr>
          <w:rFonts w:ascii="Times New Roman" w:hAnsi="Times New Roman"/>
          <w:sz w:val="24"/>
          <w:u w:val="none"/>
        </w:rPr>
        <w:t>Учитывая проводимую госуда</w:t>
      </w:r>
      <w:r>
        <w:rPr>
          <w:rFonts w:ascii="Times New Roman" w:hAnsi="Times New Roman"/>
          <w:sz w:val="24"/>
          <w:u w:val="none"/>
        </w:rPr>
        <w:t xml:space="preserve">рственную политику в сфере </w:t>
      </w:r>
      <w:r>
        <w:rPr>
          <w:rFonts w:ascii="Times New Roman" w:hAnsi="Times New Roman"/>
          <w:sz w:val="24"/>
          <w:u w:val="none"/>
        </w:rPr>
        <w:t>коммунального комплекса</w:t>
      </w:r>
      <w:r>
        <w:rPr>
          <w:rFonts w:ascii="Times New Roman" w:hAnsi="Times New Roman"/>
          <w:sz w:val="24"/>
          <w:u w:val="none"/>
        </w:rPr>
        <w:t>, предпочтительным является вариант № 1.</w:t>
      </w:r>
    </w:p>
    <w:p w14:paraId="D0000000">
      <w:pPr>
        <w:widowControl w:val="1"/>
        <w:tabs>
          <w:tab w:leader="none" w:pos="1134" w:val="left"/>
        </w:tabs>
        <w:spacing w:line="276" w:lineRule="auto"/>
        <w:ind w:firstLine="709"/>
        <w:jc w:val="both"/>
        <w:rPr>
          <w:rFonts w:ascii="PT Astra Serif" w:hAnsi="PT Astra Serif"/>
          <w:u w:val="single"/>
        </w:rPr>
      </w:pPr>
    </w:p>
    <w:p w14:paraId="D100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12. Анализ воздействия предлагаемого регулирования на состояние конкуренции в Республике Саха (Якутия) в регулируемой сфере деятельности</w:t>
      </w:r>
    </w:p>
    <w:p w14:paraId="D200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12.1. Наличие в проекте акта положений, которые могут отрицательно воздействовать на состояние конкуренции:</w:t>
      </w:r>
    </w:p>
    <w:p w14:paraId="D3000000">
      <w:pPr>
        <w:widowControl w:val="1"/>
        <w:tabs>
          <w:tab w:leader="none" w:pos="1134" w:val="left"/>
        </w:tabs>
        <w:spacing w:line="276" w:lineRule="auto"/>
        <w:ind w:firstLine="709"/>
        <w:jc w:val="both"/>
        <w:rPr>
          <w:rFonts w:ascii="PT Astra Serif" w:hAnsi="PT Astra Serif"/>
          <w:b w:val="1"/>
        </w:rPr>
      </w:pPr>
    </w:p>
    <w:tbl>
      <w:tblPr>
        <w:tblStyle w:val="Style_5"/>
        <w:tblW w:type="auto" w:w="0"/>
        <w:tblLayout w:type="fixed"/>
      </w:tblPr>
      <w:tblGrid>
        <w:gridCol w:w="704"/>
        <w:gridCol w:w="4961"/>
        <w:gridCol w:w="1276"/>
        <w:gridCol w:w="2970"/>
      </w:tblGrid>
      <w:tr>
        <w:tc>
          <w:tcPr>
            <w:tcW w:type="dxa" w:w="704"/>
            <w:vMerge w:val="restart"/>
          </w:tcPr>
          <w:p w14:paraId="D4000000">
            <w:pPr>
              <w:widowControl w:val="1"/>
              <w:tabs>
                <w:tab w:leader="none" w:pos="1134" w:val="left"/>
              </w:tabs>
              <w:spacing w:line="276" w:lineRule="auto"/>
              <w:ind/>
              <w:jc w:val="both"/>
              <w:rPr>
                <w:rFonts w:ascii="PT Astra Serif" w:hAnsi="PT Astra Serif"/>
                <w:b w:val="1"/>
              </w:rPr>
            </w:pPr>
            <w:r>
              <w:rPr>
                <w:rFonts w:ascii="PT Astra Serif" w:hAnsi="PT Astra Serif"/>
                <w:b w:val="1"/>
              </w:rPr>
              <w:t>№</w:t>
            </w:r>
          </w:p>
        </w:tc>
        <w:tc>
          <w:tcPr>
            <w:tcW w:type="dxa" w:w="4961"/>
            <w:vMerge w:val="restart"/>
          </w:tcPr>
          <w:p w14:paraId="D5000000">
            <w:pPr>
              <w:widowControl w:val="1"/>
              <w:tabs>
                <w:tab w:leader="none" w:pos="1134" w:val="left"/>
              </w:tabs>
              <w:spacing w:line="276" w:lineRule="auto"/>
              <w:ind/>
              <w:jc w:val="both"/>
              <w:rPr>
                <w:rFonts w:ascii="PT Astra Serif" w:hAnsi="PT Astra Serif"/>
                <w:b w:val="1"/>
              </w:rPr>
            </w:pPr>
            <w:r>
              <w:rPr>
                <w:rFonts w:ascii="PT Astra Serif" w:hAnsi="PT Astra Serif"/>
                <w:b w:val="1"/>
              </w:rPr>
              <w:t>Положение, которое может отрицательно воздействовать на состояние конкуренции</w:t>
            </w:r>
          </w:p>
        </w:tc>
        <w:tc>
          <w:tcPr>
            <w:tcW w:type="dxa" w:w="4246"/>
            <w:gridSpan w:val="2"/>
          </w:tcPr>
          <w:p w14:paraId="D6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Наличие положения в проекте акта</w:t>
            </w:r>
          </w:p>
        </w:tc>
      </w:tr>
      <w:tr>
        <w:tc>
          <w:tcPr>
            <w:tcW w:type="dxa" w:w="704"/>
            <w:gridSpan w:val="1"/>
            <w:vMerge w:val="continue"/>
          </w:tcPr>
          <w:p/>
        </w:tc>
        <w:tc>
          <w:tcPr>
            <w:tcW w:type="dxa" w:w="4961"/>
            <w:gridSpan w:val="1"/>
            <w:vMerge w:val="continue"/>
          </w:tcPr>
          <w:p/>
        </w:tc>
        <w:tc>
          <w:tcPr>
            <w:tcW w:type="dxa" w:w="1276"/>
          </w:tcPr>
          <w:p w14:paraId="D7000000">
            <w:pPr>
              <w:widowControl w:val="1"/>
              <w:tabs>
                <w:tab w:leader="none" w:pos="1134" w:val="left"/>
              </w:tabs>
              <w:spacing w:line="276" w:lineRule="auto"/>
              <w:ind/>
              <w:jc w:val="center"/>
              <w:rPr>
                <w:rFonts w:ascii="PT Astra Serif" w:hAnsi="PT Astra Serif"/>
                <w:b w:val="1"/>
              </w:rPr>
            </w:pPr>
            <w:r>
              <w:rPr>
                <w:rFonts w:ascii="PT Astra Serif" w:hAnsi="PT Astra Serif"/>
                <w:b w:val="1"/>
              </w:rPr>
              <w:t>Есть</w:t>
            </w:r>
            <w:r>
              <w:rPr>
                <w:rFonts w:ascii="PT Astra Serif" w:hAnsi="PT Astra Serif"/>
                <w:b w:val="1"/>
              </w:rPr>
              <w:t>/</w:t>
            </w:r>
            <w:r>
              <w:rPr>
                <w:rFonts w:ascii="PT Astra Serif" w:hAnsi="PT Astra Serif"/>
                <w:b w:val="1"/>
              </w:rPr>
              <w:t>нет</w:t>
            </w:r>
          </w:p>
        </w:tc>
        <w:tc>
          <w:tcPr>
            <w:tcW w:type="dxa" w:w="2970"/>
          </w:tcPr>
          <w:p w14:paraId="D8000000">
            <w:pPr>
              <w:widowControl w:val="1"/>
              <w:tabs>
                <w:tab w:leader="none" w:pos="1134" w:val="left"/>
              </w:tabs>
              <w:spacing w:line="276" w:lineRule="auto"/>
              <w:ind/>
              <w:jc w:val="center"/>
              <w:rPr>
                <w:rFonts w:ascii="PT Astra Serif" w:hAnsi="PT Astra Serif"/>
                <w:b w:val="1"/>
              </w:rPr>
            </w:pPr>
            <w:r>
              <w:rPr>
                <w:rFonts w:ascii="PT Astra Serif" w:hAnsi="PT Astra Serif"/>
                <w:b w:val="1"/>
              </w:rPr>
              <w:t>С</w:t>
            </w:r>
            <w:r>
              <w:rPr>
                <w:rFonts w:ascii="PT Astra Serif" w:hAnsi="PT Astra Serif"/>
                <w:b w:val="1"/>
              </w:rPr>
              <w:t>сылка на положение</w:t>
            </w:r>
          </w:p>
        </w:tc>
      </w:tr>
      <w:tr>
        <w:tc>
          <w:tcPr>
            <w:tcW w:type="dxa" w:w="704"/>
          </w:tcPr>
          <w:p w14:paraId="D9000000">
            <w:pPr>
              <w:widowControl w:val="1"/>
              <w:tabs>
                <w:tab w:leader="none" w:pos="1134" w:val="left"/>
              </w:tabs>
              <w:spacing w:line="276" w:lineRule="auto"/>
              <w:ind/>
              <w:jc w:val="both"/>
              <w:rPr>
                <w:rFonts w:ascii="PT Astra Serif" w:hAnsi="PT Astra Serif"/>
                <w:b w:val="1"/>
              </w:rPr>
            </w:pPr>
            <w:r>
              <w:rPr>
                <w:rFonts w:ascii="PT Astra Serif" w:hAnsi="PT Astra Serif"/>
                <w:b w:val="1"/>
              </w:rPr>
              <w:t>1.</w:t>
            </w:r>
          </w:p>
        </w:tc>
        <w:tc>
          <w:tcPr>
            <w:tcW w:type="dxa" w:w="9207"/>
            <w:gridSpan w:val="3"/>
          </w:tcPr>
          <w:p w14:paraId="DA000000">
            <w:pPr>
              <w:widowControl w:val="1"/>
              <w:tabs>
                <w:tab w:leader="none" w:pos="1134" w:val="left"/>
              </w:tabs>
              <w:spacing w:line="276" w:lineRule="auto"/>
              <w:ind/>
              <w:jc w:val="both"/>
              <w:rPr>
                <w:rFonts w:ascii="PT Astra Serif" w:hAnsi="PT Astra Serif"/>
                <w:b w:val="1"/>
              </w:rPr>
            </w:pPr>
            <w:r>
              <w:rPr>
                <w:rFonts w:ascii="PT Astra Serif" w:hAnsi="PT Astra Serif"/>
                <w:b w:val="1"/>
              </w:rPr>
              <w:t>Ограничение количества или круга субъектов предпринимательской и иной экономической деятельности</w:t>
            </w:r>
          </w:p>
        </w:tc>
      </w:tr>
      <w:tr>
        <w:tc>
          <w:tcPr>
            <w:tcW w:type="dxa" w:w="704"/>
          </w:tcPr>
          <w:p w14:paraId="DB000000">
            <w:pPr>
              <w:widowControl w:val="1"/>
              <w:tabs>
                <w:tab w:leader="none" w:pos="1134" w:val="left"/>
              </w:tabs>
              <w:spacing w:line="276" w:lineRule="auto"/>
              <w:ind/>
              <w:jc w:val="both"/>
              <w:rPr>
                <w:rFonts w:ascii="PT Astra Serif" w:hAnsi="PT Astra Serif"/>
              </w:rPr>
            </w:pPr>
            <w:r>
              <w:rPr>
                <w:rFonts w:ascii="PT Astra Serif" w:hAnsi="PT Astra Serif"/>
              </w:rPr>
              <w:t>1.1.</w:t>
            </w:r>
          </w:p>
        </w:tc>
        <w:tc>
          <w:tcPr>
            <w:tcW w:type="dxa" w:w="4961"/>
          </w:tcPr>
          <w:p w14:paraId="DC000000">
            <w:pPr>
              <w:widowControl w:val="1"/>
              <w:tabs>
                <w:tab w:leader="none" w:pos="1134" w:val="left"/>
              </w:tabs>
              <w:spacing w:line="276" w:lineRule="auto"/>
              <w:ind/>
              <w:jc w:val="both"/>
              <w:rPr>
                <w:rFonts w:ascii="PT Astra Serif" w:hAnsi="PT Astra Serif"/>
              </w:rPr>
            </w:pPr>
            <w:r>
              <w:rPr>
                <w:rFonts w:ascii="PT Astra Serif" w:hAnsi="PT Astra Serif"/>
              </w:rPr>
              <w:t>Предоставляет преимущество по продаже товаров, выполнению работ,</w:t>
            </w:r>
          </w:p>
          <w:p w14:paraId="DD000000">
            <w:pPr>
              <w:widowControl w:val="1"/>
              <w:tabs>
                <w:tab w:leader="none" w:pos="1134" w:val="left"/>
              </w:tabs>
              <w:spacing w:line="276" w:lineRule="auto"/>
              <w:ind/>
              <w:jc w:val="both"/>
              <w:rPr>
                <w:rFonts w:ascii="PT Astra Serif" w:hAnsi="PT Astra Serif"/>
              </w:rPr>
            </w:pPr>
            <w:r>
              <w:rPr>
                <w:rFonts w:ascii="PT Astra Serif" w:hAnsi="PT Astra Serif"/>
              </w:rPr>
              <w:t>оказанию услуг субъекту (группе субъектов) предпринимательской и</w:t>
            </w:r>
          </w:p>
          <w:p w14:paraId="DE000000">
            <w:pPr>
              <w:widowControl w:val="1"/>
              <w:tabs>
                <w:tab w:leader="none" w:pos="1134" w:val="left"/>
              </w:tabs>
              <w:spacing w:line="276" w:lineRule="auto"/>
              <w:ind/>
              <w:jc w:val="both"/>
              <w:rPr>
                <w:rFonts w:ascii="PT Astra Serif" w:hAnsi="PT Astra Serif"/>
              </w:rPr>
            </w:pPr>
            <w:r>
              <w:rPr>
                <w:rFonts w:ascii="PT Astra Serif" w:hAnsi="PT Astra Serif"/>
              </w:rPr>
              <w:t>иной экономической деятельности</w:t>
            </w:r>
          </w:p>
        </w:tc>
        <w:tc>
          <w:tcPr>
            <w:tcW w:type="dxa" w:w="1276"/>
          </w:tcPr>
          <w:p w14:paraId="DF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E0000000">
            <w:pPr>
              <w:widowControl w:val="1"/>
              <w:tabs>
                <w:tab w:leader="none" w:pos="1134" w:val="left"/>
              </w:tabs>
              <w:spacing w:line="276" w:lineRule="auto"/>
              <w:ind/>
              <w:jc w:val="both"/>
              <w:rPr>
                <w:rFonts w:ascii="PT Astra Serif" w:hAnsi="PT Astra Serif"/>
                <w:b w:val="1"/>
              </w:rPr>
            </w:pPr>
          </w:p>
        </w:tc>
      </w:tr>
      <w:tr>
        <w:tc>
          <w:tcPr>
            <w:tcW w:type="dxa" w:w="704"/>
          </w:tcPr>
          <w:p w14:paraId="E1000000">
            <w:pPr>
              <w:widowControl w:val="1"/>
              <w:tabs>
                <w:tab w:leader="none" w:pos="1134" w:val="left"/>
              </w:tabs>
              <w:spacing w:line="276" w:lineRule="auto"/>
              <w:ind/>
              <w:jc w:val="both"/>
              <w:rPr>
                <w:rFonts w:ascii="PT Astra Serif" w:hAnsi="PT Astra Serif"/>
              </w:rPr>
            </w:pPr>
            <w:r>
              <w:rPr>
                <w:rFonts w:ascii="PT Astra Serif" w:hAnsi="PT Astra Serif"/>
              </w:rPr>
              <w:t>1.2.</w:t>
            </w:r>
          </w:p>
        </w:tc>
        <w:tc>
          <w:tcPr>
            <w:tcW w:type="dxa" w:w="4961"/>
          </w:tcPr>
          <w:p w14:paraId="E2000000">
            <w:pPr>
              <w:widowControl w:val="1"/>
              <w:tabs>
                <w:tab w:leader="none" w:pos="1134" w:val="left"/>
              </w:tabs>
              <w:spacing w:line="276" w:lineRule="auto"/>
              <w:ind/>
              <w:jc w:val="both"/>
              <w:rPr>
                <w:rFonts w:ascii="PT Astra Serif" w:hAnsi="PT Astra Serif"/>
              </w:rPr>
            </w:pPr>
            <w:r>
              <w:rPr>
                <w:rFonts w:ascii="PT Astra Serif" w:hAnsi="PT Astra Serif"/>
              </w:rPr>
              <w:t>Ограничивает возможность субъектов предпринимательской и иной</w:t>
            </w:r>
          </w:p>
          <w:p w14:paraId="E3000000">
            <w:pPr>
              <w:widowControl w:val="1"/>
              <w:tabs>
                <w:tab w:leader="none" w:pos="1134" w:val="left"/>
              </w:tabs>
              <w:spacing w:line="276" w:lineRule="auto"/>
              <w:ind/>
              <w:jc w:val="both"/>
              <w:rPr>
                <w:rFonts w:ascii="PT Astra Serif" w:hAnsi="PT Astra Serif"/>
              </w:rPr>
            </w:pPr>
            <w:r>
              <w:rPr>
                <w:rFonts w:ascii="PT Astra Serif" w:hAnsi="PT Astra Serif"/>
              </w:rPr>
              <w:t>экономической деятельности продавать товары, выполнять работы,</w:t>
            </w:r>
          </w:p>
          <w:p w14:paraId="E4000000">
            <w:pPr>
              <w:widowControl w:val="1"/>
              <w:tabs>
                <w:tab w:leader="none" w:pos="1134" w:val="left"/>
              </w:tabs>
              <w:spacing w:line="276" w:lineRule="auto"/>
              <w:ind/>
              <w:jc w:val="both"/>
              <w:rPr>
                <w:rFonts w:ascii="PT Astra Serif" w:hAnsi="PT Astra Serif"/>
              </w:rPr>
            </w:pPr>
            <w:r>
              <w:rPr>
                <w:rFonts w:ascii="PT Astra Serif" w:hAnsi="PT Astra Serif"/>
              </w:rPr>
              <w:t>оказывать услуги</w:t>
            </w:r>
          </w:p>
        </w:tc>
        <w:tc>
          <w:tcPr>
            <w:tcW w:type="dxa" w:w="1276"/>
          </w:tcPr>
          <w:p w14:paraId="E5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E6000000">
            <w:pPr>
              <w:widowControl w:val="1"/>
              <w:tabs>
                <w:tab w:leader="none" w:pos="1134" w:val="left"/>
              </w:tabs>
              <w:spacing w:line="276" w:lineRule="auto"/>
              <w:ind/>
              <w:jc w:val="both"/>
              <w:rPr>
                <w:rFonts w:ascii="PT Astra Serif" w:hAnsi="PT Astra Serif"/>
                <w:b w:val="1"/>
              </w:rPr>
            </w:pPr>
          </w:p>
        </w:tc>
      </w:tr>
      <w:tr>
        <w:tc>
          <w:tcPr>
            <w:tcW w:type="dxa" w:w="704"/>
          </w:tcPr>
          <w:p w14:paraId="E7000000">
            <w:pPr>
              <w:widowControl w:val="1"/>
              <w:tabs>
                <w:tab w:leader="none" w:pos="1134" w:val="left"/>
              </w:tabs>
              <w:spacing w:line="276" w:lineRule="auto"/>
              <w:ind/>
              <w:jc w:val="both"/>
              <w:rPr>
                <w:rFonts w:ascii="PT Astra Serif" w:hAnsi="PT Astra Serif"/>
              </w:rPr>
            </w:pPr>
            <w:r>
              <w:rPr>
                <w:rFonts w:ascii="PT Astra Serif" w:hAnsi="PT Astra Serif"/>
              </w:rPr>
              <w:t>1.3.</w:t>
            </w:r>
          </w:p>
        </w:tc>
        <w:tc>
          <w:tcPr>
            <w:tcW w:type="dxa" w:w="4961"/>
          </w:tcPr>
          <w:p w14:paraId="E8000000">
            <w:pPr>
              <w:widowControl w:val="1"/>
              <w:tabs>
                <w:tab w:leader="none" w:pos="1134" w:val="left"/>
              </w:tabs>
              <w:spacing w:line="276" w:lineRule="auto"/>
              <w:ind/>
              <w:jc w:val="both"/>
              <w:rPr>
                <w:rFonts w:ascii="PT Astra Serif" w:hAnsi="PT Astra Serif"/>
              </w:rPr>
            </w:pPr>
            <w:r>
              <w:rPr>
                <w:rFonts w:ascii="PT Astra Serif" w:hAnsi="PT Astra Serif"/>
              </w:rPr>
              <w:t>Вводит требование по получению разрешения или согласования в</w:t>
            </w:r>
          </w:p>
          <w:p w14:paraId="E9000000">
            <w:pPr>
              <w:widowControl w:val="1"/>
              <w:tabs>
                <w:tab w:leader="none" w:pos="1134" w:val="left"/>
              </w:tabs>
              <w:spacing w:line="276" w:lineRule="auto"/>
              <w:ind/>
              <w:jc w:val="both"/>
              <w:rPr>
                <w:rFonts w:ascii="PT Astra Serif" w:hAnsi="PT Astra Serif"/>
              </w:rPr>
            </w:pPr>
            <w:r>
              <w:rPr>
                <w:rFonts w:ascii="PT Astra Serif" w:hAnsi="PT Astra Serif"/>
              </w:rPr>
              <w:t>качестве условия для начала или продолжения деятельности</w:t>
            </w:r>
          </w:p>
        </w:tc>
        <w:tc>
          <w:tcPr>
            <w:tcW w:type="dxa" w:w="1276"/>
          </w:tcPr>
          <w:p w14:paraId="EA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EB000000">
            <w:pPr>
              <w:widowControl w:val="1"/>
              <w:tabs>
                <w:tab w:leader="none" w:pos="1134" w:val="left"/>
              </w:tabs>
              <w:spacing w:line="276" w:lineRule="auto"/>
              <w:ind/>
              <w:jc w:val="both"/>
              <w:rPr>
                <w:rFonts w:ascii="PT Astra Serif" w:hAnsi="PT Astra Serif"/>
                <w:b w:val="1"/>
              </w:rPr>
            </w:pPr>
          </w:p>
        </w:tc>
      </w:tr>
      <w:tr>
        <w:tc>
          <w:tcPr>
            <w:tcW w:type="dxa" w:w="704"/>
          </w:tcPr>
          <w:p w14:paraId="EC000000">
            <w:pPr>
              <w:widowControl w:val="1"/>
              <w:tabs>
                <w:tab w:leader="none" w:pos="1134" w:val="left"/>
              </w:tabs>
              <w:spacing w:line="276" w:lineRule="auto"/>
              <w:ind/>
              <w:jc w:val="both"/>
              <w:rPr>
                <w:rFonts w:ascii="PT Astra Serif" w:hAnsi="PT Astra Serif"/>
              </w:rPr>
            </w:pPr>
            <w:r>
              <w:rPr>
                <w:rFonts w:ascii="PT Astra Serif" w:hAnsi="PT Astra Serif"/>
              </w:rPr>
              <w:t>1.4.</w:t>
            </w:r>
          </w:p>
        </w:tc>
        <w:tc>
          <w:tcPr>
            <w:tcW w:type="dxa" w:w="4961"/>
          </w:tcPr>
          <w:p w14:paraId="ED000000">
            <w:pPr>
              <w:widowControl w:val="1"/>
              <w:tabs>
                <w:tab w:leader="none" w:pos="1134" w:val="left"/>
              </w:tabs>
              <w:spacing w:line="276" w:lineRule="auto"/>
              <w:ind/>
              <w:jc w:val="both"/>
              <w:rPr>
                <w:rFonts w:ascii="PT Astra Serif" w:hAnsi="PT Astra Serif"/>
              </w:rPr>
            </w:pPr>
            <w:r>
              <w:rPr>
                <w:rFonts w:ascii="PT Astra Serif" w:hAnsi="PT Astra Serif"/>
              </w:rPr>
              <w:t>Создает географический барьер, ограничивающий возможность</w:t>
            </w:r>
          </w:p>
          <w:p w14:paraId="EE000000">
            <w:pPr>
              <w:widowControl w:val="1"/>
              <w:tabs>
                <w:tab w:leader="none" w:pos="1134" w:val="left"/>
              </w:tabs>
              <w:spacing w:line="276" w:lineRule="auto"/>
              <w:ind/>
              <w:jc w:val="both"/>
              <w:rPr>
                <w:rFonts w:ascii="PT Astra Serif" w:hAnsi="PT Astra Serif"/>
              </w:rPr>
            </w:pPr>
            <w:r>
              <w:rPr>
                <w:rFonts w:ascii="PT Astra Serif" w:hAnsi="PT Astra Serif"/>
              </w:rPr>
              <w:t>субъектов предпринимательской и иной экономической деятельности</w:t>
            </w:r>
          </w:p>
          <w:p w14:paraId="EF000000">
            <w:pPr>
              <w:widowControl w:val="1"/>
              <w:tabs>
                <w:tab w:leader="none" w:pos="1134" w:val="left"/>
              </w:tabs>
              <w:spacing w:line="276" w:lineRule="auto"/>
              <w:ind/>
              <w:jc w:val="both"/>
              <w:rPr>
                <w:rFonts w:ascii="PT Astra Serif" w:hAnsi="PT Astra Serif"/>
              </w:rPr>
            </w:pPr>
            <w:r>
              <w:rPr>
                <w:rFonts w:ascii="PT Astra Serif" w:hAnsi="PT Astra Serif"/>
              </w:rPr>
              <w:t>продавать товары, выполнять работы, оказывать услуги</w:t>
            </w:r>
          </w:p>
        </w:tc>
        <w:tc>
          <w:tcPr>
            <w:tcW w:type="dxa" w:w="1276"/>
          </w:tcPr>
          <w:p w14:paraId="F0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F1000000">
            <w:pPr>
              <w:widowControl w:val="1"/>
              <w:tabs>
                <w:tab w:leader="none" w:pos="1134" w:val="left"/>
              </w:tabs>
              <w:spacing w:line="276" w:lineRule="auto"/>
              <w:ind/>
              <w:jc w:val="both"/>
              <w:rPr>
                <w:rFonts w:ascii="PT Astra Serif" w:hAnsi="PT Astra Serif"/>
                <w:b w:val="1"/>
              </w:rPr>
            </w:pPr>
          </w:p>
        </w:tc>
      </w:tr>
      <w:tr>
        <w:tc>
          <w:tcPr>
            <w:tcW w:type="dxa" w:w="704"/>
          </w:tcPr>
          <w:p w14:paraId="F2000000">
            <w:pPr>
              <w:widowControl w:val="1"/>
              <w:tabs>
                <w:tab w:leader="none" w:pos="1134" w:val="left"/>
              </w:tabs>
              <w:spacing w:line="276" w:lineRule="auto"/>
              <w:ind/>
              <w:jc w:val="both"/>
              <w:rPr>
                <w:rFonts w:ascii="PT Astra Serif" w:hAnsi="PT Astra Serif"/>
                <w:b w:val="1"/>
              </w:rPr>
            </w:pPr>
            <w:r>
              <w:rPr>
                <w:rFonts w:ascii="PT Astra Serif" w:hAnsi="PT Astra Serif"/>
                <w:b w:val="1"/>
              </w:rPr>
              <w:t>2.</w:t>
            </w:r>
          </w:p>
        </w:tc>
        <w:tc>
          <w:tcPr>
            <w:tcW w:type="dxa" w:w="9207"/>
            <w:gridSpan w:val="3"/>
          </w:tcPr>
          <w:p w14:paraId="F3000000">
            <w:pPr>
              <w:widowControl w:val="1"/>
              <w:tabs>
                <w:tab w:leader="none" w:pos="1134" w:val="left"/>
              </w:tabs>
              <w:spacing w:line="276" w:lineRule="auto"/>
              <w:ind/>
              <w:jc w:val="both"/>
              <w:rPr>
                <w:rFonts w:ascii="PT Astra Serif" w:hAnsi="PT Astra Serif"/>
                <w:b w:val="1"/>
              </w:rPr>
            </w:pPr>
            <w:r>
              <w:rPr>
                <w:rFonts w:ascii="PT Astra Serif" w:hAnsi="PT Astra Serif"/>
                <w:b w:val="1"/>
              </w:rPr>
              <w:t>Ограничение способности субъектов предпринимательской и иной экономической деятельности вести конкуренцию</w:t>
            </w:r>
          </w:p>
        </w:tc>
      </w:tr>
      <w:tr>
        <w:tc>
          <w:tcPr>
            <w:tcW w:type="dxa" w:w="704"/>
          </w:tcPr>
          <w:p w14:paraId="F4000000">
            <w:pPr>
              <w:widowControl w:val="1"/>
              <w:tabs>
                <w:tab w:leader="none" w:pos="1134" w:val="left"/>
              </w:tabs>
              <w:spacing w:line="276" w:lineRule="auto"/>
              <w:ind/>
              <w:jc w:val="both"/>
              <w:rPr>
                <w:rFonts w:ascii="PT Astra Serif" w:hAnsi="PT Astra Serif"/>
              </w:rPr>
            </w:pPr>
            <w:r>
              <w:rPr>
                <w:rFonts w:ascii="PT Astra Serif" w:hAnsi="PT Astra Serif"/>
              </w:rPr>
              <w:t>2.1.</w:t>
            </w:r>
          </w:p>
        </w:tc>
        <w:tc>
          <w:tcPr>
            <w:tcW w:type="dxa" w:w="4961"/>
          </w:tcPr>
          <w:p w14:paraId="F5000000">
            <w:pPr>
              <w:widowControl w:val="1"/>
              <w:tabs>
                <w:tab w:leader="none" w:pos="1134" w:val="left"/>
              </w:tabs>
              <w:spacing w:line="276" w:lineRule="auto"/>
              <w:ind/>
              <w:jc w:val="both"/>
              <w:rPr>
                <w:rFonts w:ascii="PT Astra Serif" w:hAnsi="PT Astra Serif"/>
              </w:rPr>
            </w:pPr>
            <w:r>
              <w:rPr>
                <w:rFonts w:ascii="PT Astra Serif" w:hAnsi="PT Astra Serif"/>
              </w:rPr>
              <w:t>Ограничивает возможность субъектов предпринимательской и иной</w:t>
            </w:r>
          </w:p>
          <w:p w14:paraId="F6000000">
            <w:pPr>
              <w:widowControl w:val="1"/>
              <w:tabs>
                <w:tab w:leader="none" w:pos="1134" w:val="left"/>
              </w:tabs>
              <w:spacing w:line="276" w:lineRule="auto"/>
              <w:ind/>
              <w:jc w:val="both"/>
              <w:rPr>
                <w:rFonts w:ascii="PT Astra Serif" w:hAnsi="PT Astra Serif"/>
              </w:rPr>
            </w:pPr>
            <w:r>
              <w:rPr>
                <w:rFonts w:ascii="PT Astra Serif" w:hAnsi="PT Astra Serif"/>
              </w:rPr>
              <w:t>экономической деятельности устанавливать цены на товары, работы или</w:t>
            </w:r>
          </w:p>
          <w:p w14:paraId="F7000000">
            <w:pPr>
              <w:widowControl w:val="1"/>
              <w:tabs>
                <w:tab w:leader="none" w:pos="1134" w:val="left"/>
              </w:tabs>
              <w:spacing w:line="276" w:lineRule="auto"/>
              <w:ind/>
              <w:jc w:val="both"/>
              <w:rPr>
                <w:rFonts w:ascii="PT Astra Serif" w:hAnsi="PT Astra Serif"/>
              </w:rPr>
            </w:pPr>
            <w:r>
              <w:rPr>
                <w:rFonts w:ascii="PT Astra Serif" w:hAnsi="PT Astra Serif"/>
              </w:rPr>
              <w:t>услуги</w:t>
            </w:r>
          </w:p>
        </w:tc>
        <w:tc>
          <w:tcPr>
            <w:tcW w:type="dxa" w:w="1276"/>
          </w:tcPr>
          <w:p w14:paraId="F8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F9000000">
            <w:pPr>
              <w:widowControl w:val="1"/>
              <w:tabs>
                <w:tab w:leader="none" w:pos="1134" w:val="left"/>
              </w:tabs>
              <w:spacing w:line="276" w:lineRule="auto"/>
              <w:ind/>
              <w:jc w:val="both"/>
              <w:rPr>
                <w:rFonts w:ascii="PT Astra Serif" w:hAnsi="PT Astra Serif"/>
                <w:b w:val="1"/>
              </w:rPr>
            </w:pPr>
          </w:p>
        </w:tc>
      </w:tr>
      <w:tr>
        <w:tc>
          <w:tcPr>
            <w:tcW w:type="dxa" w:w="704"/>
          </w:tcPr>
          <w:p w14:paraId="FA000000">
            <w:pPr>
              <w:widowControl w:val="1"/>
              <w:tabs>
                <w:tab w:leader="none" w:pos="1134" w:val="left"/>
              </w:tabs>
              <w:spacing w:line="276" w:lineRule="auto"/>
              <w:ind/>
              <w:jc w:val="both"/>
              <w:rPr>
                <w:rFonts w:ascii="PT Astra Serif" w:hAnsi="PT Astra Serif"/>
              </w:rPr>
            </w:pPr>
            <w:r>
              <w:rPr>
                <w:rFonts w:ascii="PT Astra Serif" w:hAnsi="PT Astra Serif"/>
              </w:rPr>
              <w:t>2.2.</w:t>
            </w:r>
          </w:p>
        </w:tc>
        <w:tc>
          <w:tcPr>
            <w:tcW w:type="dxa" w:w="4961"/>
          </w:tcPr>
          <w:p w14:paraId="FB000000">
            <w:pPr>
              <w:widowControl w:val="1"/>
              <w:tabs>
                <w:tab w:leader="none" w:pos="1134" w:val="left"/>
              </w:tabs>
              <w:spacing w:line="276" w:lineRule="auto"/>
              <w:ind/>
              <w:jc w:val="both"/>
              <w:rPr>
                <w:rFonts w:ascii="PT Astra Serif" w:hAnsi="PT Astra Serif"/>
              </w:rPr>
            </w:pPr>
            <w:r>
              <w:rPr>
                <w:rFonts w:ascii="PT Astra Serif" w:hAnsi="PT Astra Serif"/>
              </w:rPr>
              <w:t>Ограничивает свободу субъектов предпринимательской и иной</w:t>
            </w:r>
          </w:p>
          <w:p w14:paraId="FC000000">
            <w:pPr>
              <w:widowControl w:val="1"/>
              <w:tabs>
                <w:tab w:leader="none" w:pos="1134" w:val="left"/>
              </w:tabs>
              <w:spacing w:line="276" w:lineRule="auto"/>
              <w:ind/>
              <w:jc w:val="both"/>
              <w:rPr>
                <w:rFonts w:ascii="PT Astra Serif" w:hAnsi="PT Astra Serif"/>
              </w:rPr>
            </w:pPr>
            <w:r>
              <w:rPr>
                <w:rFonts w:ascii="PT Astra Serif" w:hAnsi="PT Astra Serif"/>
              </w:rPr>
              <w:t>экономической деятельности осуществлять рекламу или маркетинг</w:t>
            </w:r>
          </w:p>
        </w:tc>
        <w:tc>
          <w:tcPr>
            <w:tcW w:type="dxa" w:w="1276"/>
          </w:tcPr>
          <w:p w14:paraId="FD000000">
            <w:pPr>
              <w:widowControl w:val="1"/>
              <w:tabs>
                <w:tab w:leader="none" w:pos="1134" w:val="left"/>
              </w:tabs>
              <w:spacing w:line="276" w:lineRule="auto"/>
              <w:ind/>
              <w:jc w:val="both"/>
              <w:rPr>
                <w:rFonts w:ascii="PT Astra Serif" w:hAnsi="PT Astra Serif"/>
                <w:b w:val="1"/>
              </w:rPr>
            </w:pPr>
            <w:r>
              <w:rPr>
                <w:rFonts w:ascii="PT Astra Serif" w:hAnsi="PT Astra Serif"/>
                <w:b w:val="1"/>
              </w:rPr>
              <w:t>нет</w:t>
            </w:r>
          </w:p>
        </w:tc>
        <w:tc>
          <w:tcPr>
            <w:tcW w:type="dxa" w:w="2970"/>
          </w:tcPr>
          <w:p w14:paraId="FE000000">
            <w:pPr>
              <w:widowControl w:val="1"/>
              <w:tabs>
                <w:tab w:leader="none" w:pos="1134" w:val="left"/>
              </w:tabs>
              <w:spacing w:line="276" w:lineRule="auto"/>
              <w:ind/>
              <w:jc w:val="both"/>
              <w:rPr>
                <w:rFonts w:ascii="PT Astra Serif" w:hAnsi="PT Astra Serif"/>
                <w:b w:val="1"/>
              </w:rPr>
            </w:pPr>
          </w:p>
        </w:tc>
      </w:tr>
    </w:tbl>
    <w:p w14:paraId="FF00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12.2. Обоснование необходимости введения указанных разработчиком положений (при наличии):</w:t>
      </w:r>
      <w:r>
        <w:rPr>
          <w:rFonts w:ascii="PT Astra Serif" w:hAnsi="PT Astra Serif"/>
          <w:b w:val="0"/>
        </w:rPr>
        <w:t xml:space="preserve"> -</w:t>
      </w:r>
    </w:p>
    <w:p w14:paraId="0001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12.3. Расчет риска отрицательного воздействия на состояние конкуренции:</w:t>
      </w:r>
    </w:p>
    <w:p w14:paraId="01010000">
      <w:pPr>
        <w:widowControl w:val="1"/>
        <w:tabs>
          <w:tab w:leader="none" w:pos="1134" w:val="left"/>
        </w:tabs>
        <w:spacing w:line="276" w:lineRule="auto"/>
        <w:ind w:firstLine="709"/>
        <w:jc w:val="both"/>
        <w:rPr>
          <w:rFonts w:ascii="PT Astra Serif" w:hAnsi="PT Astra Serif"/>
        </w:rPr>
      </w:pPr>
      <w:r>
        <w:rPr>
          <w:rFonts w:ascii="PT Astra Serif" w:hAnsi="PT Astra Serif"/>
        </w:rPr>
        <w:t>Количество лиц, осуществляющих предпринимательскую и иную экономическую деятельность в регулируемой сфере, составляет: данные отсуствуют. Из них соответствуют требованиям предлагаемого регулирования либо имеют возможность соответствовать им: данные отсутствуют.</w:t>
      </w:r>
    </w:p>
    <w:p w14:paraId="02010000">
      <w:pPr>
        <w:widowControl w:val="1"/>
        <w:tabs>
          <w:tab w:leader="none" w:pos="1134" w:val="left"/>
        </w:tabs>
        <w:spacing w:line="276" w:lineRule="auto"/>
        <w:ind w:firstLine="709"/>
        <w:jc w:val="both"/>
        <w:rPr>
          <w:rFonts w:ascii="PT Astra Serif" w:hAnsi="PT Astra Serif"/>
          <w:b w:val="1"/>
        </w:rPr>
      </w:pPr>
      <w:r>
        <w:rPr>
          <w:rFonts w:ascii="PT Astra Serif" w:hAnsi="PT Astra Serif"/>
          <w:b w:val="1"/>
        </w:rPr>
        <w:t xml:space="preserve">Вводимое регулирование, </w:t>
      </w:r>
      <w:r>
        <w:rPr>
          <w:rFonts w:ascii="PT Astra Serif" w:hAnsi="PT Astra Serif"/>
          <w:b w:val="1"/>
        </w:rPr>
        <w:t>в соответствии с таблице</w:t>
      </w:r>
      <w:r>
        <w:rPr>
          <w:rFonts w:ascii="PT Astra Serif" w:hAnsi="PT Astra Serif"/>
          <w:b w:val="1"/>
        </w:rPr>
        <w:t>й</w:t>
      </w:r>
      <w:r>
        <w:rPr>
          <w:rFonts w:ascii="PT Astra Serif" w:hAnsi="PT Astra Serif"/>
          <w:b w:val="1"/>
        </w:rPr>
        <w:t xml:space="preserve"> № </w:t>
      </w:r>
      <w:r>
        <w:rPr>
          <w:rFonts w:ascii="PT Astra Serif" w:hAnsi="PT Astra Serif"/>
          <w:b w:val="1"/>
        </w:rPr>
        <w:t>1</w:t>
      </w:r>
      <w:r>
        <w:rPr>
          <w:rFonts w:ascii="PT Astra Serif" w:hAnsi="PT Astra Serif"/>
          <w:b w:val="1"/>
        </w:rPr>
        <w:t>, обладает _______________ степенью риска отрицательного воздействия на состояние конкуренции.</w:t>
      </w:r>
    </w:p>
    <w:p w14:paraId="03010000">
      <w:pPr>
        <w:widowControl w:val="1"/>
        <w:tabs>
          <w:tab w:leader="none" w:pos="1134" w:val="left"/>
        </w:tabs>
        <w:spacing w:line="276" w:lineRule="auto"/>
        <w:ind w:firstLine="709"/>
        <w:jc w:val="right"/>
        <w:rPr>
          <w:rFonts w:ascii="PT Astra Serif" w:hAnsi="PT Astra Serif"/>
          <w:b w:val="1"/>
        </w:rPr>
      </w:pPr>
      <w:r>
        <w:rPr>
          <w:rFonts w:ascii="PT Astra Serif" w:hAnsi="PT Astra Serif"/>
          <w:b w:val="1"/>
        </w:rPr>
        <w:t>Таблица №1</w:t>
      </w:r>
    </w:p>
    <w:tbl>
      <w:tblPr>
        <w:tblStyle w:val="Style_5"/>
        <w:tblW w:type="auto" w:w="0"/>
        <w:tblLayout w:type="fixed"/>
      </w:tblPr>
      <w:tblGrid>
        <w:gridCol w:w="5382"/>
        <w:gridCol w:w="1559"/>
        <w:gridCol w:w="1418"/>
        <w:gridCol w:w="1552"/>
      </w:tblGrid>
      <w:tr>
        <w:tc>
          <w:tcPr>
            <w:tcW w:type="dxa" w:w="5382"/>
            <w:vMerge w:val="restart"/>
          </w:tcPr>
          <w:p w14:paraId="04010000">
            <w:pPr>
              <w:widowControl w:val="1"/>
              <w:tabs>
                <w:tab w:leader="none" w:pos="1134" w:val="left"/>
              </w:tabs>
              <w:spacing w:line="276" w:lineRule="auto"/>
              <w:ind/>
              <w:jc w:val="both"/>
              <w:rPr>
                <w:rFonts w:ascii="PT Astra Serif" w:hAnsi="PT Astra Serif"/>
                <w:b w:val="1"/>
              </w:rPr>
            </w:pPr>
            <w:r>
              <w:rPr>
                <w:rFonts w:ascii="PT Astra Serif" w:hAnsi="PT Astra Serif"/>
                <w:b w:val="1"/>
              </w:rPr>
              <w:t>Доля лиц, указанных в разделе 5 сводного отчета</w:t>
            </w:r>
          </w:p>
        </w:tc>
        <w:tc>
          <w:tcPr>
            <w:tcW w:type="dxa" w:w="4529"/>
            <w:gridSpan w:val="3"/>
          </w:tcPr>
          <w:p w14:paraId="05010000">
            <w:pPr>
              <w:widowControl w:val="1"/>
              <w:tabs>
                <w:tab w:leader="none" w:pos="1134" w:val="left"/>
              </w:tabs>
              <w:spacing w:line="276" w:lineRule="auto"/>
              <w:ind w:left="-33"/>
              <w:jc w:val="both"/>
              <w:rPr>
                <w:rFonts w:ascii="PT Astra Serif" w:hAnsi="PT Astra Serif"/>
                <w:b w:val="1"/>
              </w:rPr>
            </w:pPr>
            <w:r>
              <w:rPr>
                <w:rFonts w:ascii="PT Astra Serif" w:hAnsi="PT Astra Serif"/>
                <w:b w:val="1"/>
              </w:rPr>
              <w:t>Степень риска отрицательного воздействия</w:t>
            </w:r>
          </w:p>
        </w:tc>
      </w:tr>
      <w:tr>
        <w:tc>
          <w:tcPr>
            <w:tcW w:type="dxa" w:w="5382"/>
            <w:gridSpan w:val="1"/>
            <w:vMerge w:val="continue"/>
          </w:tcPr>
          <w:p/>
        </w:tc>
        <w:tc>
          <w:tcPr>
            <w:tcW w:type="dxa" w:w="1559"/>
          </w:tcPr>
          <w:p w14:paraId="06010000">
            <w:pPr>
              <w:widowControl w:val="1"/>
              <w:tabs>
                <w:tab w:leader="none" w:pos="1134" w:val="left"/>
              </w:tabs>
              <w:spacing w:line="276" w:lineRule="auto"/>
              <w:ind/>
              <w:jc w:val="both"/>
              <w:rPr>
                <w:rFonts w:ascii="PT Astra Serif" w:hAnsi="PT Astra Serif"/>
                <w:b w:val="1"/>
              </w:rPr>
            </w:pPr>
            <w:r>
              <w:rPr>
                <w:rFonts w:ascii="PT Astra Serif" w:hAnsi="PT Astra Serif"/>
                <w:b w:val="1"/>
              </w:rPr>
              <w:t>высокая</w:t>
            </w:r>
          </w:p>
        </w:tc>
        <w:tc>
          <w:tcPr>
            <w:tcW w:type="dxa" w:w="1418"/>
          </w:tcPr>
          <w:p w14:paraId="07010000">
            <w:pPr>
              <w:widowControl w:val="1"/>
              <w:tabs>
                <w:tab w:leader="none" w:pos="1134" w:val="left"/>
              </w:tabs>
              <w:spacing w:line="276" w:lineRule="auto"/>
              <w:ind/>
              <w:jc w:val="both"/>
              <w:rPr>
                <w:rFonts w:ascii="PT Astra Serif" w:hAnsi="PT Astra Serif"/>
                <w:b w:val="1"/>
              </w:rPr>
            </w:pPr>
            <w:r>
              <w:rPr>
                <w:rFonts w:ascii="PT Astra Serif" w:hAnsi="PT Astra Serif"/>
                <w:b w:val="1"/>
              </w:rPr>
              <w:t>средняя</w:t>
            </w:r>
          </w:p>
        </w:tc>
        <w:tc>
          <w:tcPr>
            <w:tcW w:type="dxa" w:w="1552"/>
          </w:tcPr>
          <w:p w14:paraId="08010000">
            <w:pPr>
              <w:widowControl w:val="1"/>
              <w:tabs>
                <w:tab w:leader="none" w:pos="1134" w:val="left"/>
              </w:tabs>
              <w:spacing w:line="276" w:lineRule="auto"/>
              <w:ind w:left="-33"/>
              <w:jc w:val="both"/>
              <w:rPr>
                <w:rFonts w:ascii="PT Astra Serif" w:hAnsi="PT Astra Serif"/>
                <w:b w:val="1"/>
              </w:rPr>
            </w:pPr>
            <w:r>
              <w:rPr>
                <w:rFonts w:ascii="PT Astra Serif" w:hAnsi="PT Astra Serif"/>
                <w:b w:val="1"/>
              </w:rPr>
              <w:t>низкая</w:t>
            </w:r>
          </w:p>
        </w:tc>
      </w:tr>
      <w:tr>
        <w:tc>
          <w:tcPr>
            <w:tcW w:type="dxa" w:w="5382"/>
          </w:tcPr>
          <w:p w14:paraId="09010000">
            <w:pPr>
              <w:widowControl w:val="1"/>
              <w:tabs>
                <w:tab w:leader="none" w:pos="1134" w:val="left"/>
              </w:tabs>
              <w:spacing w:line="276" w:lineRule="auto"/>
              <w:ind/>
              <w:jc w:val="center"/>
              <w:rPr>
                <w:rFonts w:ascii="PT Astra Serif" w:hAnsi="PT Astra Serif"/>
                <w:b w:val="1"/>
              </w:rPr>
            </w:pPr>
            <w:r>
              <w:rPr>
                <w:rFonts w:ascii="PT Astra Serif" w:hAnsi="PT Astra Serif"/>
                <w:b w:val="1"/>
              </w:rPr>
              <w:t>м</w:t>
            </w:r>
            <w:r>
              <w:rPr>
                <w:rFonts w:ascii="PT Astra Serif" w:hAnsi="PT Astra Serif"/>
                <w:b w:val="1"/>
              </w:rPr>
              <w:t>енее 50%</w:t>
            </w:r>
          </w:p>
        </w:tc>
        <w:tc>
          <w:tcPr>
            <w:tcW w:type="dxa" w:w="1559"/>
          </w:tcPr>
          <w:p w14:paraId="0A010000">
            <w:pPr>
              <w:widowControl w:val="1"/>
              <w:tabs>
                <w:tab w:leader="none" w:pos="1134" w:val="left"/>
              </w:tabs>
              <w:spacing w:line="276" w:lineRule="auto"/>
              <w:ind/>
              <w:jc w:val="center"/>
              <w:rPr>
                <w:rFonts w:ascii="PT Astra Serif" w:hAnsi="PT Astra Serif"/>
                <w:b w:val="1"/>
              </w:rPr>
            </w:pPr>
          </w:p>
        </w:tc>
        <w:tc>
          <w:tcPr>
            <w:tcW w:type="dxa" w:w="1418"/>
          </w:tcPr>
          <w:p w14:paraId="0B010000">
            <w:pPr>
              <w:widowControl w:val="1"/>
              <w:tabs>
                <w:tab w:leader="none" w:pos="1134" w:val="left"/>
              </w:tabs>
              <w:spacing w:line="276" w:lineRule="auto"/>
              <w:ind/>
              <w:jc w:val="center"/>
              <w:rPr>
                <w:rFonts w:ascii="PT Astra Serif" w:hAnsi="PT Astra Serif"/>
                <w:b w:val="1"/>
              </w:rPr>
            </w:pPr>
          </w:p>
        </w:tc>
        <w:tc>
          <w:tcPr>
            <w:tcW w:type="dxa" w:w="1552"/>
          </w:tcPr>
          <w:p/>
        </w:tc>
      </w:tr>
      <w:tr>
        <w:tc>
          <w:tcPr>
            <w:tcW w:type="dxa" w:w="5382"/>
          </w:tcPr>
          <w:p w14:paraId="0C010000">
            <w:pPr>
              <w:widowControl w:val="1"/>
              <w:tabs>
                <w:tab w:leader="none" w:pos="1134" w:val="left"/>
              </w:tabs>
              <w:spacing w:line="276" w:lineRule="auto"/>
              <w:ind/>
              <w:jc w:val="center"/>
              <w:rPr>
                <w:rFonts w:ascii="PT Astra Serif" w:hAnsi="PT Astra Serif"/>
                <w:b w:val="1"/>
              </w:rPr>
            </w:pPr>
            <w:r>
              <w:rPr>
                <w:rFonts w:ascii="PT Astra Serif" w:hAnsi="PT Astra Serif"/>
                <w:b w:val="1"/>
              </w:rPr>
              <w:t>о</w:t>
            </w:r>
            <w:r>
              <w:rPr>
                <w:rFonts w:ascii="PT Astra Serif" w:hAnsi="PT Astra Serif"/>
                <w:b w:val="1"/>
              </w:rPr>
              <w:t>т 50 до 80%</w:t>
            </w:r>
          </w:p>
        </w:tc>
        <w:tc>
          <w:tcPr>
            <w:tcW w:type="dxa" w:w="1559"/>
          </w:tcPr>
          <w:p w14:paraId="0D010000">
            <w:pPr>
              <w:widowControl w:val="1"/>
              <w:tabs>
                <w:tab w:leader="none" w:pos="1134" w:val="left"/>
              </w:tabs>
              <w:spacing w:line="276" w:lineRule="auto"/>
              <w:ind/>
              <w:jc w:val="center"/>
              <w:rPr>
                <w:rFonts w:ascii="PT Astra Serif" w:hAnsi="PT Astra Serif"/>
                <w:b w:val="1"/>
              </w:rPr>
            </w:pPr>
          </w:p>
        </w:tc>
        <w:tc>
          <w:tcPr>
            <w:tcW w:type="dxa" w:w="1418"/>
          </w:tcPr>
          <w:p w14:paraId="0E010000">
            <w:pPr>
              <w:widowControl w:val="1"/>
              <w:tabs>
                <w:tab w:leader="none" w:pos="1134" w:val="left"/>
              </w:tabs>
              <w:spacing w:line="276" w:lineRule="auto"/>
              <w:ind/>
              <w:jc w:val="center"/>
              <w:rPr>
                <w:rFonts w:ascii="PT Astra Serif" w:hAnsi="PT Astra Serif"/>
                <w:b w:val="1"/>
              </w:rPr>
            </w:pPr>
          </w:p>
        </w:tc>
        <w:tc>
          <w:tcPr>
            <w:tcW w:type="dxa" w:w="1552"/>
          </w:tcPr>
          <w:p/>
        </w:tc>
      </w:tr>
      <w:tr>
        <w:tc>
          <w:tcPr>
            <w:tcW w:type="dxa" w:w="5382"/>
          </w:tcPr>
          <w:p w14:paraId="0F010000">
            <w:pPr>
              <w:widowControl w:val="1"/>
              <w:tabs>
                <w:tab w:leader="none" w:pos="1134" w:val="left"/>
              </w:tabs>
              <w:spacing w:line="276" w:lineRule="auto"/>
              <w:ind/>
              <w:jc w:val="center"/>
              <w:rPr>
                <w:rFonts w:ascii="PT Astra Serif" w:hAnsi="PT Astra Serif"/>
                <w:b w:val="1"/>
              </w:rPr>
            </w:pPr>
            <w:r>
              <w:rPr>
                <w:rFonts w:ascii="PT Astra Serif" w:hAnsi="PT Astra Serif"/>
                <w:b w:val="1"/>
              </w:rPr>
              <w:t>б</w:t>
            </w:r>
            <w:r>
              <w:rPr>
                <w:rFonts w:ascii="PT Astra Serif" w:hAnsi="PT Astra Serif"/>
                <w:b w:val="1"/>
              </w:rPr>
              <w:t>олее 80%</w:t>
            </w:r>
          </w:p>
        </w:tc>
        <w:tc>
          <w:tcPr>
            <w:tcW w:type="dxa" w:w="1559"/>
          </w:tcPr>
          <w:p w14:paraId="10010000">
            <w:pPr>
              <w:widowControl w:val="1"/>
              <w:tabs>
                <w:tab w:leader="none" w:pos="1134" w:val="left"/>
              </w:tabs>
              <w:spacing w:line="276" w:lineRule="auto"/>
              <w:ind/>
              <w:jc w:val="center"/>
              <w:rPr>
                <w:rFonts w:ascii="PT Astra Serif" w:hAnsi="PT Astra Serif"/>
                <w:b w:val="1"/>
              </w:rPr>
            </w:pPr>
          </w:p>
        </w:tc>
        <w:tc>
          <w:tcPr>
            <w:tcW w:type="dxa" w:w="1418"/>
          </w:tcPr>
          <w:p w14:paraId="11010000">
            <w:pPr>
              <w:widowControl w:val="1"/>
              <w:tabs>
                <w:tab w:leader="none" w:pos="1134" w:val="left"/>
              </w:tabs>
              <w:spacing w:line="276" w:lineRule="auto"/>
              <w:ind/>
              <w:jc w:val="center"/>
              <w:rPr>
                <w:rFonts w:ascii="PT Astra Serif" w:hAnsi="PT Astra Serif"/>
                <w:b w:val="1"/>
              </w:rPr>
            </w:pPr>
          </w:p>
        </w:tc>
        <w:tc>
          <w:tcPr>
            <w:tcW w:type="dxa" w:w="1552"/>
          </w:tcPr>
          <w:p w14:paraId="12010000">
            <w:pPr>
              <w:widowControl w:val="1"/>
              <w:tabs>
                <w:tab w:leader="none" w:pos="1134" w:val="left"/>
              </w:tabs>
              <w:spacing w:line="276" w:lineRule="auto"/>
              <w:ind/>
              <w:jc w:val="center"/>
              <w:rPr>
                <w:rFonts w:ascii="PT Astra Serif" w:hAnsi="PT Astra Serif"/>
                <w:b w:val="1"/>
              </w:rPr>
            </w:pPr>
            <w:r>
              <w:rPr>
                <w:rFonts w:ascii="PT Astra Serif" w:hAnsi="PT Astra Serif"/>
                <w:b w:val="1"/>
              </w:rPr>
              <w:t>+</w:t>
            </w:r>
          </w:p>
        </w:tc>
      </w:tr>
    </w:tbl>
    <w:p w14:paraId="13010000">
      <w:pPr>
        <w:widowControl w:val="1"/>
        <w:tabs>
          <w:tab w:leader="none" w:pos="1134" w:val="left"/>
        </w:tabs>
        <w:spacing w:line="276" w:lineRule="auto"/>
        <w:ind w:firstLine="709"/>
        <w:jc w:val="both"/>
        <w:rPr>
          <w:rFonts w:ascii="PT Astra Serif" w:hAnsi="PT Astra Serif"/>
        </w:rPr>
      </w:pPr>
      <w:r>
        <w:rPr>
          <w:rFonts w:ascii="PT Astra Serif" w:hAnsi="PT Astra Serif"/>
          <w:b w:val="1"/>
        </w:rPr>
        <w:t>13</w:t>
      </w:r>
      <w:r>
        <w:rPr>
          <w:rFonts w:ascii="PT Astra Serif" w:hAnsi="PT Astra Serif"/>
          <w:b w:val="1"/>
        </w:rPr>
        <w:t>.</w:t>
      </w:r>
      <w:r>
        <w:rPr>
          <w:rFonts w:ascii="PT Astra Serif" w:hAnsi="PT Astra Serif"/>
          <w:b w:val="1"/>
        </w:rPr>
        <w:tab/>
      </w:r>
      <w:r>
        <w:rPr>
          <w:rFonts w:ascii="PT Astra Serif" w:hAnsi="PT Astra Serif"/>
          <w:b w:val="1"/>
        </w:rPr>
        <w:t>Оценка необходимости установления переходного периода и (или)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w:t>
      </w:r>
    </w:p>
    <w:p w14:paraId="14010000">
      <w:pPr>
        <w:widowControl w:val="0"/>
        <w:tabs>
          <w:tab w:leader="none" w:pos="1134" w:val="left"/>
        </w:tabs>
        <w:spacing w:line="276" w:lineRule="auto"/>
        <w:ind w:firstLine="709"/>
        <w:jc w:val="both"/>
        <w:rPr>
          <w:rFonts w:ascii="PT Astra Serif" w:hAnsi="PT Astra Serif"/>
          <w:u w:val="single"/>
        </w:rPr>
      </w:pPr>
      <w:r>
        <w:rPr>
          <w:rFonts w:ascii="PT Astra Serif" w:hAnsi="PT Astra Serif"/>
          <w:u w:val="single"/>
        </w:rPr>
        <w:t>13</w:t>
      </w:r>
      <w:r>
        <w:rPr>
          <w:rFonts w:ascii="PT Astra Serif" w:hAnsi="PT Astra Serif"/>
          <w:u w:val="single"/>
        </w:rPr>
        <w:t>.1.</w:t>
      </w:r>
      <w:r>
        <w:rPr>
          <w:rFonts w:ascii="PT Astra Serif" w:hAnsi="PT Astra Serif"/>
          <w:u w:val="single"/>
        </w:rPr>
        <w:tab/>
      </w:r>
      <w:r>
        <w:rPr>
          <w:rFonts w:ascii="PT Astra Serif" w:hAnsi="PT Astra Serif"/>
          <w:u w:val="single"/>
        </w:rPr>
        <w:t>Предполагаемая дата вступления в силу нормативного правового акта:</w:t>
      </w:r>
    </w:p>
    <w:p w14:paraId="15010000">
      <w:pPr>
        <w:widowControl w:val="0"/>
        <w:tabs>
          <w:tab w:leader="none" w:pos="1134" w:val="left"/>
        </w:tabs>
        <w:spacing w:line="276" w:lineRule="auto"/>
        <w:ind w:firstLine="709"/>
        <w:jc w:val="both"/>
        <w:rPr>
          <w:rFonts w:ascii="PT Astra Serif" w:hAnsi="PT Astra Serif"/>
          <w:u w:val="none"/>
        </w:rPr>
      </w:pPr>
      <w:r>
        <w:rPr>
          <w:rFonts w:ascii="PT Astra Serif" w:hAnsi="PT Astra Serif"/>
          <w:u w:val="none"/>
        </w:rPr>
        <w:t xml:space="preserve"> «01»</w:t>
      </w:r>
      <w:r>
        <w:rPr>
          <w:rFonts w:ascii="PT Astra Serif" w:hAnsi="PT Astra Serif"/>
          <w:u w:val="none"/>
        </w:rPr>
        <w:t xml:space="preserve"> </w:t>
      </w:r>
      <w:r>
        <w:rPr>
          <w:rFonts w:ascii="PT Astra Serif" w:hAnsi="PT Astra Serif"/>
          <w:u w:val="none"/>
        </w:rPr>
        <w:t xml:space="preserve"> января </w:t>
      </w:r>
      <w:r>
        <w:rPr>
          <w:rFonts w:ascii="PT Astra Serif" w:hAnsi="PT Astra Serif"/>
          <w:u w:val="none"/>
        </w:rPr>
        <w:t xml:space="preserve">2027 г. </w:t>
      </w:r>
    </w:p>
    <w:p w14:paraId="1601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13</w:t>
      </w:r>
      <w:r>
        <w:rPr>
          <w:rFonts w:ascii="PT Astra Serif" w:hAnsi="PT Astra Serif"/>
          <w:u w:val="single"/>
        </w:rPr>
        <w:t>.2.</w:t>
      </w:r>
      <w:r>
        <w:rPr>
          <w:rFonts w:ascii="PT Astra Serif" w:hAnsi="PT Astra Serif"/>
          <w:u w:val="single"/>
        </w:rPr>
        <w:tab/>
      </w:r>
      <w:r>
        <w:rPr>
          <w:rFonts w:ascii="PT Astra Serif" w:hAnsi="PT Astra Serif"/>
          <w:u w:val="single"/>
        </w:rPr>
        <w:t>Необходимость установления переходного периода и (или) отсрочки введения предлагаемого правового регулирования:</w:t>
      </w:r>
      <w:r>
        <w:rPr>
          <w:rFonts w:ascii="PT Astra Serif" w:hAnsi="PT Astra Serif"/>
        </w:rPr>
        <w:t xml:space="preserve"> отсутсвует.</w:t>
      </w:r>
    </w:p>
    <w:p w14:paraId="1701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13</w:t>
      </w:r>
      <w:r>
        <w:rPr>
          <w:rFonts w:ascii="PT Astra Serif" w:hAnsi="PT Astra Serif"/>
          <w:u w:val="single"/>
        </w:rPr>
        <w:t>.3.</w:t>
      </w:r>
      <w:r>
        <w:rPr>
          <w:rFonts w:ascii="PT Astra Serif" w:hAnsi="PT Astra Serif"/>
          <w:u w:val="single"/>
        </w:rPr>
        <w:tab/>
      </w:r>
      <w:r>
        <w:rPr>
          <w:rFonts w:ascii="PT Astra Serif" w:hAnsi="PT Astra Serif"/>
          <w:u w:val="single"/>
        </w:rPr>
        <w:t xml:space="preserve">Необходимость </w:t>
      </w:r>
      <w:r>
        <w:rPr>
          <w:rFonts w:ascii="PT Astra Serif" w:hAnsi="PT Astra Serif"/>
          <w:u w:val="single"/>
        </w:rPr>
        <w:t xml:space="preserve">внесения изменений в действующие нормативные акты Республики Саха (Якутия): </w:t>
      </w:r>
      <w:r>
        <w:rPr>
          <w:rFonts w:ascii="PT Astra Serif" w:hAnsi="PT Astra Serif"/>
        </w:rPr>
        <w:t>нет.</w:t>
      </w:r>
    </w:p>
    <w:p w14:paraId="18010000">
      <w:pPr>
        <w:widowControl w:val="0"/>
        <w:tabs>
          <w:tab w:leader="none" w:pos="1134" w:val="left"/>
        </w:tabs>
        <w:spacing w:line="276" w:lineRule="auto"/>
        <w:ind w:firstLine="709"/>
        <w:jc w:val="both"/>
        <w:rPr>
          <w:rFonts w:ascii="PT Astra Serif" w:hAnsi="PT Astra Serif"/>
        </w:rPr>
      </w:pPr>
      <w:r>
        <w:rPr>
          <w:rFonts w:ascii="PT Astra Serif" w:hAnsi="PT Astra Serif"/>
          <w:u w:val="single"/>
        </w:rPr>
        <w:t>13</w:t>
      </w:r>
      <w:r>
        <w:rPr>
          <w:rFonts w:ascii="PT Astra Serif" w:hAnsi="PT Astra Serif"/>
          <w:u w:val="single"/>
        </w:rPr>
        <w:t>.3.1.</w:t>
      </w:r>
      <w:r>
        <w:rPr>
          <w:rFonts w:ascii="PT Astra Serif" w:hAnsi="PT Astra Serif"/>
          <w:u w:val="single"/>
        </w:rPr>
        <w:tab/>
      </w:r>
      <w:r>
        <w:rPr>
          <w:rFonts w:ascii="PT Astra Serif" w:hAnsi="PT Astra Serif"/>
          <w:u w:val="single"/>
        </w:rPr>
        <w:t>Период распространения на ранее возникшие отношения:</w:t>
      </w:r>
      <w:r>
        <w:rPr>
          <w:rFonts w:ascii="PT Astra Serif" w:hAnsi="PT Astra Serif"/>
        </w:rPr>
        <w:t xml:space="preserve"> </w:t>
      </w:r>
      <w:r>
        <w:rPr>
          <w:rFonts w:ascii="PT Astra Serif" w:hAnsi="PT Astra Serif"/>
          <w:u w:val="single"/>
        </w:rPr>
        <w:t>___</w:t>
      </w:r>
      <w:r>
        <w:rPr>
          <w:rFonts w:ascii="PT Astra Serif" w:hAnsi="PT Astra Serif"/>
        </w:rPr>
        <w:t xml:space="preserve"> дней с момента принятия проекта нормативного правового акта. </w:t>
      </w:r>
    </w:p>
    <w:p w14:paraId="19010000">
      <w:pPr>
        <w:widowControl w:val="0"/>
        <w:tabs>
          <w:tab w:leader="none" w:pos="1134" w:val="left"/>
        </w:tabs>
        <w:spacing w:line="276" w:lineRule="auto"/>
        <w:ind w:firstLine="709"/>
        <w:jc w:val="both"/>
        <w:rPr>
          <w:rFonts w:ascii="PT Astra Serif" w:hAnsi="PT Astra Serif"/>
          <w:u w:val="single"/>
        </w:rPr>
      </w:pPr>
      <w:r>
        <w:rPr>
          <w:rFonts w:ascii="PT Astra Serif" w:hAnsi="PT Astra Serif"/>
          <w:u w:val="single"/>
        </w:rPr>
        <w:t>13</w:t>
      </w:r>
      <w:r>
        <w:rPr>
          <w:rFonts w:ascii="PT Astra Serif" w:hAnsi="PT Astra Serif"/>
          <w:u w:val="single"/>
        </w:rPr>
        <w:t>.4.</w:t>
      </w:r>
      <w:r>
        <w:rPr>
          <w:rFonts w:ascii="PT Astra Serif" w:hAnsi="PT Astra Serif"/>
          <w:u w:val="single"/>
        </w:rPr>
        <w:tab/>
      </w:r>
      <w:r>
        <w:rPr>
          <w:rFonts w:ascii="PT Astra Serif" w:hAnsi="PT Astra Serif"/>
          <w:u w:val="single"/>
        </w:rPr>
        <w:t>Обоснование необходимости установления переходного периода и (или)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w:t>
      </w:r>
      <w:r>
        <w:rPr>
          <w:rFonts w:ascii="PT Astra Serif" w:hAnsi="PT Astra Serif"/>
          <w:u w:val="none"/>
        </w:rPr>
        <w:t xml:space="preserve"> отсутствует.</w:t>
      </w:r>
    </w:p>
    <w:p w14:paraId="1A010000">
      <w:pPr>
        <w:widowControl w:val="0"/>
        <w:tabs>
          <w:tab w:leader="none" w:pos="1134" w:val="left"/>
        </w:tabs>
        <w:spacing w:line="276" w:lineRule="auto"/>
        <w:ind w:firstLine="709"/>
        <w:jc w:val="both"/>
        <w:rPr>
          <w:rFonts w:ascii="PT Astra Serif" w:hAnsi="PT Astra Serif"/>
        </w:rPr>
      </w:pPr>
    </w:p>
    <w:p w14:paraId="1B010000">
      <w:pPr>
        <w:widowControl w:val="0"/>
        <w:spacing w:line="276" w:lineRule="auto"/>
        <w:ind w:firstLine="709"/>
        <w:jc w:val="both"/>
        <w:rPr>
          <w:rFonts w:ascii="PT Astra Serif" w:hAnsi="PT Astra Serif"/>
        </w:rPr>
      </w:pPr>
      <w:r>
        <w:rPr>
          <w:rFonts w:ascii="PT Astra Serif" w:hAnsi="PT Astra Serif"/>
          <w:b w:val="1"/>
        </w:rPr>
        <w:t>Заполняется по итогам проведения публичных консультаций по проекту нормативного правового акта и сводного отчета:</w:t>
      </w:r>
    </w:p>
    <w:p w14:paraId="1C010000">
      <w:pPr>
        <w:widowControl w:val="0"/>
        <w:spacing w:line="276" w:lineRule="auto"/>
        <w:ind w:firstLine="709"/>
        <w:jc w:val="both"/>
        <w:rPr>
          <w:rFonts w:ascii="PT Astra Serif" w:hAnsi="PT Astra Serif"/>
        </w:rPr>
      </w:pPr>
      <w:r>
        <w:rPr>
          <w:rFonts w:ascii="PT Astra Serif" w:hAnsi="PT Astra Serif"/>
        </w:rPr>
        <w:t>14</w:t>
      </w:r>
      <w:r>
        <w:rPr>
          <w:rFonts w:ascii="PT Astra Serif" w:hAnsi="PT Astra Serif"/>
        </w:rPr>
        <w:t>.</w:t>
      </w:r>
      <w:r>
        <w:rPr>
          <w:rFonts w:ascii="PT Astra Serif" w:hAnsi="PT Astra Serif"/>
        </w:rPr>
        <w:tab/>
      </w:r>
      <w:r>
        <w:rPr>
          <w:rFonts w:ascii="PT Astra Serif" w:hAnsi="PT Astra Serif"/>
        </w:rPr>
        <w:t xml:space="preserve">Информация о сроках проведения публичных консультаций по проекту нормативного правового акта и сводному отчету: </w:t>
      </w:r>
    </w:p>
    <w:p w14:paraId="1D010000">
      <w:pPr>
        <w:widowControl w:val="0"/>
        <w:spacing w:line="276" w:lineRule="auto"/>
        <w:ind w:firstLine="709"/>
        <w:jc w:val="both"/>
        <w:rPr>
          <w:rFonts w:ascii="PT Astra Serif" w:hAnsi="PT Astra Serif"/>
        </w:rPr>
      </w:pPr>
      <w:r>
        <w:rPr>
          <w:rFonts w:ascii="PT Astra Serif" w:hAnsi="PT Astra Serif"/>
        </w:rPr>
        <w:t>14</w:t>
      </w:r>
      <w:r>
        <w:rPr>
          <w:rFonts w:ascii="PT Astra Serif" w:hAnsi="PT Astra Serif"/>
        </w:rPr>
        <w:t>.1. Срок, в течение которого принимались предложения в связи с публичными консультациями по проекту нормативного правового акта и сводному отчету об оценке регулирующего воздействия:</w:t>
      </w:r>
    </w:p>
    <w:p w14:paraId="1E010000">
      <w:pPr>
        <w:widowControl w:val="0"/>
        <w:spacing w:line="276" w:lineRule="auto"/>
        <w:ind w:firstLine="709"/>
        <w:jc w:val="both"/>
        <w:rPr>
          <w:rFonts w:ascii="PT Astra Serif" w:hAnsi="PT Astra Serif"/>
        </w:rPr>
      </w:pPr>
      <w:r>
        <w:rPr>
          <w:rFonts w:ascii="PT Astra Serif" w:hAnsi="PT Astra Serif"/>
        </w:rPr>
        <w:t>нач</w:t>
      </w:r>
      <w:r>
        <w:rPr>
          <w:rFonts w:ascii="PT Astra Serif" w:hAnsi="PT Astra Serif"/>
        </w:rPr>
        <w:t>ало: 27 октября 2026</w:t>
      </w:r>
    </w:p>
    <w:p w14:paraId="1F010000">
      <w:pPr>
        <w:widowControl w:val="0"/>
        <w:spacing w:line="276" w:lineRule="auto"/>
        <w:ind w:firstLine="709"/>
        <w:jc w:val="both"/>
        <w:rPr>
          <w:rFonts w:ascii="PT Astra Serif" w:hAnsi="PT Astra Serif"/>
        </w:rPr>
      </w:pPr>
      <w:r>
        <w:rPr>
          <w:rFonts w:ascii="PT Astra Serif" w:hAnsi="PT Astra Serif"/>
        </w:rPr>
        <w:t>окончание: 06 ноября 2026.</w:t>
      </w:r>
    </w:p>
    <w:p w14:paraId="20010000">
      <w:pPr>
        <w:widowControl w:val="0"/>
        <w:spacing w:line="276" w:lineRule="auto"/>
        <w:ind w:firstLine="709"/>
        <w:jc w:val="both"/>
        <w:rPr>
          <w:rFonts w:ascii="PT Astra Serif" w:hAnsi="PT Astra Serif"/>
        </w:rPr>
      </w:pPr>
      <w:r>
        <w:rPr>
          <w:rFonts w:ascii="PT Astra Serif" w:hAnsi="PT Astra Serif"/>
        </w:rPr>
        <w:t>14</w:t>
      </w:r>
      <w:r>
        <w:rPr>
          <w:rFonts w:ascii="PT Astra Serif" w:hAnsi="PT Astra Serif"/>
        </w:rPr>
        <w:t>.2. Сведения о количестве замечаний и предложений, полученных в ходе публичных консультаций по проекту нормативного правового акта:</w:t>
      </w:r>
    </w:p>
    <w:p w14:paraId="21010000">
      <w:pPr>
        <w:widowControl w:val="0"/>
        <w:spacing w:line="276" w:lineRule="auto"/>
        <w:ind w:firstLine="709"/>
        <w:jc w:val="both"/>
        <w:rPr>
          <w:rFonts w:ascii="PT Astra Serif" w:hAnsi="PT Astra Serif"/>
        </w:rPr>
      </w:pPr>
      <w:r>
        <w:rPr>
          <w:rFonts w:ascii="PT Astra Serif" w:hAnsi="PT Astra Serif"/>
        </w:rPr>
        <w:t>Всего замечаний и предложений:</w:t>
      </w:r>
      <w:r>
        <w:rPr>
          <w:rFonts w:ascii="PT Astra Serif" w:hAnsi="PT Astra Serif"/>
        </w:rPr>
        <w:t xml:space="preserve"> 0</w:t>
      </w:r>
    </w:p>
    <w:p w14:paraId="22010000">
      <w:pPr>
        <w:widowControl w:val="0"/>
        <w:spacing w:line="276" w:lineRule="auto"/>
        <w:ind w:firstLine="709"/>
        <w:jc w:val="both"/>
        <w:rPr>
          <w:rFonts w:ascii="PT Astra Serif" w:hAnsi="PT Astra Serif"/>
        </w:rPr>
      </w:pPr>
      <w:r>
        <w:rPr>
          <w:rFonts w:ascii="PT Astra Serif" w:hAnsi="PT Astra Serif"/>
        </w:rPr>
        <w:t>полностью: 0, учтено частично: 0.</w:t>
      </w:r>
    </w:p>
    <w:p w14:paraId="23010000">
      <w:pPr>
        <w:widowControl w:val="0"/>
        <w:spacing w:line="276" w:lineRule="auto"/>
        <w:ind w:firstLine="709"/>
        <w:jc w:val="both"/>
        <w:rPr>
          <w:rFonts w:ascii="PT Astra Serif" w:hAnsi="PT Astra Serif"/>
        </w:rPr>
      </w:pPr>
      <w:r>
        <w:rPr>
          <w:rFonts w:ascii="PT Astra Serif" w:hAnsi="PT Astra Serif"/>
        </w:rPr>
        <w:t>14</w:t>
      </w:r>
      <w:r>
        <w:rPr>
          <w:rFonts w:ascii="PT Astra Serif" w:hAnsi="PT Astra Serif"/>
        </w:rPr>
        <w:t>.3. Полный электронный адрес размещения сводки предложений, поступивших по итогам проведения публичных консультаций по проекту нормативного правового акта:</w:t>
      </w:r>
      <w:r>
        <w:t xml:space="preserve"> </w:t>
      </w:r>
      <w:r>
        <w:rPr>
          <w:rStyle w:val="Style_6_ch"/>
          <w:rFonts w:ascii="PT Astra Serif" w:hAnsi="PT Astra Serif"/>
        </w:rPr>
        <w:fldChar w:fldCharType="begin"/>
      </w:r>
      <w:r>
        <w:rPr>
          <w:rStyle w:val="Style_6_ch"/>
          <w:rFonts w:ascii="PT Astra Serif" w:hAnsi="PT Astra Serif"/>
        </w:rPr>
        <w:instrText>HYPERLINK "https://xn--14-9kcqjffxnf3b.xn--p1ai/orv/"</w:instrText>
      </w:r>
      <w:r>
        <w:rPr>
          <w:rStyle w:val="Style_6_ch"/>
          <w:rFonts w:ascii="PT Astra Serif" w:hAnsi="PT Astra Serif"/>
        </w:rPr>
        <w:fldChar w:fldCharType="separate"/>
      </w:r>
      <w:r>
        <w:rPr>
          <w:rStyle w:val="Style_6_ch"/>
          <w:rFonts w:ascii="PT Astra Serif" w:hAnsi="PT Astra Serif"/>
        </w:rPr>
        <w:t>https://xn--14-9kcqjffxnf3b.xn--p1ai/orv/</w:t>
      </w:r>
      <w:r>
        <w:rPr>
          <w:rStyle w:val="Style_6_ch"/>
          <w:rFonts w:ascii="PT Astra Serif" w:hAnsi="PT Astra Serif"/>
        </w:rPr>
        <w:fldChar w:fldCharType="end"/>
      </w:r>
      <w:r>
        <w:rPr>
          <w:rFonts w:ascii="PT Astra Serif" w:hAnsi="PT Astra Serif"/>
        </w:rPr>
        <w:t xml:space="preserve"> </w:t>
      </w:r>
    </w:p>
    <w:p w14:paraId="24010000">
      <w:pPr>
        <w:widowControl w:val="0"/>
        <w:spacing w:line="276" w:lineRule="auto"/>
        <w:ind w:firstLine="709"/>
        <w:jc w:val="both"/>
        <w:rPr>
          <w:rFonts w:ascii="PT Astra Serif" w:hAnsi="PT Astra Serif"/>
        </w:rPr>
      </w:pPr>
    </w:p>
    <w:p w14:paraId="25010000">
      <w:pPr>
        <w:widowControl w:val="0"/>
        <w:spacing w:line="276" w:lineRule="auto"/>
        <w:ind w:firstLine="709"/>
        <w:jc w:val="both"/>
        <w:rPr>
          <w:rFonts w:ascii="PT Astra Serif" w:hAnsi="PT Astra Serif"/>
        </w:rPr>
      </w:pPr>
    </w:p>
    <w:p w14:paraId="26010000">
      <w:pPr>
        <w:widowControl w:val="0"/>
        <w:spacing w:line="23" w:lineRule="atLeast"/>
        <w:ind/>
        <w:jc w:val="both"/>
        <w:rPr>
          <w:rFonts w:ascii="PT Astra Serif" w:hAnsi="PT Astra Serif"/>
        </w:rPr>
      </w:pPr>
    </w:p>
    <w:sectPr>
      <w:pgSz w:h="16838" w:orient="portrait" w:w="11906"/>
      <w:pgMar w:bottom="1134" w:footer="709" w:gutter="0" w:header="709" w:left="1418" w:right="567" w:top="1134"/>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2A010000">
      <w:r>
        <w:separator/>
      </w:r>
    </w:p>
  </w:endnote>
  <w:endnote w:id="0" w:type="continuationSeparator">
    <w:p w14:paraId="2B010000">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27010000">
      <w:r>
        <w:separator/>
      </w:r>
    </w:p>
  </w:footnote>
  <w:footnote w:id="0" w:type="continuationSeparator">
    <w:p w14:paraId="28010000">
      <w:r>
        <w:continuationSeparator/>
      </w:r>
    </w:p>
  </w:footnote>
  <w:footnote w:id="1">
    <w:p w14:paraId="29010000">
      <w:pPr>
        <w:pStyle w:val="Style_25"/>
        <w:widowControl w:val="1"/>
        <w:spacing w:line="240" w:lineRule="auto"/>
        <w:ind/>
        <w:rPr>
          <w:rFonts w:ascii="Times New Roman" w:hAnsi="Times New Roman"/>
        </w:rPr>
      </w:pPr>
      <w:r>
        <w:rPr>
          <w:rFonts w:ascii="Times New Roman" w:hAnsi="Times New Roman"/>
          <w:vertAlign w:val="superscript"/>
        </w:rPr>
        <w:footnoteRef/>
      </w:r>
      <w:r>
        <w:rPr>
          <w:rFonts w:ascii="Times New Roman" w:hAnsi="Times New Roman"/>
          <w:sz w:val="18"/>
        </w:rPr>
        <w:t> </w:t>
      </w:r>
      <w:r>
        <w:rPr>
          <w:rFonts w:ascii="Times New Roman" w:hAnsi="Times New Roman"/>
          <w:sz w:val="18"/>
        </w:rPr>
        <w:t>Указываются данные из раздела 4</w:t>
      </w:r>
      <w:r>
        <w:rPr>
          <w:rFonts w:ascii="Times New Roman" w:hAnsi="Times New Roman"/>
          <w:sz w:val="18"/>
        </w:rPr>
        <w:t xml:space="preserve"> сводного отчета.</w:t>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suff w:val="tab"/>
      <w:lvlText w:val="%1)"/>
      <w:lvlJc w:val="left"/>
      <w:pPr>
        <w:widowControl w:val="0"/>
        <w:ind w:hanging="360" w:left="720"/>
      </w:pPr>
    </w:lvl>
    <w:lvl w:ilvl="1">
      <w:start w:val="1"/>
      <w:numFmt w:val="lowerLetter"/>
      <w:suff w:val="tab"/>
      <w:lvlText w:val="%2."/>
      <w:lvlJc w:val="left"/>
      <w:pPr>
        <w:widowControl w:val="0"/>
        <w:ind w:hanging="360" w:left="1440"/>
      </w:pPr>
    </w:lvl>
    <w:lvl w:ilvl="2">
      <w:start w:val="1"/>
      <w:numFmt w:val="lowerRoman"/>
      <w:suff w:val="tab"/>
      <w:lvlText w:val="%3."/>
      <w:lvlJc w:val="right"/>
      <w:pPr>
        <w:widowControl w:val="0"/>
        <w:ind w:hanging="180" w:left="2160"/>
      </w:pPr>
    </w:lvl>
    <w:lvl w:ilvl="3">
      <w:start w:val="1"/>
      <w:numFmt w:val="decimal"/>
      <w:suff w:val="tab"/>
      <w:lvlText w:val="%4."/>
      <w:lvlJc w:val="left"/>
      <w:pPr>
        <w:widowControl w:val="0"/>
        <w:ind w:hanging="360" w:left="2880"/>
      </w:pPr>
    </w:lvl>
    <w:lvl w:ilvl="4">
      <w:start w:val="1"/>
      <w:numFmt w:val="lowerLetter"/>
      <w:suff w:val="tab"/>
      <w:lvlText w:val="%5."/>
      <w:lvlJc w:val="left"/>
      <w:pPr>
        <w:widowControl w:val="0"/>
        <w:ind w:hanging="360" w:left="3600"/>
      </w:pPr>
    </w:lvl>
    <w:lvl w:ilvl="5">
      <w:start w:val="1"/>
      <w:numFmt w:val="lowerRoman"/>
      <w:suff w:val="tab"/>
      <w:lvlText w:val="%6."/>
      <w:lvlJc w:val="right"/>
      <w:pPr>
        <w:widowControl w:val="0"/>
        <w:ind w:hanging="180" w:left="4320"/>
      </w:pPr>
    </w:lvl>
    <w:lvl w:ilvl="6">
      <w:start w:val="1"/>
      <w:numFmt w:val="decimal"/>
      <w:suff w:val="tab"/>
      <w:lvlText w:val="%7."/>
      <w:lvlJc w:val="left"/>
      <w:pPr>
        <w:widowControl w:val="0"/>
        <w:ind w:hanging="360" w:left="5040"/>
      </w:pPr>
    </w:lvl>
    <w:lvl w:ilvl="7">
      <w:start w:val="1"/>
      <w:numFmt w:val="lowerLetter"/>
      <w:suff w:val="tab"/>
      <w:lvlText w:val="%8."/>
      <w:lvlJc w:val="left"/>
      <w:pPr>
        <w:widowControl w:val="0"/>
        <w:ind w:hanging="360" w:left="5760"/>
      </w:pPr>
    </w:lvl>
    <w:lvl w:ilvl="8">
      <w:start w:val="1"/>
      <w:numFmt w:val="lowerRoman"/>
      <w:suff w:val="tab"/>
      <w:lvlText w:val="%9."/>
      <w:lvlJc w:val="right"/>
      <w:pPr>
        <w:widowControl w:val="0"/>
        <w:ind w:hanging="180" w:left="6480"/>
      </w:pPr>
    </w:lvl>
  </w:abstractNum>
  <w:abstractNum w:abstractNumId="1">
    <w:lvl w:ilvl="0">
      <w:start w:val="1"/>
      <w:numFmt w:val="decimal"/>
      <w:suff w:val="tab"/>
      <w:lvlText w:val="%1)"/>
      <w:pPr>
        <w:widowControl w:val="1"/>
        <w:ind w:hanging="360" w:left="720"/>
      </w:pPr>
    </w:lvl>
    <w:lvl w:ilvl="1">
      <w:start w:val="1"/>
      <w:numFmt w:val="russianLower"/>
      <w:suff w:val="tab"/>
      <w:lvlText w:val="%2)"/>
      <w:pPr>
        <w:widowControl w:val="1"/>
        <w:ind w:hanging="360" w:left="1440"/>
      </w:pPr>
    </w:lvl>
    <w:lvl w:ilvl="2">
      <w:start w:val="1"/>
      <w:numFmt w:val="lowerRoman"/>
      <w:suff w:val="tab"/>
      <w:lvlText w:val="%3)"/>
      <w:lvlJc w:val="right"/>
      <w:pPr>
        <w:widowControl w:val="1"/>
        <w:ind w:hanging="360" w:left="2160"/>
      </w:pPr>
    </w:lvl>
    <w:lvl w:ilvl="3">
      <w:start w:val="1"/>
      <w:numFmt w:val="decimal"/>
      <w:suff w:val="tab"/>
      <w:lvlText w:val="%4)"/>
      <w:pPr>
        <w:widowControl w:val="1"/>
        <w:ind w:hanging="360" w:left="2880"/>
      </w:pPr>
    </w:lvl>
    <w:lvl w:ilvl="4">
      <w:start w:val="1"/>
      <w:numFmt w:val="russianLower"/>
      <w:suff w:val="tab"/>
      <w:lvlText w:val="%5)"/>
      <w:pPr>
        <w:widowControl w:val="1"/>
        <w:ind w:hanging="360" w:left="3600"/>
      </w:pPr>
    </w:lvl>
    <w:lvl w:ilvl="5">
      <w:start w:val="1"/>
      <w:numFmt w:val="lowerRoman"/>
      <w:suff w:val="tab"/>
      <w:lvlText w:val="%6)"/>
      <w:lvlJc w:val="right"/>
      <w:pPr>
        <w:widowControl w:val="1"/>
        <w:ind w:hanging="360" w:left="4320"/>
      </w:pPr>
    </w:lvl>
    <w:lvl w:ilvl="6">
      <w:start w:val="1"/>
      <w:numFmt w:val="decimal"/>
      <w:suff w:val="tab"/>
      <w:lvlText w:val="%7."/>
      <w:pPr>
        <w:widowControl w:val="1"/>
        <w:ind w:hanging="360" w:left="5040"/>
      </w:pPr>
    </w:lvl>
    <w:lvl w:ilvl="7">
      <w:start w:val="1"/>
      <w:numFmt w:val="russianLower"/>
      <w:suff w:val="tab"/>
      <w:lvlText w:val="%8."/>
      <w:pPr>
        <w:widowControl w:val="1"/>
        <w:ind w:hanging="360" w:left="5760"/>
      </w:pPr>
    </w:lvl>
    <w:lvl w:ilvl="8">
      <w:start w:val="1"/>
      <w:numFmt w:val="lowerRoman"/>
      <w:suff w:val="tab"/>
      <w:lvlText w:val="%9."/>
      <w:lvlJc w:val="right"/>
      <w:pPr>
        <w:widowControl w:val="1"/>
        <w:ind w:hanging="360" w:left="6480"/>
      </w:pPr>
    </w:lvl>
  </w:abstractNum>
  <w:abstractNum w:abstractNumId="2">
    <w:lvl w:ilvl="0">
      <w:start w:val="1"/>
      <w:numFmt w:val="decimal"/>
      <w:suff w:val="tab"/>
      <w:lvlText w:val="%1."/>
      <w:lvlJc w:val="left"/>
      <w:pPr>
        <w:widowControl w:val="0"/>
        <w:ind w:hanging="360" w:left="477"/>
      </w:pPr>
    </w:lvl>
    <w:lvl w:ilvl="1">
      <w:start w:val="1"/>
      <w:numFmt w:val="lowerLetter"/>
      <w:suff w:val="tab"/>
      <w:lvlText w:val="%2."/>
      <w:lvlJc w:val="left"/>
      <w:pPr>
        <w:widowControl w:val="0"/>
        <w:ind w:hanging="360" w:left="1197"/>
      </w:pPr>
    </w:lvl>
    <w:lvl w:ilvl="2">
      <w:start w:val="1"/>
      <w:numFmt w:val="lowerRoman"/>
      <w:suff w:val="tab"/>
      <w:lvlText w:val="%3."/>
      <w:lvlJc w:val="right"/>
      <w:pPr>
        <w:widowControl w:val="0"/>
        <w:ind w:hanging="180" w:left="1917"/>
      </w:pPr>
    </w:lvl>
    <w:lvl w:ilvl="3">
      <w:start w:val="1"/>
      <w:numFmt w:val="decimal"/>
      <w:suff w:val="tab"/>
      <w:lvlText w:val="%4."/>
      <w:lvlJc w:val="left"/>
      <w:pPr>
        <w:widowControl w:val="0"/>
        <w:ind w:hanging="360" w:left="2637"/>
      </w:pPr>
    </w:lvl>
    <w:lvl w:ilvl="4">
      <w:start w:val="1"/>
      <w:numFmt w:val="lowerLetter"/>
      <w:suff w:val="tab"/>
      <w:lvlText w:val="%5."/>
      <w:lvlJc w:val="left"/>
      <w:pPr>
        <w:widowControl w:val="0"/>
        <w:ind w:hanging="360" w:left="3357"/>
      </w:pPr>
    </w:lvl>
    <w:lvl w:ilvl="5">
      <w:start w:val="1"/>
      <w:numFmt w:val="lowerRoman"/>
      <w:suff w:val="tab"/>
      <w:lvlText w:val="%6."/>
      <w:lvlJc w:val="right"/>
      <w:pPr>
        <w:widowControl w:val="0"/>
        <w:ind w:hanging="180" w:left="4077"/>
      </w:pPr>
    </w:lvl>
    <w:lvl w:ilvl="6">
      <w:start w:val="1"/>
      <w:numFmt w:val="decimal"/>
      <w:suff w:val="tab"/>
      <w:lvlText w:val="%7."/>
      <w:lvlJc w:val="left"/>
      <w:pPr>
        <w:widowControl w:val="0"/>
        <w:ind w:hanging="360" w:left="4797"/>
      </w:pPr>
    </w:lvl>
    <w:lvl w:ilvl="7">
      <w:start w:val="1"/>
      <w:numFmt w:val="lowerLetter"/>
      <w:suff w:val="tab"/>
      <w:lvlText w:val="%8."/>
      <w:lvlJc w:val="left"/>
      <w:pPr>
        <w:widowControl w:val="0"/>
        <w:ind w:hanging="360" w:left="5517"/>
      </w:pPr>
    </w:lvl>
    <w:lvl w:ilvl="8">
      <w:start w:val="1"/>
      <w:numFmt w:val="lowerRoman"/>
      <w:suff w:val="tab"/>
      <w:lvlText w:val="%9."/>
      <w:lvlJc w:val="right"/>
      <w:pPr>
        <w:widowControl w:val="0"/>
        <w:ind w:hanging="180" w:left="6237"/>
      </w:pPr>
    </w:lvl>
  </w:abstractNum>
  <w:abstractNum w:abstractNumId="3">
    <w:lvl w:ilvl="0">
      <w:numFmt w:val="bullet"/>
      <w:suff w:val="tab"/>
      <w:lvlText w:val="-"/>
      <w:pPr>
        <w:widowControl w:val="1"/>
        <w:ind w:hanging="360" w:left="720"/>
      </w:pPr>
      <w:rPr>
        <w:rFonts w:ascii="Calibri" w:hAnsi="Calibri"/>
      </w:rPr>
    </w:lvl>
    <w:lvl w:ilvl="1">
      <w:numFmt w:val="bullet"/>
      <w:suff w:val="tab"/>
      <w:lvlText w:val="o"/>
      <w:pPr>
        <w:widowControl w:val="1"/>
        <w:ind w:hanging="360" w:left="1440"/>
      </w:pPr>
      <w:rPr>
        <w:rFonts w:ascii="Courier New" w:hAnsi="Courier New"/>
      </w:rPr>
    </w:lvl>
    <w:lvl w:ilvl="2">
      <w:numFmt w:val="bullet"/>
      <w:suff w:val="tab"/>
      <w:lvlText w:val=""/>
      <w:pPr>
        <w:widowControl w:val="1"/>
        <w:ind w:hanging="360" w:left="2160"/>
      </w:pPr>
      <w:rPr>
        <w:rFonts w:ascii="Wingdings" w:hAnsi="Wingdings"/>
      </w:rPr>
    </w:lvl>
    <w:lvl w:ilvl="3">
      <w:numFmt w:val="bullet"/>
      <w:suff w:val="tab"/>
      <w:lvlText w:val="-"/>
      <w:pPr>
        <w:widowControl w:val="1"/>
        <w:ind w:hanging="360" w:left="2880"/>
      </w:pPr>
      <w:rPr>
        <w:rFonts w:ascii="Calibri" w:hAnsi="Calibri"/>
      </w:rPr>
    </w:lvl>
    <w:lvl w:ilvl="4">
      <w:numFmt w:val="bullet"/>
      <w:suff w:val="tab"/>
      <w:lvlText w:val="o"/>
      <w:pPr>
        <w:widowControl w:val="1"/>
        <w:ind w:hanging="360" w:left="3600"/>
      </w:pPr>
      <w:rPr>
        <w:rFonts w:ascii="Courier New" w:hAnsi="Courier New"/>
      </w:rPr>
    </w:lvl>
    <w:lvl w:ilvl="5">
      <w:numFmt w:val="bullet"/>
      <w:suff w:val="tab"/>
      <w:lvlText w:val=""/>
      <w:pPr>
        <w:widowControl w:val="1"/>
        <w:ind w:hanging="360" w:left="4320"/>
      </w:pPr>
      <w:rPr>
        <w:rFonts w:ascii="Wingdings" w:hAnsi="Wingdings"/>
      </w:rPr>
    </w:lvl>
    <w:lvl w:ilvl="6">
      <w:numFmt w:val="bullet"/>
      <w:suff w:val="tab"/>
      <w:lvlText w:val="-"/>
      <w:pPr>
        <w:widowControl w:val="1"/>
        <w:ind w:hanging="360" w:left="5040"/>
      </w:pPr>
      <w:rPr>
        <w:rFonts w:ascii="Calibri" w:hAnsi="Calibri"/>
      </w:rPr>
    </w:lvl>
    <w:lvl w:ilvl="7">
      <w:numFmt w:val="bullet"/>
      <w:suff w:val="tab"/>
      <w:lvlText w:val="o"/>
      <w:pPr>
        <w:widowControl w:val="1"/>
        <w:ind w:hanging="360" w:left="5760"/>
      </w:pPr>
      <w:rPr>
        <w:rFonts w:ascii="Courier New" w:hAnsi="Courier New"/>
      </w:rPr>
    </w:lvl>
    <w:lvl w:ilvl="8">
      <w:numFmt w:val="bullet"/>
      <w:suff w:val="tab"/>
      <w:lvlText w:val=""/>
      <w:pPr>
        <w:widowControl w:val="1"/>
        <w:ind w:hanging="360" w:left="6480"/>
      </w:pPr>
      <w:rPr>
        <w:rFonts w:ascii="Wingdings" w:hAnsi="Wingdings"/>
      </w:rPr>
    </w:lvl>
  </w:abstractNum>
  <w:abstractNum w:abstractNumId="4">
    <w:lvl w:ilvl="0">
      <w:start w:val="1"/>
      <w:numFmt w:val="decimal"/>
      <w:suff w:val="tab"/>
      <w:lvlText w:val="%1)"/>
      <w:lvlJc w:val="left"/>
      <w:pPr>
        <w:widowControl w:val="0"/>
        <w:ind w:hanging="360" w:left="720"/>
      </w:pPr>
    </w:lvl>
    <w:lvl w:ilvl="1">
      <w:start w:val="1"/>
      <w:numFmt w:val="lowerLetter"/>
      <w:suff w:val="tab"/>
      <w:lvlText w:val="%2."/>
      <w:lvlJc w:val="left"/>
      <w:pPr>
        <w:widowControl w:val="0"/>
        <w:ind w:hanging="360" w:left="1440"/>
      </w:pPr>
    </w:lvl>
    <w:lvl w:ilvl="2">
      <w:start w:val="1"/>
      <w:numFmt w:val="lowerRoman"/>
      <w:suff w:val="tab"/>
      <w:lvlText w:val="%3."/>
      <w:lvlJc w:val="right"/>
      <w:pPr>
        <w:widowControl w:val="0"/>
        <w:ind w:hanging="180" w:left="2160"/>
      </w:pPr>
    </w:lvl>
    <w:lvl w:ilvl="3">
      <w:start w:val="1"/>
      <w:numFmt w:val="decimal"/>
      <w:suff w:val="tab"/>
      <w:lvlText w:val="%4."/>
      <w:lvlJc w:val="left"/>
      <w:pPr>
        <w:widowControl w:val="0"/>
        <w:ind w:hanging="360" w:left="2880"/>
      </w:pPr>
    </w:lvl>
    <w:lvl w:ilvl="4">
      <w:start w:val="1"/>
      <w:numFmt w:val="lowerLetter"/>
      <w:suff w:val="tab"/>
      <w:lvlText w:val="%5."/>
      <w:lvlJc w:val="left"/>
      <w:pPr>
        <w:widowControl w:val="0"/>
        <w:ind w:hanging="360" w:left="3600"/>
      </w:pPr>
    </w:lvl>
    <w:lvl w:ilvl="5">
      <w:start w:val="1"/>
      <w:numFmt w:val="lowerRoman"/>
      <w:suff w:val="tab"/>
      <w:lvlText w:val="%6."/>
      <w:lvlJc w:val="right"/>
      <w:pPr>
        <w:widowControl w:val="0"/>
        <w:ind w:hanging="180" w:left="4320"/>
      </w:pPr>
    </w:lvl>
    <w:lvl w:ilvl="6">
      <w:start w:val="1"/>
      <w:numFmt w:val="decimal"/>
      <w:suff w:val="tab"/>
      <w:lvlText w:val="%7."/>
      <w:lvlJc w:val="left"/>
      <w:pPr>
        <w:widowControl w:val="0"/>
        <w:ind w:hanging="360" w:left="5040"/>
      </w:pPr>
    </w:lvl>
    <w:lvl w:ilvl="7">
      <w:start w:val="1"/>
      <w:numFmt w:val="lowerLetter"/>
      <w:suff w:val="tab"/>
      <w:lvlText w:val="%8."/>
      <w:lvlJc w:val="left"/>
      <w:pPr>
        <w:widowControl w:val="0"/>
        <w:ind w:hanging="360" w:left="5760"/>
      </w:pPr>
    </w:lvl>
    <w:lvl w:ilvl="8">
      <w:start w:val="1"/>
      <w:numFmt w:val="lowerRoman"/>
      <w:suff w:val="tab"/>
      <w:lvlText w:val="%9."/>
      <w:lvlJc w:val="right"/>
      <w:pPr>
        <w:widowControl w:val="0"/>
        <w:ind w:hanging="180" w:left="6480"/>
      </w:pPr>
    </w:lvl>
  </w:abstractNum>
  <w:abstractNum w:abstractNumId="5">
    <w:lvl w:ilvl="0">
      <w:start w:val="1"/>
      <w:numFmt w:val="decimal"/>
      <w:suff w:val="tab"/>
      <w:lvlText w:val="%1)"/>
      <w:pPr>
        <w:widowControl w:val="1"/>
        <w:ind w:hanging="360" w:left="720"/>
      </w:pPr>
    </w:lvl>
    <w:lvl w:ilvl="1">
      <w:start w:val="1"/>
      <w:numFmt w:val="russianLower"/>
      <w:suff w:val="tab"/>
      <w:lvlText w:val="%2)"/>
      <w:pPr>
        <w:widowControl w:val="1"/>
        <w:ind w:hanging="360" w:left="1440"/>
      </w:pPr>
    </w:lvl>
    <w:lvl w:ilvl="2">
      <w:start w:val="1"/>
      <w:numFmt w:val="lowerRoman"/>
      <w:suff w:val="tab"/>
      <w:lvlText w:val="%3)"/>
      <w:lvlJc w:val="right"/>
      <w:pPr>
        <w:widowControl w:val="1"/>
        <w:ind w:hanging="360" w:left="2160"/>
      </w:pPr>
    </w:lvl>
    <w:lvl w:ilvl="3">
      <w:start w:val="1"/>
      <w:numFmt w:val="decimal"/>
      <w:suff w:val="tab"/>
      <w:lvlText w:val="%4)"/>
      <w:pPr>
        <w:widowControl w:val="1"/>
        <w:ind w:hanging="360" w:left="2880"/>
      </w:pPr>
    </w:lvl>
    <w:lvl w:ilvl="4">
      <w:start w:val="1"/>
      <w:numFmt w:val="russianLower"/>
      <w:suff w:val="tab"/>
      <w:lvlText w:val="%5)"/>
      <w:pPr>
        <w:widowControl w:val="1"/>
        <w:ind w:hanging="360" w:left="3600"/>
      </w:pPr>
    </w:lvl>
    <w:lvl w:ilvl="5">
      <w:start w:val="1"/>
      <w:numFmt w:val="lowerRoman"/>
      <w:suff w:val="tab"/>
      <w:lvlText w:val="%6)"/>
      <w:lvlJc w:val="right"/>
      <w:pPr>
        <w:widowControl w:val="1"/>
        <w:ind w:hanging="360" w:left="4320"/>
      </w:pPr>
    </w:lvl>
    <w:lvl w:ilvl="6">
      <w:start w:val="1"/>
      <w:numFmt w:val="decimal"/>
      <w:suff w:val="tab"/>
      <w:lvlText w:val="%7."/>
      <w:pPr>
        <w:widowControl w:val="1"/>
        <w:ind w:hanging="360" w:left="5040"/>
      </w:pPr>
    </w:lvl>
    <w:lvl w:ilvl="7">
      <w:start w:val="1"/>
      <w:numFmt w:val="russianLower"/>
      <w:suff w:val="tab"/>
      <w:lvlText w:val="%8."/>
      <w:pPr>
        <w:widowControl w:val="1"/>
        <w:ind w:hanging="360" w:left="5760"/>
      </w:pPr>
    </w:lvl>
    <w:lvl w:ilvl="8">
      <w:start w:val="1"/>
      <w:numFmt w:val="lowerRoman"/>
      <w:suff w:val="tab"/>
      <w:lvlText w:val="%9."/>
      <w:lvlJc w:val="right"/>
      <w:pPr>
        <w:widowControl w:val="1"/>
        <w:ind w:hanging="360" w:left="6480"/>
      </w:pPr>
    </w:lvl>
  </w:abstractNum>
  <w:abstractNum w:abstractNumId="6">
    <w:lvl w:ilvl="0">
      <w:start w:val="1"/>
      <w:numFmt w:val="decimal"/>
      <w:suff w:val="tab"/>
      <w:lvlText w:val="%1)"/>
      <w:pPr>
        <w:widowControl w:val="1"/>
        <w:ind w:hanging="360" w:left="720"/>
      </w:pPr>
    </w:lvl>
    <w:lvl w:ilvl="1">
      <w:start w:val="1"/>
      <w:numFmt w:val="russianLower"/>
      <w:suff w:val="tab"/>
      <w:lvlText w:val="%2)"/>
      <w:pPr>
        <w:widowControl w:val="1"/>
        <w:ind w:hanging="360" w:left="1440"/>
      </w:pPr>
    </w:lvl>
    <w:lvl w:ilvl="2">
      <w:start w:val="1"/>
      <w:numFmt w:val="lowerRoman"/>
      <w:suff w:val="tab"/>
      <w:lvlText w:val="%3)"/>
      <w:lvlJc w:val="right"/>
      <w:pPr>
        <w:widowControl w:val="1"/>
        <w:ind w:hanging="360" w:left="2160"/>
      </w:pPr>
    </w:lvl>
    <w:lvl w:ilvl="3">
      <w:start w:val="1"/>
      <w:numFmt w:val="decimal"/>
      <w:suff w:val="tab"/>
      <w:lvlText w:val="%4)"/>
      <w:pPr>
        <w:widowControl w:val="1"/>
        <w:ind w:hanging="360" w:left="2880"/>
      </w:pPr>
    </w:lvl>
    <w:lvl w:ilvl="4">
      <w:start w:val="1"/>
      <w:numFmt w:val="russianLower"/>
      <w:suff w:val="tab"/>
      <w:lvlText w:val="%5)"/>
      <w:pPr>
        <w:widowControl w:val="1"/>
        <w:ind w:hanging="360" w:left="3600"/>
      </w:pPr>
    </w:lvl>
    <w:lvl w:ilvl="5">
      <w:start w:val="1"/>
      <w:numFmt w:val="lowerRoman"/>
      <w:suff w:val="tab"/>
      <w:lvlText w:val="%6)"/>
      <w:lvlJc w:val="right"/>
      <w:pPr>
        <w:widowControl w:val="1"/>
        <w:ind w:hanging="360" w:left="4320"/>
      </w:pPr>
    </w:lvl>
    <w:lvl w:ilvl="6">
      <w:start w:val="1"/>
      <w:numFmt w:val="decimal"/>
      <w:suff w:val="tab"/>
      <w:lvlText w:val="%7."/>
      <w:pPr>
        <w:widowControl w:val="1"/>
        <w:ind w:hanging="360" w:left="5040"/>
      </w:pPr>
    </w:lvl>
    <w:lvl w:ilvl="7">
      <w:start w:val="1"/>
      <w:numFmt w:val="russianLower"/>
      <w:suff w:val="tab"/>
      <w:lvlText w:val="%8."/>
      <w:pPr>
        <w:widowControl w:val="1"/>
        <w:ind w:hanging="360" w:left="5760"/>
      </w:pPr>
    </w:lvl>
    <w:lvl w:ilvl="8">
      <w:start w:val="1"/>
      <w:numFmt w:val="lowerRoman"/>
      <w:suff w:val="tab"/>
      <w:lvlText w:val="%9."/>
      <w:lvlJc w:val="right"/>
      <w:pPr>
        <w:widowControl w:val="1"/>
        <w:ind w:hanging="360" w:left="64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line="240" w:lineRule="auto"/>
      <w:ind/>
    </w:pPr>
    <w:rPr>
      <w:rFonts w:ascii="Times New Roman" w:hAnsi="Times New Roman"/>
      <w:sz w:val="24"/>
    </w:rPr>
  </w:style>
  <w:style w:default="1" w:styleId="Style_4_ch" w:type="character">
    <w:name w:val="Normal"/>
    <w:link w:val="Style_4"/>
    <w:rPr>
      <w:rFonts w:ascii="Times New Roman" w:hAnsi="Times New Roman"/>
      <w:sz w:val="24"/>
    </w:rPr>
  </w:style>
  <w:style w:styleId="Style_7" w:type="paragraph">
    <w:name w:val="footnote reference"/>
    <w:link w:val="Style_7_ch"/>
    <w:rPr>
      <w:vertAlign w:val="superscript"/>
    </w:rPr>
  </w:style>
  <w:style w:styleId="Style_7_ch" w:type="character">
    <w:name w:val="footnote reference"/>
    <w:link w:val="Style_7"/>
    <w:rPr>
      <w:vertAlign w:val="superscript"/>
    </w:rPr>
  </w:style>
  <w:style w:styleId="Style_8" w:type="paragraph">
    <w:name w:val="toc 2"/>
    <w:next w:val="Style_4"/>
    <w:link w:val="Style_8_ch"/>
    <w:uiPriority w:val="39"/>
    <w:pPr>
      <w:widowControl w:val="1"/>
      <w:ind w:left="200"/>
    </w:pPr>
    <w:rPr>
      <w:rFonts w:ascii="XO Thames" w:hAnsi="XO Thames"/>
      <w:sz w:val="28"/>
    </w:rPr>
  </w:style>
  <w:style w:styleId="Style_8_ch" w:type="character">
    <w:name w:val="toc 2"/>
    <w:link w:val="Style_8"/>
    <w:rPr>
      <w:rFonts w:ascii="XO Thames" w:hAnsi="XO Thames"/>
      <w:sz w:val="28"/>
    </w:rPr>
  </w:style>
  <w:style w:styleId="Style_9" w:type="paragraph">
    <w:name w:val="toc 4"/>
    <w:next w:val="Style_4"/>
    <w:link w:val="Style_9_ch"/>
    <w:uiPriority w:val="39"/>
    <w:pPr>
      <w:widowControl w:val="1"/>
      <w:ind w:left="600"/>
    </w:pPr>
    <w:rPr>
      <w:rFonts w:ascii="XO Thames" w:hAnsi="XO Thames"/>
      <w:sz w:val="28"/>
    </w:rPr>
  </w:style>
  <w:style w:styleId="Style_9_ch" w:type="character">
    <w:name w:val="toc 4"/>
    <w:link w:val="Style_9"/>
    <w:rPr>
      <w:rFonts w:ascii="XO Thames" w:hAnsi="XO Thames"/>
      <w:sz w:val="28"/>
    </w:rPr>
  </w:style>
  <w:style w:styleId="Style_6" w:type="paragraph">
    <w:name w:val="Гиперссылка1"/>
    <w:link w:val="Style_6_ch"/>
    <w:rPr>
      <w:color w:val="0000FF"/>
      <w:u w:val="single"/>
    </w:rPr>
  </w:style>
  <w:style w:styleId="Style_6_ch" w:type="character">
    <w:name w:val="Гиперссылка1"/>
    <w:link w:val="Style_6"/>
    <w:rPr>
      <w:color w:val="0000FF"/>
      <w:u w:val="single"/>
    </w:rPr>
  </w:style>
  <w:style w:styleId="Style_10" w:type="paragraph">
    <w:name w:val="toc 6"/>
    <w:next w:val="Style_4"/>
    <w:link w:val="Style_10_ch"/>
    <w:uiPriority w:val="39"/>
    <w:pPr>
      <w:widowControl w:val="1"/>
      <w:ind w:left="1000"/>
    </w:pPr>
    <w:rPr>
      <w:rFonts w:ascii="XO Thames" w:hAnsi="XO Thames"/>
      <w:sz w:val="28"/>
    </w:rPr>
  </w:style>
  <w:style w:styleId="Style_10_ch" w:type="character">
    <w:name w:val="toc 6"/>
    <w:link w:val="Style_10"/>
    <w:rPr>
      <w:rFonts w:ascii="XO Thames" w:hAnsi="XO Thames"/>
      <w:sz w:val="28"/>
    </w:rPr>
  </w:style>
  <w:style w:styleId="Style_11" w:type="paragraph">
    <w:name w:val="toc 7"/>
    <w:next w:val="Style_4"/>
    <w:link w:val="Style_11_ch"/>
    <w:uiPriority w:val="39"/>
    <w:pPr>
      <w:widowControl w:val="1"/>
      <w:ind w:left="1200"/>
    </w:pPr>
    <w:rPr>
      <w:rFonts w:ascii="XO Thames" w:hAnsi="XO Thames"/>
      <w:sz w:val="28"/>
    </w:rPr>
  </w:style>
  <w:style w:styleId="Style_11_ch" w:type="character">
    <w:name w:val="toc 7"/>
    <w:link w:val="Style_11"/>
    <w:rPr>
      <w:rFonts w:ascii="XO Thames" w:hAnsi="XO Thames"/>
      <w:sz w:val="28"/>
    </w:rPr>
  </w:style>
  <w:style w:styleId="Style_12" w:type="paragraph">
    <w:name w:val="annotation text"/>
    <w:basedOn w:val="Style_4"/>
    <w:link w:val="Style_12_ch"/>
    <w:rPr>
      <w:sz w:val="20"/>
    </w:rPr>
  </w:style>
  <w:style w:styleId="Style_12_ch" w:type="character">
    <w:name w:val="annotation text"/>
    <w:basedOn w:val="Style_4_ch"/>
    <w:link w:val="Style_12"/>
    <w:rPr>
      <w:sz w:val="20"/>
    </w:rPr>
  </w:style>
  <w:style w:styleId="Style_13" w:type="paragraph">
    <w:name w:val="Endnote"/>
    <w:link w:val="Style_13_ch"/>
    <w:pPr>
      <w:widowControl w:val="1"/>
      <w:ind w:firstLine="851" w:left="0"/>
      <w:jc w:val="both"/>
    </w:pPr>
    <w:rPr>
      <w:rFonts w:ascii="XO Thames" w:hAnsi="XO Thames"/>
      <w:sz w:val="22"/>
    </w:rPr>
  </w:style>
  <w:style w:styleId="Style_13_ch" w:type="character">
    <w:name w:val="Endnote"/>
    <w:link w:val="Style_13"/>
    <w:rPr>
      <w:rFonts w:ascii="XO Thames" w:hAnsi="XO Thames"/>
      <w:sz w:val="22"/>
    </w:rPr>
  </w:style>
  <w:style w:styleId="Style_14" w:type="paragraph">
    <w:name w:val="heading 3"/>
    <w:next w:val="Style_4"/>
    <w:link w:val="Style_14_ch"/>
    <w:uiPriority w:val="9"/>
    <w:qFormat/>
    <w:pPr>
      <w:widowControl w:val="1"/>
      <w:spacing w:after="120" w:before="120"/>
      <w:ind/>
      <w:jc w:val="both"/>
      <w:outlineLvl w:val="2"/>
    </w:pPr>
    <w:rPr>
      <w:rFonts w:ascii="XO Thames" w:hAnsi="XO Thames"/>
      <w:b w:val="1"/>
      <w:sz w:val="26"/>
    </w:rPr>
  </w:style>
  <w:style w:styleId="Style_14_ch" w:type="character">
    <w:name w:val="heading 3"/>
    <w:link w:val="Style_14"/>
    <w:rPr>
      <w:rFonts w:ascii="XO Thames" w:hAnsi="XO Thames"/>
      <w:b w:val="1"/>
      <w:sz w:val="26"/>
    </w:rPr>
  </w:style>
  <w:style w:styleId="Style_15" w:type="paragraph">
    <w:name w:val="Default Paragraph Font"/>
    <w:link w:val="Style_15_ch"/>
  </w:style>
  <w:style w:styleId="Style_15_ch" w:type="character">
    <w:name w:val="Default Paragraph Font"/>
    <w:link w:val="Style_15"/>
  </w:style>
  <w:style w:styleId="Style_16" w:type="paragraph">
    <w:name w:val="annotation subject"/>
    <w:basedOn w:val="Style_12"/>
    <w:next w:val="Style_12"/>
    <w:link w:val="Style_16_ch"/>
    <w:rPr>
      <w:b w:val="1"/>
    </w:rPr>
  </w:style>
  <w:style w:styleId="Style_16_ch" w:type="character">
    <w:name w:val="annotation subject"/>
    <w:basedOn w:val="Style_12_ch"/>
    <w:link w:val="Style_16"/>
    <w:rPr>
      <w:b w:val="1"/>
    </w:rPr>
  </w:style>
  <w:style w:styleId="Style_17" w:type="paragraph">
    <w:name w:val="Footnote"/>
    <w:link w:val="Style_17_ch"/>
    <w:pPr>
      <w:widowControl w:val="1"/>
      <w:ind w:firstLine="851"/>
      <w:jc w:val="both"/>
    </w:pPr>
    <w:rPr>
      <w:rFonts w:ascii="XO Thames" w:hAnsi="XO Thames"/>
    </w:rPr>
  </w:style>
  <w:style w:styleId="Style_17_ch" w:type="character">
    <w:name w:val="Footnote"/>
    <w:link w:val="Style_17"/>
    <w:rPr>
      <w:rFonts w:ascii="XO Thames" w:hAnsi="XO Thames"/>
    </w:rPr>
  </w:style>
  <w:style w:styleId="Style_18" w:type="paragraph">
    <w:name w:val="Обычный1"/>
    <w:link w:val="Style_18_ch"/>
    <w:rPr>
      <w:rFonts w:ascii="Times New Roman" w:hAnsi="Times New Roman"/>
      <w:sz w:val="24"/>
    </w:rPr>
  </w:style>
  <w:style w:styleId="Style_18_ch" w:type="character">
    <w:name w:val="Обычный1"/>
    <w:link w:val="Style_18"/>
    <w:rPr>
      <w:rFonts w:ascii="Times New Roman" w:hAnsi="Times New Roman"/>
      <w:sz w:val="24"/>
    </w:rPr>
  </w:style>
  <w:style w:styleId="Style_19" w:type="paragraph">
    <w:name w:val="toc 3"/>
    <w:next w:val="Style_4"/>
    <w:link w:val="Style_19_ch"/>
    <w:uiPriority w:val="39"/>
    <w:pPr>
      <w:widowControl w:val="1"/>
      <w:ind w:left="400"/>
    </w:pPr>
    <w:rPr>
      <w:rFonts w:ascii="XO Thames" w:hAnsi="XO Thames"/>
      <w:sz w:val="28"/>
    </w:rPr>
  </w:style>
  <w:style w:styleId="Style_19_ch" w:type="character">
    <w:name w:val="toc 3"/>
    <w:link w:val="Style_19"/>
    <w:rPr>
      <w:rFonts w:ascii="XO Thames" w:hAnsi="XO Thames"/>
      <w:sz w:val="28"/>
    </w:rPr>
  </w:style>
  <w:style w:styleId="Style_20" w:type="paragraph">
    <w:name w:val="Основной шрифт абзаца1"/>
    <w:link w:val="Style_20_ch"/>
  </w:style>
  <w:style w:styleId="Style_20_ch" w:type="character">
    <w:name w:val="Основной шрифт абзаца1"/>
    <w:link w:val="Style_20"/>
  </w:style>
  <w:style w:styleId="Style_21" w:type="paragraph">
    <w:name w:val="Normal (Web)"/>
    <w:basedOn w:val="Style_4"/>
    <w:link w:val="Style_21_ch"/>
    <w:pPr>
      <w:widowControl w:val="1"/>
      <w:spacing w:afterAutospacing="on" w:beforeAutospacing="on"/>
      <w:ind/>
    </w:pPr>
    <w:rPr>
      <w:color w:val="000000"/>
    </w:rPr>
  </w:style>
  <w:style w:styleId="Style_21_ch" w:type="character">
    <w:name w:val="Normal (Web)"/>
    <w:basedOn w:val="Style_4_ch"/>
    <w:link w:val="Style_21"/>
    <w:rPr>
      <w:color w:val="000000"/>
    </w:rPr>
  </w:style>
  <w:style w:styleId="Style_22" w:type="paragraph">
    <w:name w:val="heading 5"/>
    <w:next w:val="Style_4"/>
    <w:link w:val="Style_22_ch"/>
    <w:uiPriority w:val="9"/>
    <w:qFormat/>
    <w:pPr>
      <w:widowControl w:val="1"/>
      <w:spacing w:after="120" w:before="120"/>
      <w:ind/>
      <w:jc w:val="both"/>
      <w:outlineLvl w:val="4"/>
    </w:pPr>
    <w:rPr>
      <w:rFonts w:ascii="XO Thames" w:hAnsi="XO Thames"/>
      <w:b w:val="1"/>
    </w:rPr>
  </w:style>
  <w:style w:styleId="Style_22_ch" w:type="character">
    <w:name w:val="heading 5"/>
    <w:link w:val="Style_22"/>
    <w:rPr>
      <w:rFonts w:ascii="XO Thames" w:hAnsi="XO Thames"/>
      <w:b w:val="1"/>
    </w:rPr>
  </w:style>
  <w:style w:styleId="Style_23" w:type="paragraph">
    <w:name w:val="heading 1"/>
    <w:next w:val="Style_4"/>
    <w:link w:val="Style_23_ch"/>
    <w:uiPriority w:val="9"/>
    <w:qFormat/>
    <w:pPr>
      <w:widowControl w:val="1"/>
      <w:spacing w:after="120" w:before="120"/>
      <w:ind/>
      <w:jc w:val="both"/>
      <w:outlineLvl w:val="0"/>
    </w:pPr>
    <w:rPr>
      <w:rFonts w:ascii="XO Thames" w:hAnsi="XO Thames"/>
      <w:b w:val="1"/>
      <w:sz w:val="32"/>
    </w:rPr>
  </w:style>
  <w:style w:styleId="Style_23_ch" w:type="character">
    <w:name w:val="heading 1"/>
    <w:link w:val="Style_23"/>
    <w:rPr>
      <w:rFonts w:ascii="XO Thames" w:hAnsi="XO Thames"/>
      <w:b w:val="1"/>
      <w:sz w:val="32"/>
    </w:rPr>
  </w:style>
  <w:style w:styleId="Style_24" w:type="paragraph">
    <w:name w:val="Balloon Text"/>
    <w:basedOn w:val="Style_4"/>
    <w:link w:val="Style_24_ch"/>
    <w:rPr>
      <w:rFonts w:ascii="Tahoma" w:hAnsi="Tahoma"/>
      <w:sz w:val="16"/>
    </w:rPr>
  </w:style>
  <w:style w:styleId="Style_24_ch" w:type="character">
    <w:name w:val="Balloon Text"/>
    <w:basedOn w:val="Style_4_ch"/>
    <w:link w:val="Style_24"/>
    <w:rPr>
      <w:rFonts w:ascii="Tahoma" w:hAnsi="Tahoma"/>
      <w:sz w:val="16"/>
    </w:rPr>
  </w:style>
  <w:style w:styleId="Style_1" w:type="paragraph">
    <w:name w:val="Hyperlink"/>
    <w:link w:val="Style_1_ch"/>
    <w:rPr>
      <w:color w:val="0000FF"/>
      <w:u w:val="single"/>
    </w:rPr>
  </w:style>
  <w:style w:styleId="Style_1_ch" w:type="character">
    <w:name w:val="Hyperlink"/>
    <w:link w:val="Style_1"/>
    <w:rPr>
      <w:color w:val="0000FF"/>
      <w:u w:val="single"/>
    </w:rPr>
  </w:style>
  <w:style w:styleId="Style_25" w:type="paragraph">
    <w:name w:val="Footnote"/>
    <w:basedOn w:val="Style_4"/>
    <w:link w:val="Style_25_ch"/>
    <w:pPr>
      <w:widowControl w:val="0"/>
      <w:spacing w:line="360" w:lineRule="atLeast"/>
      <w:ind/>
      <w:jc w:val="both"/>
    </w:pPr>
    <w:rPr>
      <w:rFonts w:ascii="Calibri" w:hAnsi="Calibri"/>
      <w:color w:val="000000"/>
      <w:sz w:val="20"/>
    </w:rPr>
  </w:style>
  <w:style w:styleId="Style_25_ch" w:type="character">
    <w:name w:val="Footnote"/>
    <w:basedOn w:val="Style_4_ch"/>
    <w:link w:val="Style_25"/>
    <w:rPr>
      <w:rFonts w:ascii="Calibri" w:hAnsi="Calibri"/>
      <w:color w:val="000000"/>
      <w:sz w:val="20"/>
    </w:rPr>
  </w:style>
  <w:style w:styleId="Style_26" w:type="paragraph">
    <w:name w:val="toc 1"/>
    <w:next w:val="Style_4"/>
    <w:link w:val="Style_26_ch"/>
    <w:uiPriority w:val="39"/>
    <w:rPr>
      <w:rFonts w:ascii="XO Thames" w:hAnsi="XO Thames"/>
      <w:b w:val="1"/>
      <w:sz w:val="28"/>
    </w:rPr>
  </w:style>
  <w:style w:styleId="Style_26_ch" w:type="character">
    <w:name w:val="toc 1"/>
    <w:link w:val="Style_26"/>
    <w:rPr>
      <w:rFonts w:ascii="XO Thames" w:hAnsi="XO Thames"/>
      <w:b w:val="1"/>
      <w:sz w:val="28"/>
    </w:rPr>
  </w:style>
  <w:style w:styleId="Style_27" w:type="paragraph">
    <w:name w:val="Header and Footer"/>
    <w:link w:val="Style_27_ch"/>
    <w:pPr>
      <w:widowControl w:val="1"/>
      <w:spacing w:line="240" w:lineRule="auto"/>
      <w:ind/>
      <w:jc w:val="both"/>
    </w:pPr>
    <w:rPr>
      <w:rFonts w:ascii="XO Thames" w:hAnsi="XO Thames"/>
      <w:sz w:val="20"/>
    </w:rPr>
  </w:style>
  <w:style w:styleId="Style_27_ch" w:type="character">
    <w:name w:val="Header and Footer"/>
    <w:link w:val="Style_27"/>
    <w:rPr>
      <w:rFonts w:ascii="XO Thames" w:hAnsi="XO Thames"/>
      <w:sz w:val="20"/>
    </w:rPr>
  </w:style>
  <w:style w:styleId="Style_28" w:type="paragraph">
    <w:name w:val="caption"/>
    <w:basedOn w:val="Style_4"/>
    <w:next w:val="Style_4"/>
    <w:link w:val="Style_28_ch"/>
    <w:pPr>
      <w:widowControl w:val="1"/>
      <w:spacing w:after="200"/>
      <w:ind/>
    </w:pPr>
    <w:rPr>
      <w:rFonts w:ascii="Calibri" w:hAnsi="Calibri"/>
      <w:i w:val="1"/>
      <w:color w:val="1F497D"/>
      <w:sz w:val="18"/>
    </w:rPr>
  </w:style>
  <w:style w:styleId="Style_28_ch" w:type="character">
    <w:name w:val="caption"/>
    <w:basedOn w:val="Style_4_ch"/>
    <w:link w:val="Style_28"/>
    <w:rPr>
      <w:rFonts w:ascii="Calibri" w:hAnsi="Calibri"/>
      <w:i w:val="1"/>
      <w:color w:val="1F497D"/>
      <w:sz w:val="18"/>
    </w:rPr>
  </w:style>
  <w:style w:styleId="Style_29" w:type="paragraph">
    <w:name w:val="toc 9"/>
    <w:next w:val="Style_4"/>
    <w:link w:val="Style_29_ch"/>
    <w:uiPriority w:val="39"/>
    <w:pPr>
      <w:widowControl w:val="1"/>
      <w:ind w:left="1600"/>
    </w:pPr>
    <w:rPr>
      <w:rFonts w:ascii="XO Thames" w:hAnsi="XO Thames"/>
      <w:sz w:val="28"/>
    </w:rPr>
  </w:style>
  <w:style w:styleId="Style_29_ch" w:type="character">
    <w:name w:val="toc 9"/>
    <w:link w:val="Style_29"/>
    <w:rPr>
      <w:rFonts w:ascii="XO Thames" w:hAnsi="XO Thames"/>
      <w:sz w:val="28"/>
    </w:rPr>
  </w:style>
  <w:style w:styleId="Style_30" w:type="paragraph">
    <w:name w:val="Подраздел"/>
    <w:basedOn w:val="Style_4"/>
    <w:link w:val="Style_30_ch"/>
    <w:pPr>
      <w:widowControl w:val="0"/>
      <w:ind/>
      <w:jc w:val="center"/>
    </w:pPr>
    <w:rPr>
      <w:b w:val="1"/>
    </w:rPr>
  </w:style>
  <w:style w:styleId="Style_30_ch" w:type="character">
    <w:name w:val="Подраздел"/>
    <w:basedOn w:val="Style_4_ch"/>
    <w:link w:val="Style_30"/>
    <w:rPr>
      <w:b w:val="1"/>
    </w:rPr>
  </w:style>
  <w:style w:styleId="Style_31" w:type="paragraph">
    <w:name w:val="annotation reference"/>
    <w:basedOn w:val="Style_15"/>
    <w:link w:val="Style_31_ch"/>
    <w:rPr>
      <w:sz w:val="16"/>
    </w:rPr>
  </w:style>
  <w:style w:styleId="Style_31_ch" w:type="character">
    <w:name w:val="annotation reference"/>
    <w:basedOn w:val="Style_15_ch"/>
    <w:link w:val="Style_31"/>
    <w:rPr>
      <w:sz w:val="16"/>
    </w:rPr>
  </w:style>
  <w:style w:styleId="Style_32" w:type="paragraph">
    <w:name w:val="toc 8"/>
    <w:next w:val="Style_4"/>
    <w:link w:val="Style_32_ch"/>
    <w:uiPriority w:val="39"/>
    <w:pPr>
      <w:widowControl w:val="1"/>
      <w:ind w:left="1400"/>
    </w:pPr>
    <w:rPr>
      <w:rFonts w:ascii="XO Thames" w:hAnsi="XO Thames"/>
      <w:sz w:val="28"/>
    </w:rPr>
  </w:style>
  <w:style w:styleId="Style_32_ch" w:type="character">
    <w:name w:val="toc 8"/>
    <w:link w:val="Style_32"/>
    <w:rPr>
      <w:rFonts w:ascii="XO Thames" w:hAnsi="XO Thames"/>
      <w:sz w:val="28"/>
    </w:rPr>
  </w:style>
  <w:style w:styleId="Style_2" w:type="paragraph">
    <w:name w:val="List Paragraph"/>
    <w:basedOn w:val="Style_4"/>
    <w:link w:val="Style_2_ch"/>
    <w:pPr>
      <w:widowControl w:val="1"/>
      <w:ind w:left="720"/>
      <w:contextualSpacing w:val="1"/>
    </w:pPr>
  </w:style>
  <w:style w:styleId="Style_2_ch" w:type="character">
    <w:name w:val="List Paragraph"/>
    <w:basedOn w:val="Style_4_ch"/>
    <w:link w:val="Style_2"/>
  </w:style>
  <w:style w:styleId="Style_33" w:type="paragraph">
    <w:name w:val="toc 5"/>
    <w:next w:val="Style_4"/>
    <w:link w:val="Style_33_ch"/>
    <w:uiPriority w:val="39"/>
    <w:pPr>
      <w:widowControl w:val="1"/>
      <w:ind w:left="800"/>
    </w:pPr>
    <w:rPr>
      <w:rFonts w:ascii="XO Thames" w:hAnsi="XO Thames"/>
      <w:sz w:val="28"/>
    </w:rPr>
  </w:style>
  <w:style w:styleId="Style_33_ch" w:type="character">
    <w:name w:val="toc 5"/>
    <w:link w:val="Style_33"/>
    <w:rPr>
      <w:rFonts w:ascii="XO Thames" w:hAnsi="XO Thames"/>
      <w:sz w:val="28"/>
    </w:rPr>
  </w:style>
  <w:style w:styleId="Style_34" w:type="paragraph">
    <w:name w:val="Subtitle"/>
    <w:next w:val="Style_4"/>
    <w:link w:val="Style_34_ch"/>
    <w:uiPriority w:val="11"/>
    <w:qFormat/>
    <w:pPr>
      <w:widowControl w:val="1"/>
      <w:ind/>
      <w:jc w:val="both"/>
    </w:pPr>
    <w:rPr>
      <w:rFonts w:ascii="XO Thames" w:hAnsi="XO Thames"/>
      <w:i w:val="1"/>
      <w:sz w:val="24"/>
    </w:rPr>
  </w:style>
  <w:style w:styleId="Style_34_ch" w:type="character">
    <w:name w:val="Subtitle"/>
    <w:link w:val="Style_34"/>
    <w:rPr>
      <w:rFonts w:ascii="XO Thames" w:hAnsi="XO Thames"/>
      <w:i w:val="1"/>
      <w:sz w:val="24"/>
    </w:rPr>
  </w:style>
  <w:style w:styleId="Style_35" w:type="paragraph">
    <w:name w:val="Title"/>
    <w:next w:val="Style_4"/>
    <w:link w:val="Style_35_ch"/>
    <w:uiPriority w:val="10"/>
    <w:qFormat/>
    <w:pPr>
      <w:widowControl w:val="1"/>
      <w:spacing w:after="567" w:before="567"/>
      <w:ind/>
      <w:jc w:val="center"/>
    </w:pPr>
    <w:rPr>
      <w:rFonts w:ascii="XO Thames" w:hAnsi="XO Thames"/>
      <w:b w:val="1"/>
      <w:caps w:val="1"/>
      <w:sz w:val="40"/>
    </w:rPr>
  </w:style>
  <w:style w:styleId="Style_35_ch" w:type="character">
    <w:name w:val="Title"/>
    <w:link w:val="Style_35"/>
    <w:rPr>
      <w:rFonts w:ascii="XO Thames" w:hAnsi="XO Thames"/>
      <w:b w:val="1"/>
      <w:caps w:val="1"/>
      <w:sz w:val="40"/>
    </w:rPr>
  </w:style>
  <w:style w:styleId="Style_36" w:type="paragraph">
    <w:name w:val="heading 4"/>
    <w:next w:val="Style_4"/>
    <w:link w:val="Style_36_ch"/>
    <w:uiPriority w:val="9"/>
    <w:qFormat/>
    <w:pPr>
      <w:widowControl w:val="1"/>
      <w:spacing w:after="120" w:before="120"/>
      <w:ind/>
      <w:jc w:val="both"/>
      <w:outlineLvl w:val="3"/>
    </w:pPr>
    <w:rPr>
      <w:rFonts w:ascii="XO Thames" w:hAnsi="XO Thames"/>
      <w:b w:val="1"/>
      <w:sz w:val="24"/>
    </w:rPr>
  </w:style>
  <w:style w:styleId="Style_36_ch" w:type="character">
    <w:name w:val="heading 4"/>
    <w:link w:val="Style_36"/>
    <w:rPr>
      <w:rFonts w:ascii="XO Thames" w:hAnsi="XO Thames"/>
      <w:b w:val="1"/>
      <w:sz w:val="24"/>
    </w:rPr>
  </w:style>
  <w:style w:styleId="Style_37" w:type="paragraph">
    <w:name w:val="heading 2"/>
    <w:next w:val="Style_4"/>
    <w:link w:val="Style_37_ch"/>
    <w:uiPriority w:val="9"/>
    <w:qFormat/>
    <w:pPr>
      <w:widowControl w:val="1"/>
      <w:spacing w:after="120" w:before="120"/>
      <w:ind/>
      <w:jc w:val="both"/>
      <w:outlineLvl w:val="1"/>
    </w:pPr>
    <w:rPr>
      <w:rFonts w:ascii="XO Thames" w:hAnsi="XO Thames"/>
      <w:b w:val="1"/>
      <w:sz w:val="28"/>
    </w:rPr>
  </w:style>
  <w:style w:styleId="Style_37_ch" w:type="character">
    <w:name w:val="heading 2"/>
    <w:link w:val="Style_37"/>
    <w:rPr>
      <w:rFonts w:ascii="XO Thames" w:hAnsi="XO Thames"/>
      <w:b w:val="1"/>
      <w:sz w:val="28"/>
    </w:rPr>
  </w:style>
  <w:style w:styleId="Style_5" w:type="table">
    <w:name w:val="Table Grid"/>
    <w:basedOn w:val="Style_3"/>
    <w:pPr>
      <w:widowControl w:val="1"/>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8" Target="endnotes.xml" Type="http://schemas.openxmlformats.org/officeDocument/2006/relationships/endnotes"/>
  <Relationship Id="rId4" Target="stylesWithEffects.xml" Type="http://schemas.microsoft.com/office/2007/relationships/stylesWithEffects"/>
  <Relationship Id="rId9" Target="numbering.xml" Type="http://schemas.openxmlformats.org/officeDocument/2006/relationships/numbering"/>
  <Relationship Id="rId7" Target="footnotes.xml" Type="http://schemas.openxmlformats.org/officeDocument/2006/relationships/footnote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MyOffice-CoreFramework-Linux/36-1319.1058.9942.953.1@46b7dcda34ec2e7b641d33cb1d2b32a264be336a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2026-04-09T00:12:00Z</dcterms:created>
  <dcterms:modified xsi:type="dcterms:W3CDTF">2026-10-27T02:21:50Z</dcterms:modified>
</cp:coreProperties>
</file>