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3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6"/>
        <w:tblW w:type="auto" w:w="0"/>
        <w:jc w:val="center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229"/>
        <w:gridCol w:w="1760"/>
        <w:gridCol w:w="4394"/>
      </w:tblGrid>
      <w:tr>
        <w:tc>
          <w:tcPr>
            <w:tcW w:type="dxa" w:w="422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1"/>
              <w:ind/>
              <w:jc w:val="center"/>
            </w:pPr>
          </w:p>
          <w:p w14:paraId="08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Министерство</w:t>
            </w:r>
          </w:p>
          <w:p w14:paraId="09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жилищно-коммунального</w:t>
            </w:r>
          </w:p>
          <w:p w14:paraId="0A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хозяйства и энергетики</w:t>
            </w:r>
          </w:p>
          <w:p w14:paraId="0B000000">
            <w:pPr>
              <w:widowControl w:val="1"/>
              <w:ind/>
              <w:jc w:val="center"/>
            </w:pPr>
            <w:r>
              <w:rPr>
                <w:b w:val="1"/>
                <w:sz w:val="26"/>
              </w:rPr>
              <w:t>Республики Саха (Якутия</w:t>
            </w:r>
            <w:r>
              <w:rPr>
                <w:b w:val="1"/>
                <w:sz w:val="26"/>
              </w:rPr>
              <w:t>)</w:t>
            </w:r>
          </w:p>
        </w:tc>
        <w:tc>
          <w:tcPr>
            <w:tcW w:type="dxa" w:w="176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C000000">
            <w:pPr>
              <w:widowControl w:val="1"/>
              <w:ind/>
              <w:jc w:val="center"/>
            </w:pPr>
            <w: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79375</wp:posOffset>
                  </wp:positionH>
                  <wp:positionV relativeFrom="page">
                    <wp:posOffset>3175</wp:posOffset>
                  </wp:positionV>
                  <wp:extent cx="734695" cy="752475"/>
                  <wp:effectExtent b="0" l="0" r="0" t="0"/>
                  <wp:wrapTopAndBottom distB="0" distT="0"/>
                  <wp:docPr hidden="false" id="3" name="Picture 3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734695" cy="7524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39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1"/>
              <w:ind/>
              <w:jc w:val="center"/>
            </w:pPr>
          </w:p>
          <w:p w14:paraId="0E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 xml:space="preserve">Саха </w:t>
            </w:r>
            <w:r>
              <w:rPr>
                <w:b w:val="1"/>
                <w:sz w:val="26"/>
              </w:rPr>
              <w:t>Өрөспүүбүлүкэтин</w:t>
            </w:r>
          </w:p>
          <w:p w14:paraId="0F000000">
            <w:pPr>
              <w:widowControl w:val="1"/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олорор</w:t>
            </w:r>
            <w:r>
              <w:rPr>
                <w:b w:val="1"/>
                <w:sz w:val="26"/>
              </w:rPr>
              <w:t xml:space="preserve"> </w:t>
            </w:r>
            <w:r>
              <w:rPr>
                <w:b w:val="1"/>
                <w:sz w:val="26"/>
              </w:rPr>
              <w:t>дьиэҕэ</w:t>
            </w:r>
            <w:r>
              <w:rPr>
                <w:b w:val="1"/>
                <w:sz w:val="26"/>
              </w:rPr>
              <w:t xml:space="preserve">, </w:t>
            </w:r>
            <w:r>
              <w:rPr>
                <w:b w:val="1"/>
                <w:sz w:val="26"/>
              </w:rPr>
              <w:t>коммунальнай</w:t>
            </w:r>
          </w:p>
          <w:p w14:paraId="10000000">
            <w:pPr>
              <w:widowControl w:val="1"/>
              <w:ind/>
              <w:jc w:val="center"/>
            </w:pPr>
            <w:r>
              <w:rPr>
                <w:b w:val="1"/>
                <w:sz w:val="26"/>
              </w:rPr>
              <w:t>хаhаайыстыбаҕа</w:t>
            </w:r>
            <w:r>
              <w:rPr>
                <w:b w:val="1"/>
                <w:sz w:val="26"/>
              </w:rPr>
              <w:t xml:space="preserve"> </w:t>
            </w:r>
            <w:r>
              <w:rPr>
                <w:b w:val="1"/>
                <w:sz w:val="26"/>
              </w:rPr>
              <w:t>уонна</w:t>
            </w:r>
            <w:r>
              <w:rPr>
                <w:b w:val="1"/>
                <w:sz w:val="26"/>
              </w:rPr>
              <w:t xml:space="preserve"> </w:t>
            </w:r>
            <w:r>
              <w:rPr>
                <w:b w:val="1"/>
                <w:sz w:val="26"/>
              </w:rPr>
              <w:t>энергетикэҕэ</w:t>
            </w:r>
            <w:r>
              <w:rPr>
                <w:b w:val="1"/>
                <w:sz w:val="26"/>
              </w:rPr>
              <w:t xml:space="preserve"> </w:t>
            </w:r>
            <w:r>
              <w:rPr>
                <w:b w:val="1"/>
                <w:sz w:val="26"/>
              </w:rPr>
              <w:t>министиэристибэтэ</w:t>
            </w:r>
          </w:p>
        </w:tc>
      </w:tr>
    </w:tbl>
    <w:p w14:paraId="11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2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13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bookmarkStart w:id="1" w:name="REGDATESTAMP"/>
      <w:r>
        <w:rPr>
          <w:rFonts w:ascii="Times New Roman" w:hAnsi="Times New Roman"/>
          <w:sz w:val="28"/>
        </w:rPr>
        <w:t>_______________</w:t>
      </w:r>
      <w:bookmarkEnd w:id="1"/>
      <w:r>
        <w:rPr>
          <w:rFonts w:ascii="Times New Roman" w:hAnsi="Times New Roman"/>
          <w:sz w:val="28"/>
        </w:rPr>
        <w:t xml:space="preserve">                                            </w:t>
      </w:r>
      <w:bookmarkStart w:id="2" w:name="REGNUMSTAMP"/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8"/>
        </w:rPr>
        <w:t>№ _____________</w:t>
      </w:r>
      <w:bookmarkEnd w:id="2"/>
    </w:p>
    <w:p w14:paraId="14000000">
      <w:pPr>
        <w:widowControl w:val="1"/>
        <w:tabs>
          <w:tab w:leader="none" w:pos="4818" w:val="center"/>
          <w:tab w:leader="none" w:pos="6390" w:val="left"/>
        </w:tabs>
        <w:spacing w:after="0" w:before="240" w:line="276" w:lineRule="auto"/>
        <w:ind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Якутск</w:t>
      </w:r>
      <w:r>
        <w:rPr>
          <w:rFonts w:ascii="XO Thames" w:hAnsi="XO Thames"/>
          <w:sz w:val="28"/>
        </w:rPr>
        <w:tab/>
      </w:r>
    </w:p>
    <w:p w14:paraId="15000000">
      <w:pPr>
        <w:widowControl w:val="1"/>
        <w:spacing w:after="0" w:line="276" w:lineRule="auto"/>
        <w:ind/>
        <w:jc w:val="center"/>
        <w:rPr>
          <w:rFonts w:ascii="XO Thames" w:hAnsi="XO Thames"/>
          <w:b w:val="1"/>
          <w:sz w:val="28"/>
        </w:rPr>
      </w:pPr>
    </w:p>
    <w:p w14:paraId="16000000">
      <w:pPr>
        <w:widowControl w:val="1"/>
        <w:spacing w:after="0" w:line="276" w:lineRule="auto"/>
        <w:ind w:firstLine="850"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 xml:space="preserve">Об утверждении порядка предоставления субсидий из государственного бюджета Республики Саха (Якутия)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 </w:t>
      </w:r>
    </w:p>
    <w:p w14:paraId="1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1"/>
          <w:sz w:val="28"/>
        </w:rPr>
      </w:pPr>
    </w:p>
    <w:p w14:paraId="18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соответствии со статьями 78, 78.5 Бюджетного кодекса Российской Федерации, подпунктом 2 пункта 6 Указа Главы Республики Саха (Якутия) от 27 сентября 2018 г. № 2 «Об экологическом благополучии Республики Саха (Якутия) до 2030 года», </w:t>
      </w:r>
      <w:r>
        <w:rPr>
          <w:rFonts w:ascii="XO Thames" w:hAnsi="XO Thames"/>
          <w:sz w:val="28"/>
        </w:rPr>
        <w:t xml:space="preserve">постановлением Правительства Республики Саха (Якутия)  </w:t>
      </w:r>
      <w:r>
        <w:rPr>
          <w:rFonts w:ascii="XO Thames" w:hAnsi="XO Thames"/>
          <w:sz w:val="28"/>
        </w:rPr>
        <w:t>от 1 июля 2026 г. № 245 «Об исполнительных органах государственной власти Республики Саха (Якутия), уполномоченных на принятие актов, устанавливающих порядки предоставления субсидий, в том числе грантов в форме субсидий, указанных в пунктах 1 и 7 статьи 78, пунктах 2 и 4 статьи 78.1 Бюджетного кодекса Российской Федерации, и отбора получателей указанных субсидий, в том числе грантов в форме субсидий»</w:t>
      </w:r>
      <w:r>
        <w:rPr>
          <w:rFonts w:ascii="XO Thames" w:hAnsi="XO Thames"/>
          <w:sz w:val="28"/>
        </w:rPr>
        <w:t xml:space="preserve"> п р и к а з ы в а ю: </w:t>
      </w:r>
    </w:p>
    <w:p w14:paraId="19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 Утвердить порядок предоставления субсидий из государственного бюджета Республики Саха (Якутия)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(КОС), согласно приложению к настоящему приказу.</w:t>
      </w:r>
    </w:p>
    <w:p w14:paraId="1A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</w:t>
      </w:r>
      <w:r>
        <w:rPr>
          <w:rFonts w:ascii="Times New Roman" w:hAnsi="Times New Roman"/>
          <w:sz w:val="28"/>
        </w:rPr>
        <w:t xml:space="preserve">Контроль исполнения настоящего </w:t>
      </w:r>
      <w:r>
        <w:rPr>
          <w:rFonts w:ascii="Times New Roman" w:hAnsi="Times New Roman"/>
          <w:sz w:val="28"/>
        </w:rPr>
        <w:t>приказа</w:t>
      </w:r>
      <w:r>
        <w:rPr>
          <w:rFonts w:ascii="Times New Roman" w:hAnsi="Times New Roman"/>
          <w:sz w:val="28"/>
        </w:rPr>
        <w:t xml:space="preserve"> возложить на первого заместителя </w:t>
      </w:r>
      <w:r>
        <w:rPr>
          <w:rFonts w:ascii="Times New Roman" w:hAnsi="Times New Roman"/>
          <w:sz w:val="28"/>
        </w:rPr>
        <w:t>министра жилищно-коммунального хозяйства и энергетики Республики Саха (Якутия) Кириллина А.В.</w:t>
      </w:r>
    </w:p>
    <w:p w14:paraId="1B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Настоящ</w:t>
      </w:r>
      <w:r>
        <w:rPr>
          <w:rFonts w:ascii="Times New Roman" w:hAnsi="Times New Roman"/>
          <w:sz w:val="28"/>
        </w:rPr>
        <w:t>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приказ</w:t>
      </w:r>
      <w:r>
        <w:rPr>
          <w:rFonts w:ascii="Times New Roman" w:hAnsi="Times New Roman"/>
          <w:sz w:val="28"/>
        </w:rPr>
        <w:t xml:space="preserve"> вступает в силу с</w:t>
      </w:r>
      <w:r>
        <w:rPr>
          <w:rFonts w:ascii="Times New Roman" w:hAnsi="Times New Roman"/>
          <w:sz w:val="28"/>
        </w:rPr>
        <w:t xml:space="preserve"> 1 января 2027 года.</w:t>
      </w:r>
    </w:p>
    <w:tbl>
      <w:tblPr>
        <w:tblStyle w:val="Style_6"/>
        <w:tblW w:type="auto" w:w="0"/>
        <w:tblInd w:type="dxa" w:w="-289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2729"/>
        <w:gridCol w:w="4501"/>
        <w:gridCol w:w="2664"/>
      </w:tblGrid>
      <w:tr>
        <w:trPr>
          <w:trHeight w:hRule="atLeast" w:val="2307"/>
        </w:trPr>
        <w:tc>
          <w:tcPr>
            <w:tcW w:type="dxa" w:w="272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1C000000">
            <w:pPr>
              <w:widowControl w:val="1"/>
              <w:spacing w:after="160" w:line="259" w:lineRule="auto"/>
              <w:ind/>
              <w:rPr>
                <w:sz w:val="27"/>
              </w:rPr>
            </w:pPr>
            <w:bookmarkStart w:id="3" w:name="SIGNERPOST1"/>
            <w:r>
              <w:rPr>
                <w:sz w:val="28"/>
              </w:rPr>
              <w:t>Министр</w:t>
            </w:r>
            <w:bookmarkEnd w:id="3"/>
          </w:p>
        </w:tc>
        <w:tc>
          <w:tcPr>
            <w:tcW w:type="dxa" w:w="450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widowControl w:val="1"/>
              <w:spacing w:after="160" w:line="259" w:lineRule="auto"/>
              <w:ind/>
              <w:rPr>
                <w:sz w:val="27"/>
              </w:rPr>
            </w:pPr>
            <w:bookmarkStart w:id="4" w:name="SIGNERSTAMP1"/>
            <w:bookmarkEnd w:id="4"/>
          </w:p>
        </w:tc>
        <w:tc>
          <w:tcPr>
            <w:tcW w:type="dxa" w:w="266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1E000000">
            <w:pPr>
              <w:widowControl w:val="1"/>
              <w:spacing w:after="160" w:line="259" w:lineRule="auto"/>
              <w:ind/>
              <w:jc w:val="center"/>
              <w:rPr>
                <w:sz w:val="27"/>
              </w:rPr>
            </w:pPr>
            <w:bookmarkStart w:id="5" w:name="SIGNERNAME1"/>
            <w:r>
              <w:rPr>
                <w:sz w:val="27"/>
              </w:rPr>
              <w:t>ФИО</w:t>
            </w:r>
            <w:bookmarkEnd w:id="5"/>
          </w:p>
        </w:tc>
      </w:tr>
    </w:tbl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bookmarkStart w:id="6" w:name="_GoBack"/>
      <w:bookmarkEnd w:id="6"/>
    </w:p>
    <w:p w14:paraId="2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1000000">
      <w:pPr>
        <w:widowControl w:val="1"/>
        <w:spacing w:after="0" w:line="240" w:lineRule="auto"/>
        <w:ind/>
        <w:jc w:val="both"/>
      </w:pPr>
    </w:p>
    <w:p w14:paraId="2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8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49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приказу Министерства</w:t>
      </w:r>
    </w:p>
    <w:p w14:paraId="4A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жилищно-коммунального</w:t>
      </w:r>
    </w:p>
    <w:p w14:paraId="4B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хозяйства и энергетики</w:t>
      </w:r>
    </w:p>
    <w:p w14:paraId="4C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Республики Саха (Якутия)</w:t>
      </w:r>
    </w:p>
    <w:p w14:paraId="4D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_____________ № ______</w:t>
      </w:r>
    </w:p>
    <w:p w14:paraId="4E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</w:p>
    <w:p w14:paraId="4F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0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</w:p>
    <w:p w14:paraId="51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 xml:space="preserve">ПОРЯДОК </w:t>
      </w:r>
    </w:p>
    <w:p w14:paraId="52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предоставления субсидий из государственного бюджета Республики Саха (Якутия)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</w:t>
      </w:r>
    </w:p>
    <w:p w14:paraId="53000000">
      <w:pPr>
        <w:widowControl w:val="1"/>
        <w:spacing w:after="0" w:line="360" w:lineRule="auto"/>
        <w:ind/>
        <w:jc w:val="center"/>
        <w:rPr>
          <w:rFonts w:ascii="XO Thames" w:hAnsi="XO Thames"/>
          <w:b w:val="1"/>
          <w:sz w:val="28"/>
        </w:rPr>
      </w:pPr>
    </w:p>
    <w:p w14:paraId="54000000">
      <w:pPr>
        <w:widowControl w:val="1"/>
        <w:numPr>
          <w:ilvl w:val="0"/>
          <w:numId w:val="1"/>
        </w:numPr>
        <w:spacing w:after="0" w:line="360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Общие положения</w:t>
      </w:r>
    </w:p>
    <w:p w14:paraId="5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1.1. Настоящий порядок разработан в соответствии с подпунктом 2 пункта 2 статьи 78, абзацем вторым пункта 4 статьи 78.5 Бюджетного кодекса Российской Федерации,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субсидий».</w:t>
      </w:r>
    </w:p>
    <w:p w14:paraId="5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Порядок определяет предоставление субсидий и проведение отбора получателей субсидий из государственного бюджета Республики Саха (Якутия)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(КОС). </w:t>
      </w:r>
    </w:p>
    <w:p w14:paraId="5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1.2. Для целей настоящего порядка используются следующие понятия: субсидии - бюджетные средства, предоставляемые на безвозмездной и безвозвратной основе на 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(КОС); </w:t>
      </w:r>
    </w:p>
    <w:p w14:paraId="5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хозяйствующий субъект - юридическое лицо (за исключением государственных и муниципальных учреждений), индивидуальный предприниматель, осуществляющие свою основную деятельность на территории Республики Саха (Якутия) и претендующие на право получения субсидии; </w:t>
      </w:r>
    </w:p>
    <w:p w14:paraId="5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получатель субсидии – хозяйствующий субъект, получивший право на получение субсидии в соответствии с настоящим порядком; </w:t>
      </w:r>
    </w:p>
    <w:p w14:paraId="5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договор лизинга – договор, в соответствии с которым арендодатель (далее - лизингодатель) обязуется приобрести в собственность указанное арендатором (далее - лизингополучатель) имущество у определенного им продавца и предоставить лизингополучателю это имущество за плату во временное владение и пользование. Для целей настоящего порядка – договор, по которому получатель субсидии произвел заимствование денежных средств у лизингодателя на приобретение оборудования по спецификации «Комплекс модульных очистных сооружений», в том числе заключенный в соответствии с Федеральным законом от 18 июля 2011 г. № 223-ФЗ «О закупках товаров, работ, услуг отдельными видами юридических лиц»;</w:t>
      </w:r>
    </w:p>
    <w:p w14:paraId="5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лизинговый платеж – сумма платежей по договору лизинга на соответствующий финансовый год, в которую входит возмещение затрат лизингодателя, связанных с приобретением и передачей предмета лизинга лизингополучателю, возмещение затрат, связанных с оказанием других предусмотренных договором лизинга услуг, а также доход лизингодателя. В общую сумму договора лизинга может включаться выкупная цена предмета лизинга, если договором лизинга предусмотрен переход права собственности на предмет лизинга к лизингополучателю; </w:t>
      </w:r>
    </w:p>
    <w:p w14:paraId="5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комплекс модульных очистных сооружений (КОС) - набор технологического оборудования, позволяющий очистить сточные воды до установленных нормативных показателей, с дальнейшим сбросом очищенных вод в водоем.</w:t>
      </w:r>
    </w:p>
    <w:p w14:paraId="5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1.3. Целью предоставления субсидий является снижение сброса неочищенных сточных вод и/или снижение износа объектов водоотведения путем реализации мероприятия «Возмещение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(КОС)» ведомственного проекта № 6 «Модернизация объектов водоснабжения, водоотведения и очистки сточных вод» государственной программы Республики Саха (Якутия) «Обеспечение качественными жилищно-коммунальными услугами и развитие энергетики Республики Саха (Якутия)», утвержденной постановлением Правительства Республики Саха (Якутия) от 18 июля 2022 г. № 443. </w:t>
      </w:r>
    </w:p>
    <w:p w14:paraId="5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1.4. Министерство жилищно-коммунального хозяйства и энергетики Республики Саха (Якутия) - главный распорядитель бюджетных средств государственного бюджета Республики Саха (Якутия), которому в соответствии с бюджетным законодательством Российской Федерации, как получателю бюджетных средств, направлены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(далее – Министерство). </w:t>
      </w:r>
    </w:p>
    <w:p w14:paraId="5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1.5. Способ предоставления субсидий является возмещение затрат на уплату лизинговых платежей, возникших при приобретении оборудования «Комплекс модульных очистных сооружений». </w:t>
      </w:r>
    </w:p>
    <w:p w14:paraId="6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1.6. Сведения о субсидиях размещаются на едином портале бюджетной системы Российской Федерации в информационно-телекоммуникационной сети Интернет (далее - единый портал) (в разделе единого портала)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информации о субсидиях, в том числе предусмотренных законом (решением) о бюджете (законом (решением) о внесении изменений в закон (решение) о бюджете), в порядке, установленном Министерством финансов Российской Федерации.</w:t>
      </w:r>
    </w:p>
    <w:p w14:paraId="61000000">
      <w:pPr>
        <w:widowControl w:val="1"/>
        <w:spacing w:after="0" w:line="276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2. Порядок проведения отбора </w:t>
      </w:r>
    </w:p>
    <w:p w14:paraId="62000000">
      <w:pPr>
        <w:widowControl w:val="1"/>
        <w:spacing w:after="0" w:line="276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</w:t>
      </w:r>
    </w:p>
    <w:p w14:paraId="6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2.1. Способом проведения отбора получателей субсидий является запрос предложений, исходя из соответствия участников отбора получателей субсидий критериям и очередности поступления предложений на участие в отборе получателей субсидий.</w:t>
      </w:r>
    </w:p>
    <w:p w14:paraId="6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2.2. Отбор предложений проводится на едином портале в государственной интегрированной информационной системе управления общественными финансами «Электронный бюджет».</w:t>
      </w:r>
    </w:p>
    <w:p w14:paraId="6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2.3. Объявление о проведении отбора утверждается приказом и размещается на едином портале и на официальном сайте Министерства </w:t>
      </w:r>
      <w:r>
        <w:rPr>
          <w:rStyle w:val="Style_7_ch"/>
          <w:rFonts w:ascii="XO Thames" w:hAnsi="XO Thames"/>
          <w:sz w:val="28"/>
        </w:rPr>
        <w:fldChar w:fldCharType="begin"/>
      </w:r>
      <w:r>
        <w:rPr>
          <w:rStyle w:val="Style_7_ch"/>
          <w:rFonts w:ascii="XO Thames" w:hAnsi="XO Thames"/>
          <w:sz w:val="28"/>
        </w:rPr>
        <w:instrText>HYPERLINK "https://mingkh.sakha.gov.ru/"</w:instrText>
      </w:r>
      <w:r>
        <w:rPr>
          <w:rStyle w:val="Style_7_ch"/>
          <w:rFonts w:ascii="XO Thames" w:hAnsi="XO Thames"/>
          <w:sz w:val="28"/>
        </w:rPr>
        <w:fldChar w:fldCharType="separate"/>
      </w:r>
      <w:r>
        <w:rPr>
          <w:rStyle w:val="Style_7_ch"/>
          <w:rFonts w:ascii="XO Thames" w:hAnsi="XO Thames"/>
          <w:sz w:val="28"/>
        </w:rPr>
        <w:t>https://mingkh.sakha.gov.ru/</w:t>
      </w:r>
      <w:r>
        <w:rPr>
          <w:rStyle w:val="Style_7_ch"/>
          <w:rFonts w:ascii="XO Thames" w:hAnsi="XO Thames"/>
          <w:sz w:val="28"/>
        </w:rPr>
        <w:fldChar w:fldCharType="end"/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информационно-телекоммуникационной сети Интернет не позднее двух рабочих дней с момента издания приказа со сроком </w:t>
      </w:r>
      <w:r>
        <w:rPr>
          <w:rFonts w:ascii="XO Thames" w:hAnsi="XO Thames"/>
          <w:sz w:val="28"/>
        </w:rPr>
        <w:t>окончания приема заявок 10 календарных дней, следующего за днем размещения объявления о проведении отбора</w:t>
      </w:r>
      <w:r>
        <w:rPr>
          <w:rFonts w:ascii="XO Thames" w:hAnsi="XO Thames"/>
          <w:sz w:val="28"/>
        </w:rPr>
        <w:t xml:space="preserve"> с указанием следующей информации: </w:t>
      </w:r>
    </w:p>
    <w:p w14:paraId="6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1) сроки проведения отбора; </w:t>
      </w:r>
    </w:p>
    <w:p w14:paraId="6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2) даты начала подачи и окончания приема предложений (заявок)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отбора; </w:t>
      </w:r>
    </w:p>
    <w:p w14:paraId="68000000">
      <w:pPr>
        <w:widowControl w:val="1"/>
        <w:spacing w:after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3) наименование, место нахождения, адрес электронной почты Министерства;</w:t>
      </w:r>
    </w:p>
    <w:p w14:paraId="6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4) результаты предоставления субсидий в соответствии с пунктом 3.13 настоящего порядка; </w:t>
      </w:r>
    </w:p>
    <w:p w14:paraId="6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5) доменное имя и (или) указатели страниц государственной информационной системы в сети Интернет;</w:t>
      </w:r>
    </w:p>
    <w:p w14:paraId="6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6) требования к участникам отбора, определенные в соответствии с пунктом 2.4 настоящего порядка, и к перечню документов, представляемых участниками отбора для подтверждения их соответствия указанным требованиям, в соответствии с пунктом 2.5 настоящего порядка; </w:t>
      </w:r>
    </w:p>
    <w:p w14:paraId="6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7) критерии участников отбора; </w:t>
      </w:r>
    </w:p>
    <w:p w14:paraId="6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8) порядок подачи участниками отбора предложений и требований, предъявляемых к форме и содержанию предложений, подаваемых участниками отбора;</w:t>
      </w:r>
    </w:p>
    <w:p w14:paraId="6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9) порядок отзыва предложений участников отбора, порядок возврата предложений участников отбора, определяющего, в том числе основания для возврата предложений участников отбора, порядок внесения изменений в предложения участников отбора; </w:t>
      </w:r>
    </w:p>
    <w:p w14:paraId="6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10) порядок рассмотрения предложений участников отбора в соответствии с пунктом 2.10 настоящего порядка; </w:t>
      </w:r>
    </w:p>
    <w:p w14:paraId="7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11) порядок возврата предложений на доработку; </w:t>
      </w:r>
    </w:p>
    <w:p w14:paraId="7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12) порядок отклонения предложений, а также информация об основаниях их отклонения, предусмотренных пунктом 2.12 настоящего порядка; </w:t>
      </w:r>
    </w:p>
    <w:p w14:paraId="7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13) объем распределяемой субсидии в рамках отбора, порядок расчета размера субсидии, установленный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 </w:t>
      </w:r>
    </w:p>
    <w:p w14:paraId="7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14) порядок предоставления участникам отбора разъяснений положений объявления, даты начала и окончания срока такого предоставления в соответствии с пунктами 2.9 настоящего порядка; </w:t>
      </w:r>
    </w:p>
    <w:p w14:paraId="7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15) срок, в течение которого победитель (победители) отбора должен подписать соглашение, предусмотренный абзацем вторым пункта 3.9 настоящего порядка;</w:t>
      </w:r>
    </w:p>
    <w:p w14:paraId="7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16) условия признания победителя (победителей) отбора уклонившимся от заключения соглашения, предусмотренное абзацем пятым пункта 3.9 настоящего порядка; </w:t>
      </w:r>
    </w:p>
    <w:p w14:paraId="7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17) срок размещения протокола подведения итогов отбора (документа об итогах отбора) на едином портале и на официальном сайте Министерства </w:t>
      </w:r>
      <w:r>
        <w:rPr>
          <w:rFonts w:ascii="XO Thames" w:hAnsi="XO Thames"/>
          <w:sz w:val="28"/>
        </w:rPr>
        <w:t>https://mingkh.sakha.gov.ru/</w:t>
      </w:r>
      <w:r>
        <w:rPr>
          <w:rFonts w:ascii="XO Thames" w:hAnsi="XO Thames"/>
          <w:sz w:val="28"/>
        </w:rPr>
        <w:t xml:space="preserve"> в информационно-телекоммуникационной сети Интернет, который не может быть позднее одного рабочего дня, следующего за днем определения победителя отбора. </w:t>
      </w:r>
    </w:p>
    <w:p w14:paraId="77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2.3.1. </w:t>
      </w:r>
      <w:r>
        <w:rPr>
          <w:rFonts w:ascii="PT Astra Serif" w:hAnsi="PT Astra Serif"/>
          <w:sz w:val="28"/>
        </w:rPr>
        <w:t>В случае выявления опечаток и (или) ошибок в объявлении об отборе, а также изменения сроков приема предложений на участие в отборе получателей субсидий, уменьшения бюджетных ассигнований, предусмотренных законом о государственном бюджете Республики Саха (Якутия) на очередной финансовый год и на плановый период, Министерство принимает решение о внесении изменений в объявление об отборе в форме приказа не позднее чем за три рабочих дня до дня завершения приема предложений.</w:t>
      </w:r>
    </w:p>
    <w:p w14:paraId="78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Решение о внесении изменений в объявление об отборе утверждается приказом Министерства и размещается на едином портале и на официальном сайте Министерства в информационно-телекоммуникационной сети Интернет не позднее следующего рабочего дня за днем его подписания. </w:t>
      </w:r>
      <w:r>
        <w:rPr>
          <w:rFonts w:ascii="XO Thames" w:hAnsi="XO Thames"/>
          <w:sz w:val="28"/>
        </w:rPr>
        <w:t>При этом срок подачи предложений на участие в отборе должен быть продлен, чтобы со дня размещения внесенных в объявление об отборе изменений до даты окончания подачи предложений на участие в отборе такой срок составлял не менее</w:t>
      </w:r>
      <w:r>
        <w:rPr>
          <w:rFonts w:ascii="XO Thames" w:hAnsi="XO Thames"/>
          <w:sz w:val="28"/>
        </w:rPr>
        <w:t xml:space="preserve"> 3 календарных дней.</w:t>
      </w:r>
    </w:p>
    <w:p w14:paraId="79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 внесении изменений в объявление о проведении отбора получателей субсидий изменение способа отбора получателей субсидий не допускается.</w:t>
      </w:r>
    </w:p>
    <w:p w14:paraId="7A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положение, предусматривающее право участников отбора получателей субсидий внести изменения в заявки.</w:t>
      </w:r>
    </w:p>
    <w:p w14:paraId="7B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Участники отбора получателей субсидий, подавшие заявку, уведомляются о внесении изменений в объявление о проведении отбора получателей субсидий не позднее дня, следующего за днем внесения изменений в объявление о проведении отбора получателей субсидий, с использованием системы </w:t>
      </w:r>
      <w:r>
        <w:rPr>
          <w:rFonts w:ascii="PT Astra Serif" w:hAnsi="PT Astra Serif"/>
          <w:sz w:val="28"/>
        </w:rPr>
        <w:t>«Электронный бюджет».</w:t>
      </w:r>
    </w:p>
    <w:p w14:paraId="7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2.4. Т</w:t>
      </w:r>
      <w:r>
        <w:rPr>
          <w:rStyle w:val="Style_2_ch"/>
          <w:rFonts w:ascii="PT Astra Serif" w:hAnsi="PT Astra Serif"/>
          <w:sz w:val="28"/>
        </w:rPr>
        <w:t xml:space="preserve">ребования к участникам </w:t>
      </w:r>
      <w:r>
        <w:rPr>
          <w:rStyle w:val="Style_2_ch"/>
          <w:rFonts w:ascii="PT Astra Serif" w:hAnsi="PT Astra Serif"/>
          <w:sz w:val="28"/>
        </w:rPr>
        <w:t xml:space="preserve">отбора, которым он должен соответствовать по состоянию на даты </w:t>
      </w:r>
      <w:r>
        <w:rPr>
          <w:rStyle w:val="Style_2_ch"/>
          <w:rFonts w:ascii="PT Astra Serif" w:hAnsi="PT Astra Serif"/>
          <w:sz w:val="28"/>
        </w:rPr>
        <w:t>рассмотрения предложения и заключения соглашений:</w:t>
      </w:r>
    </w:p>
    <w:p w14:paraId="7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а)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7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б)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в)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8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г) получатель субсидии (участник отбора)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8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д) 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8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е) получатель субсидии (участник отбора) не должен получать средства из государственного бюджета Республики Саха (Якутия) на основании иных нормативных правовых актов Республики Саха (Якутия) на цели, установленные настоящим порядком;</w:t>
      </w:r>
    </w:p>
    <w:p w14:paraId="8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ж) получатель субсидии (участник отбора)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заявители - индивидуальные предприниматели не должны прекратить деятельность в качестве индивидуального предпринимателя; </w:t>
      </w:r>
    </w:p>
    <w:p w14:paraId="8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з)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- производителе товаров, работ, услуг, являющихся участником отбора. </w:t>
      </w:r>
    </w:p>
    <w:p w14:paraId="85000000">
      <w:pPr>
        <w:widowControl w:val="1"/>
        <w:spacing w:after="0" w:line="360" w:lineRule="auto"/>
        <w:ind w:firstLine="85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и)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у получателя субсидии (участника отбора) отсутствует просроченная задолженность по возврату в государственный бюджет Республики Саха (Якутия),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администрацией).</w:t>
      </w:r>
    </w:p>
    <w:p w14:paraId="86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Style w:val="Style_2_ch"/>
          <w:rFonts w:ascii="XO Thames" w:hAnsi="XO Thames"/>
          <w:sz w:val="28"/>
        </w:rPr>
        <w:t>2.4.1. Проверка участн</w:t>
      </w:r>
      <w:r>
        <w:rPr>
          <w:rFonts w:ascii="XO Thames" w:hAnsi="XO Thames"/>
          <w:sz w:val="28"/>
        </w:rPr>
        <w:t>ика отбора на соответствие требованиям, определенным пунктом 2.4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14:paraId="87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случае отсутствия технической возможности осуществления автоматической проверки в системе «Электронный бюджет» участник отбора проставляет в электронном виде отметку о своем соответствии требованиям, определенным пунктом 2.4 настоящего порядка, посредством заполнения соответствующих экранных форм веб-интерфейса системы «Электронный бюджет».</w:t>
      </w:r>
    </w:p>
    <w:p w14:paraId="88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Участник отбора вправе предоставить документы, подтверждающие его соответствие требованиям, определенным пунктом 2.4 настоящего порядка, по собственной инициативе.</w:t>
      </w:r>
    </w:p>
    <w:p w14:paraId="89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Министерством запрещено требовать предоставления от участника отбора информации и документов, подтверждающих его соответствие требованиям, в случае если информация об участнике отбора имеется в государственных информационных системах, доступ к которым у главного распорядителя бюджетных средств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главному распорядителю бюджетных средств по собственной инициативе.</w:t>
      </w:r>
    </w:p>
    <w:p w14:paraId="8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2.5. Перечень документов для подачи предложения в сроки, установленные пунктом 2.3 настоящего порядка:</w:t>
      </w:r>
    </w:p>
    <w:p w14:paraId="8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а) предложение, подписанное руководителем хозяйствующего субъекта;</w:t>
      </w:r>
    </w:p>
    <w:p w14:paraId="8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б) копия устава участника отбора; </w:t>
      </w:r>
    </w:p>
    <w:p w14:paraId="8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в) справки, подтверждающие соответствие участника отбора требованиям, указанным в пункте 2.4 настоящего порядка, подписанные руководителем хозяйствующего субъекта, представляемые по собственной инициативе участника отбора; </w:t>
      </w:r>
    </w:p>
    <w:p w14:paraId="8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г) выписка из единого государственного реестра недвижимости об объекте недвижимости земельного участка и (или) документ, подтверждающий право пользования на земельный участок, где устанавливается и (или) установлен комплекс модульных очистных сооружений (КОС);</w:t>
      </w:r>
    </w:p>
    <w:p w14:paraId="8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д) копия договора лизинга, предметом которого является приобретение оборудования по спецификации «Комплекс модульных очистных сооружений»; </w:t>
      </w:r>
    </w:p>
    <w:p w14:paraId="9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е) опись вложенных документов.</w:t>
      </w:r>
    </w:p>
    <w:p w14:paraId="9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2.6. Критериями отбора получателей субсидий являются:</w:t>
      </w:r>
    </w:p>
    <w:p w14:paraId="9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а) хозяйствующие субъекты, осуществляющие деятельность по водоснабжению и водоотведению на территории Республики Саха (Якутия); </w:t>
      </w:r>
    </w:p>
    <w:p w14:paraId="9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б) наличие статуса гарантирующей организации в сфере водоснабжения или водоотведения на территории муниципального образования - места доставки/эксплуатации оборудования согласно договору лизинга; </w:t>
      </w:r>
    </w:p>
    <w:p w14:paraId="9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в) выписка из единого государственного реестра недвижимости об объекте недвижимости земельного участка и (или) документ, подтверждающий право пользования на земельный участок, где устанавливается и (или) установлен комплекс модульных очистных сооружений (КОС);</w:t>
      </w:r>
    </w:p>
    <w:p w14:paraId="9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г) наличие договора лизинга, предметом которого является приобретение оборудования по спецификации «Комплекс модульных очистных сооружений».</w:t>
      </w:r>
    </w:p>
    <w:p w14:paraId="9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2.7. </w:t>
      </w:r>
      <w:r>
        <w:rPr>
          <w:rFonts w:ascii="PT Astra Serif" w:hAnsi="PT Astra Serif"/>
          <w:sz w:val="28"/>
        </w:rPr>
        <w:t>Формирование участниками отбора предложений в электронной форме производится посредством заполнения соответствующих экранных форм веб-интерфейса системы «Электронный бюджет» и представление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отбора, пунктом 2.5 настоящего порядка.</w:t>
      </w:r>
    </w:p>
    <w:p w14:paraId="97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Предложение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98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Ответственность за полноту и достоверность информации и документов, содержащихся в предложении, а также за своевременность их представления несет участник отбора получателей субсидий в соответствии с законодательством Российской Федерации.</w:t>
      </w:r>
    </w:p>
    <w:p w14:paraId="9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PT Astra Serif" w:hAnsi="PT Astra Serif"/>
          <w:sz w:val="28"/>
        </w:rPr>
        <w:t>Электронные копии документов и материалы, включаемые в предложение,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9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2.8. Участник отбора вправе:</w:t>
      </w:r>
    </w:p>
    <w:p w14:paraId="9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а) </w:t>
      </w:r>
      <w:r>
        <w:rPr>
          <w:rStyle w:val="Style_2_ch"/>
          <w:rFonts w:ascii="PT Astra Serif" w:hAnsi="PT Astra Serif"/>
          <w:sz w:val="28"/>
        </w:rPr>
        <w:t>в течение срока подачи (приема) предложений, указанного в пункте 2.3 настоящего порядка, обратиться в Министерство за разъяснением положений в электронной форме в системе «Электронный бюджет»;</w:t>
      </w:r>
    </w:p>
    <w:p w14:paraId="9C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Style w:val="Style_2_ch"/>
          <w:rFonts w:ascii="PT Astra Serif" w:hAnsi="PT Astra Serif"/>
          <w:sz w:val="28"/>
        </w:rPr>
        <w:t>б) отозвать предложение, направив официально</w:t>
      </w:r>
      <w:r>
        <w:rPr>
          <w:rFonts w:ascii="PT Astra Serif" w:hAnsi="PT Astra Serif"/>
          <w:sz w:val="28"/>
        </w:rPr>
        <w:t>е обращение в электронной форме посредством заполнения соответствующих экранных форм веб-интерфейса системы «Электронный бюджет» и представление в систему «Электронный бюджет» электронных копий обоснования мотивированной причины отзыва (документов на бумажном носителе, преобразованных в электронную форму путем сканирования);</w:t>
      </w:r>
    </w:p>
    <w:p w14:paraId="9D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в) основанием для возврата предложения является поступление в адрес Министерства официального обращения в электронной форме посредством заполнения соответствующих экранных форм веб-интерфейса системы «Электронный бюджет». </w:t>
      </w:r>
    </w:p>
    <w:p w14:paraId="9E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Возврат предложения осуществляется в течение пяти рабочих дней со дня поступления обращения участника отбора;</w:t>
      </w:r>
    </w:p>
    <w:p w14:paraId="9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г) внести изменения в предложение и в пакет документов, а также представить недостающие документы с сопроводительным письмом в Министерство с описью приложенных документов в течение срока подачи (приема) документов, указанного в объявлении.</w:t>
      </w:r>
    </w:p>
    <w:p w14:paraId="A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2.9. </w:t>
      </w:r>
      <w:r>
        <w:rPr>
          <w:rFonts w:ascii="PT Astra Serif" w:hAnsi="PT Astra Serif"/>
          <w:color w:themeColor="text1" w:val="000000"/>
          <w:sz w:val="28"/>
        </w:rPr>
        <w:t>Датой представления участником отбора заявки считается день подписания участником отбора заявки с присвоением ему регистрационного номера в системе "Электронный бюджет».</w:t>
      </w:r>
    </w:p>
    <w:p w14:paraId="A1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2.10. </w:t>
      </w:r>
      <w:r>
        <w:rPr>
          <w:rFonts w:ascii="PT Astra Serif" w:hAnsi="PT Astra Serif"/>
          <w:sz w:val="28"/>
        </w:rPr>
        <w:t>В целях определения получателей субсидий приказом Министерства создается комиссия в составе не менее пяти человек (далее - комиссия) и утверждается порядок ее работы. Комиссия в течение 5 рабочих дней со дня окончания приема предложений:</w:t>
      </w:r>
    </w:p>
    <w:p w14:paraId="A2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рассматривает</w:t>
      </w:r>
      <w:r>
        <w:rPr>
          <w:rFonts w:ascii="PT Astra Serif" w:hAnsi="PT Astra Serif"/>
          <w:spacing w:val="-14"/>
          <w:sz w:val="28"/>
        </w:rPr>
        <w:t xml:space="preserve"> </w:t>
      </w:r>
      <w:r>
        <w:rPr>
          <w:rFonts w:ascii="PT Astra Serif" w:hAnsi="PT Astra Serif"/>
          <w:sz w:val="28"/>
        </w:rPr>
        <w:t>предложения (доработанные предлож</w:t>
      </w:r>
      <w:r>
        <w:rPr>
          <w:rFonts w:ascii="PT Astra Serif" w:hAnsi="PT Astra Serif"/>
          <w:spacing w:val="-15"/>
          <w:sz w:val="28"/>
        </w:rPr>
        <w:t xml:space="preserve">ения) 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pacing w:val="-13"/>
          <w:sz w:val="28"/>
        </w:rPr>
        <w:t xml:space="preserve"> </w:t>
      </w:r>
      <w:r>
        <w:rPr>
          <w:rFonts w:ascii="PT Astra Serif" w:hAnsi="PT Astra Serif"/>
          <w:sz w:val="28"/>
        </w:rPr>
        <w:t>приложенные</w:t>
      </w:r>
      <w:r>
        <w:rPr>
          <w:rFonts w:ascii="PT Astra Serif" w:hAnsi="PT Astra Serif"/>
          <w:spacing w:val="-13"/>
          <w:sz w:val="28"/>
        </w:rPr>
        <w:t xml:space="preserve"> </w:t>
      </w:r>
      <w:r>
        <w:rPr>
          <w:rFonts w:ascii="PT Astra Serif" w:hAnsi="PT Astra Serif"/>
          <w:sz w:val="28"/>
        </w:rPr>
        <w:t>документы</w:t>
      </w:r>
      <w:r>
        <w:rPr>
          <w:rFonts w:ascii="PT Astra Serif" w:hAnsi="PT Astra Serif"/>
          <w:spacing w:val="-13"/>
          <w:sz w:val="28"/>
        </w:rPr>
        <w:t xml:space="preserve"> </w:t>
      </w:r>
      <w:r>
        <w:rPr>
          <w:rFonts w:ascii="PT Astra Serif" w:hAnsi="PT Astra Serif"/>
          <w:sz w:val="28"/>
        </w:rPr>
        <w:t>на</w:t>
      </w:r>
      <w:r>
        <w:rPr>
          <w:rFonts w:ascii="PT Astra Serif" w:hAnsi="PT Astra Serif"/>
          <w:spacing w:val="-13"/>
          <w:sz w:val="28"/>
        </w:rPr>
        <w:t xml:space="preserve"> </w:t>
      </w:r>
      <w:r>
        <w:rPr>
          <w:rFonts w:ascii="PT Astra Serif" w:hAnsi="PT Astra Serif"/>
          <w:sz w:val="28"/>
        </w:rPr>
        <w:t>соответствие участников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отбора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критериям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получателей</w:t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субсидий,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установленным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пункте 2.6</w:t>
      </w:r>
      <w:r>
        <w:rPr>
          <w:rFonts w:ascii="PT Astra Serif" w:hAnsi="PT Astra Serif"/>
          <w:spacing w:val="-9"/>
          <w:sz w:val="28"/>
        </w:rPr>
        <w:t xml:space="preserve"> </w:t>
      </w:r>
      <w:r>
        <w:rPr>
          <w:rFonts w:ascii="PT Astra Serif" w:hAnsi="PT Astra Serif"/>
          <w:sz w:val="28"/>
        </w:rPr>
        <w:t>настоящего</w:t>
      </w:r>
      <w:r>
        <w:rPr>
          <w:rFonts w:ascii="PT Astra Serif" w:hAnsi="PT Astra Serif"/>
          <w:spacing w:val="-6"/>
          <w:sz w:val="28"/>
        </w:rPr>
        <w:t xml:space="preserve"> </w:t>
      </w:r>
      <w:r>
        <w:rPr>
          <w:rFonts w:ascii="PT Astra Serif" w:hAnsi="PT Astra Serif"/>
          <w:sz w:val="28"/>
        </w:rPr>
        <w:t>порядка,</w:t>
      </w:r>
      <w:r>
        <w:rPr>
          <w:rFonts w:ascii="PT Astra Serif" w:hAnsi="PT Astra Serif"/>
          <w:spacing w:val="-1"/>
          <w:sz w:val="28"/>
        </w:rPr>
        <w:t xml:space="preserve"> 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-4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5"/>
          <w:sz w:val="28"/>
        </w:rPr>
        <w:t xml:space="preserve"> </w:t>
      </w:r>
      <w:r>
        <w:rPr>
          <w:rFonts w:ascii="PT Astra Serif" w:hAnsi="PT Astra Serif"/>
          <w:sz w:val="28"/>
        </w:rPr>
        <w:t>течение</w:t>
      </w:r>
      <w:r>
        <w:rPr>
          <w:rFonts w:ascii="PT Astra Serif" w:hAnsi="PT Astra Serif"/>
          <w:spacing w:val="-3"/>
          <w:sz w:val="28"/>
        </w:rPr>
        <w:t xml:space="preserve"> </w:t>
      </w:r>
      <w:r>
        <w:rPr>
          <w:rFonts w:ascii="PT Astra Serif" w:hAnsi="PT Astra Serif"/>
          <w:sz w:val="28"/>
        </w:rPr>
        <w:t>двух</w:t>
      </w:r>
      <w:r>
        <w:rPr>
          <w:rFonts w:ascii="PT Astra Serif" w:hAnsi="PT Astra Serif"/>
          <w:spacing w:val="-2"/>
          <w:sz w:val="28"/>
        </w:rPr>
        <w:t xml:space="preserve"> </w:t>
      </w:r>
      <w:r>
        <w:rPr>
          <w:rFonts w:ascii="PT Astra Serif" w:hAnsi="PT Astra Serif"/>
          <w:sz w:val="28"/>
        </w:rPr>
        <w:t>рабочих</w:t>
      </w:r>
      <w:r>
        <w:rPr>
          <w:rFonts w:ascii="PT Astra Serif" w:hAnsi="PT Astra Serif"/>
          <w:spacing w:val="-6"/>
          <w:sz w:val="28"/>
        </w:rPr>
        <w:t xml:space="preserve"> </w:t>
      </w:r>
      <w:r>
        <w:rPr>
          <w:rFonts w:ascii="PT Astra Serif" w:hAnsi="PT Astra Serif"/>
          <w:spacing w:val="-2"/>
          <w:sz w:val="28"/>
        </w:rPr>
        <w:t>дней;</w:t>
      </w:r>
    </w:p>
    <w:p w14:paraId="A3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рассматривает приложенные документы на соответствие участников отбора требованиям, установленным пунктом 2.4, и рассматривает предоставленные документы в соответствии с пунктом 2.5 настоящего порядка.</w:t>
      </w:r>
    </w:p>
    <w:p w14:paraId="A4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Взаимодействие Министерства и комиссии с участниками отбора осуществляется с использованием документов в электронной форме в системе «Электронный бюджет»</w:t>
      </w:r>
      <w:r>
        <w:rPr>
          <w:rFonts w:ascii="PT Astra Serif" w:hAnsi="PT Astra Serif"/>
          <w:color w:themeColor="text1" w:val="000000"/>
          <w:sz w:val="28"/>
        </w:rPr>
        <w:t>.</w:t>
      </w:r>
    </w:p>
    <w:p w14:paraId="A5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Заседание комиссии считается правомочным для принятия решений, если на нем присутствует не менее половины ее членов. Возглавляет комиссию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председатель.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отсутствие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председателя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комиссии</w:t>
      </w:r>
      <w:r>
        <w:rPr>
          <w:rFonts w:ascii="PT Astra Serif" w:hAnsi="PT Astra Serif"/>
          <w:spacing w:val="-17"/>
          <w:sz w:val="28"/>
        </w:rPr>
        <w:t xml:space="preserve"> </w:t>
      </w:r>
      <w:r>
        <w:rPr>
          <w:rFonts w:ascii="PT Astra Serif" w:hAnsi="PT Astra Serif"/>
          <w:sz w:val="28"/>
        </w:rPr>
        <w:t>его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обязанности исполняет заместитель председателя комиссии. Решение комиссии об определении получателей субсидий принимается простым большинством голосов присутствующих на заседании членов комиссии и оформляется протоколом, который подписывается всеми присутствующими на заседании членами комиссии. В случае равенства голосов решающим является голос председательствующего на заседании. Секретарь комиссии является членом </w:t>
      </w:r>
      <w:r>
        <w:rPr>
          <w:rFonts w:ascii="PT Astra Serif" w:hAnsi="PT Astra Serif"/>
          <w:spacing w:val="-2"/>
          <w:sz w:val="28"/>
        </w:rPr>
        <w:t>комиссии.</w:t>
      </w:r>
    </w:p>
    <w:p w14:paraId="A6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Протокол подведения итогов отбора (документ об итогах проведения отбора) размещается на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"http://www.budget.gov.ru/"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едином портале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"http://subsidii-jku.ru/"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официальном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"http://subsidii-jku.ru/"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сайте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Министерства</w:t>
      </w:r>
      <w:r>
        <w:rPr>
          <w:rFonts w:ascii="PT Astra Serif" w:hAnsi="PT Astra Serif"/>
          <w:spacing w:val="-18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информационно-телекоммуникационной</w:t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сети</w:t>
      </w:r>
      <w:r>
        <w:rPr>
          <w:rFonts w:ascii="PT Astra Serif" w:hAnsi="PT Astra Serif"/>
          <w:spacing w:val="-16"/>
          <w:sz w:val="28"/>
        </w:rPr>
        <w:t xml:space="preserve"> </w:t>
      </w:r>
      <w:r>
        <w:rPr>
          <w:rFonts w:ascii="PT Astra Serif" w:hAnsi="PT Astra Serif"/>
          <w:sz w:val="28"/>
        </w:rPr>
        <w:t>Интернет не позднее одного рабочего дня, следующего за днем определения победителя отбора, и включает сл</w:t>
      </w:r>
      <w:r>
        <w:rPr>
          <w:rStyle w:val="Style_2_ch"/>
          <w:rFonts w:ascii="PT Astra Serif" w:hAnsi="PT Astra Serif"/>
          <w:sz w:val="28"/>
        </w:rPr>
        <w:t>едующие сведения:</w:t>
      </w:r>
    </w:p>
    <w:p w14:paraId="A7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Style w:val="Style_2_ch"/>
          <w:rFonts w:ascii="PT Astra Serif" w:hAnsi="PT Astra Serif"/>
          <w:sz w:val="28"/>
        </w:rPr>
        <w:t>1)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>дата,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>время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>и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>место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>проведения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>рассмотрения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>предложений;</w:t>
      </w:r>
    </w:p>
    <w:p w14:paraId="A8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Style w:val="Style_2_ch"/>
          <w:rFonts w:ascii="PT Astra Serif" w:hAnsi="PT Astra Serif"/>
          <w:sz w:val="28"/>
        </w:rPr>
        <w:t>2)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 xml:space="preserve">информация об участниках отбора, предложения которых были отклонены, </w:t>
      </w:r>
      <w:r>
        <w:rPr>
          <w:rStyle w:val="Style_2_ch"/>
          <w:rFonts w:ascii="PT Astra Serif" w:hAnsi="PT Astra Serif"/>
          <w:sz w:val="28"/>
        </w:rPr>
        <w:t>с указанием</w:t>
      </w:r>
      <w:r>
        <w:rPr>
          <w:rStyle w:val="Style_2_ch"/>
          <w:rFonts w:ascii="PT Astra Serif" w:hAnsi="PT Astra Serif"/>
          <w:sz w:val="28"/>
        </w:rPr>
        <w:t xml:space="preserve"> причин их отклонения, в том числе положений объявления о </w:t>
      </w:r>
      <w:r>
        <w:rPr>
          <w:rStyle w:val="Style_2_ch"/>
          <w:rFonts w:ascii="PT Astra Serif" w:hAnsi="PT Astra Serif"/>
          <w:sz w:val="28"/>
        </w:rPr>
        <w:t>проведении</w:t>
      </w:r>
      <w:r>
        <w:rPr>
          <w:rStyle w:val="Style_2_ch"/>
          <w:rFonts w:ascii="PT Astra Serif" w:hAnsi="PT Astra Serif"/>
          <w:sz w:val="28"/>
        </w:rPr>
        <w:t xml:space="preserve"> отбора, которым не соответствуют такие предложения</w:t>
      </w:r>
      <w:r>
        <w:rPr>
          <w:rStyle w:val="Style_2_ch"/>
          <w:rFonts w:ascii="PT Astra Serif" w:hAnsi="PT Astra Serif"/>
          <w:sz w:val="28"/>
        </w:rPr>
        <w:t>;</w:t>
      </w:r>
    </w:p>
    <w:p w14:paraId="A9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3) наименование получателя (получателей) субсидии, с которым (которыми) заключается соглашение, и размер предоставляемой субсидии на </w:t>
      </w:r>
      <w:r>
        <w:rPr>
          <w:rFonts w:ascii="PT Astra Serif" w:hAnsi="PT Astra Serif"/>
          <w:sz w:val="28"/>
        </w:rPr>
        <w:t>возмещение затрат на уплату им (ими) лизинговых платежей, возникающих при приобретении комплексных модульных очистных сооружений (КОС) на период бюджетного планирования.</w:t>
      </w:r>
    </w:p>
    <w:p w14:paraId="AA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2.10.1. Предложения</w:t>
      </w:r>
      <w:r>
        <w:rPr>
          <w:rFonts w:ascii="XO Thames" w:hAnsi="XO Thames"/>
          <w:sz w:val="28"/>
        </w:rPr>
        <w:t xml:space="preserve"> участников отбора направляются на доработку с использованием системы «Электронный бюджет» в течение одного рабочего дня со дня их принятия с указанием оснований для возврата предложений, а также положений предложений, нуждающихся в доработке.</w:t>
      </w:r>
    </w:p>
    <w:p w14:paraId="AB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Основаниями для возврата предложений на доработку являются недостатки технического характера (нечитаемый текст (часть текста), не открываемый формат, зашифрованы или защищены средствами, не позволяющими осуществить ознакомление с их содержимым).</w:t>
      </w:r>
    </w:p>
    <w:p w14:paraId="AC000000">
      <w:pPr>
        <w:widowControl w:val="1"/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Возвращенное предложение дорабатывается заявителем по замечаниям и направляется повторно до истечения срока рассмотрения предложений комиссией, установленного в абзаце первом пункта 2.10 настоящего поря</w:t>
      </w:r>
      <w:r>
        <w:rPr>
          <w:rFonts w:ascii="XO Thames" w:hAnsi="XO Thames"/>
          <w:sz w:val="28"/>
        </w:rPr>
        <w:t>дка.</w:t>
      </w:r>
    </w:p>
    <w:p w14:paraId="A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2.11. Основаниями для отклонения предложения участника отбора являются: </w:t>
      </w:r>
    </w:p>
    <w:p w14:paraId="A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а) несоответствие участника отбора требованиям и критериям, установленным в пунктах 2.4 и 2.6 настоящего порядка; </w:t>
      </w:r>
    </w:p>
    <w:p w14:paraId="A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б) непредставление (представление не в полном объеме) документов, предусмотренных в объявлении о проведении отбора, указанных в пункте 2.5 настоящего порядка; </w:t>
      </w:r>
    </w:p>
    <w:p w14:paraId="B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в) несоответствие представленных участником отбора предложений и (или) документов требованиям, установленным в объявлении о проведении отбора, указанных в пункте 2.5 настоящего порядка; </w:t>
      </w:r>
    </w:p>
    <w:p w14:paraId="B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г) недостоверность информации, содержащейся в документах, представленных участником отбора в целях подтверждения соответствия установленным настоящим порядком требованиям; </w:t>
      </w:r>
    </w:p>
    <w:p w14:paraId="B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д) подача участником отбора предложения после даты и (или) времени, определенных для подачи предложений.</w:t>
      </w:r>
    </w:p>
    <w:p w14:paraId="B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Комиссия при отклонении предложений в течение пяти рабочих дней направляет участнику отбора уведомление об отклонении предложения с указанием мотивированных причин. Взаимодействие с участниками отбора осуществляется с использованием документов в электронной форме в системе «Электронный бюджет».</w:t>
      </w:r>
    </w:p>
    <w:p w14:paraId="B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2.12. Отбор отменяется в случае прекращения действия соответствующего расходного обязательства по предоставлению субсидий, уменьшения (или отзыва) Министерству ранее доведенных лимитов бюджетных обязательств на соответствующий финансовый год на предоставление субсидий.</w:t>
      </w:r>
    </w:p>
    <w:p w14:paraId="B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2.13. Отбор признается несостоявшимся в случаях, если: </w:t>
      </w:r>
    </w:p>
    <w:p w14:paraId="B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для участия в отборе не поступило предложений;</w:t>
      </w:r>
    </w:p>
    <w:p w14:paraId="B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ни один участник отбора не соответствует требованиям и критериям, указанным в пунктах 2.4 и 2.5 настоящего порядка.</w:t>
      </w:r>
    </w:p>
    <w:p w14:paraId="B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2.14. В случаях, предусмотренных пунктом 2.12 и 2.13 настоящего порядка, Министерство размещает объявление об отмене отбора (признании несостоявшимися отбора) на едином портале не позднее чем за один рабочий день до даты окончания срока подачи предложений.</w:t>
      </w:r>
    </w:p>
    <w:p w14:paraId="B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Министерство вправе принять решение о проведении отбора повторно. </w:t>
      </w:r>
    </w:p>
    <w:p w14:paraId="B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2.15. Соглашения заключаются с участниками отбора в случае соответствия предложений требованиям, установленным пунктом 2.4 настоящего порядка и критериям, установленным пунктом 2.6 настоящего порядка. </w:t>
      </w:r>
    </w:p>
    <w:p w14:paraId="B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2.16. Получателем субсидии определяется участник отбора, соответствующий критериям, указанным в пункте 2.6 настоящего порядка, и очередности поступления предложений на участие в отборе получателей субсидий. </w:t>
      </w:r>
    </w:p>
    <w:p w14:paraId="B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2.17. Каждому получателю субсидии присваивается порядковый номер (начиная с номера один) исходя из даты и времени регистрации предложения участника отбора в системе «Электронный бюджет».</w:t>
      </w:r>
    </w:p>
    <w:p w14:paraId="B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2.18. Порядок распределения субсидий между победителями отбора: распределение субсидий участникам отбора, прошедшим отбор, производится в пределах доведенных лимитов бюджетных обязательств, исходя из очередности поступления заявок.</w:t>
      </w:r>
    </w:p>
    <w:p w14:paraId="B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2.19. В случае если поступило только одно предложение, и участник отбора соответствует требованиям, указанным в пункте 2.4 настоящего порядка, и критериям, установленным пунктом 2.6 настоящего порядка, участник отбора, подавший предложение, признается единственным участником отбора - получателем субсидии, с таким участником отбора заключается соглашение согласно пункту 2.16 настоящего порядка. </w:t>
      </w:r>
    </w:p>
    <w:p w14:paraId="BF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2.20. </w:t>
      </w:r>
      <w:r>
        <w:rPr>
          <w:rFonts w:ascii="PT Astra Serif" w:hAnsi="PT Astra Serif"/>
          <w:sz w:val="28"/>
        </w:rPr>
        <w:t>Министерством обеспечивается:</w:t>
      </w:r>
    </w:p>
    <w:p w14:paraId="C0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автоматическое формирование протокола вскрытия заявок на едином портале, который подписывается усиленной квалифицированной электронной подписью председателя комиссии и членов комиссии в системе «Электронный бюджет», а также размещается на едином портале не позднее одного рабочего дня, следующего за днем его подписания;</w:t>
      </w:r>
    </w:p>
    <w:p w14:paraId="C1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автоматическое формирование протокола подведения итогов отбора на едином портале на основании результатов определения победителя (победителей) отбора, который подписывается усиленной квалифицированной электронной подписью председателя комиссии и членов комиссии в системе «Электронный бюджет», а также размещается на едином портале не позднее одного рабочего дня, следующего за днем его подписания.</w:t>
      </w:r>
    </w:p>
    <w:p w14:paraId="C2000000">
      <w:pPr>
        <w:widowControl w:val="1"/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2.21. Внесение изменений в протокол подведения итогов отбора осуществляется Министерством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 w14:paraId="C3000000">
      <w:pPr>
        <w:widowControl w:val="1"/>
        <w:spacing w:after="0" w:line="276" w:lineRule="auto"/>
        <w:ind w:firstLine="709"/>
        <w:jc w:val="both"/>
        <w:rPr>
          <w:rFonts w:ascii="PT Astra Serif" w:hAnsi="PT Astra Serif"/>
          <w:sz w:val="28"/>
        </w:rPr>
      </w:pPr>
    </w:p>
    <w:p w14:paraId="C4000000">
      <w:pPr>
        <w:widowControl w:val="1"/>
        <w:spacing w:after="0" w:line="276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 Условия и порядок предоставления субсидий </w:t>
      </w:r>
    </w:p>
    <w:p w14:paraId="C5000000">
      <w:pPr>
        <w:widowControl w:val="1"/>
        <w:spacing w:after="0" w:line="276" w:lineRule="auto"/>
        <w:ind/>
        <w:jc w:val="center"/>
        <w:rPr>
          <w:rFonts w:ascii="XO Thames" w:hAnsi="XO Thames"/>
          <w:sz w:val="28"/>
        </w:rPr>
      </w:pPr>
    </w:p>
    <w:p w14:paraId="C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3.1. Размер субсидии, предоставляемой получателю субсидии, определяется по формуле: </w:t>
      </w:r>
    </w:p>
    <w:p w14:paraId="C7000000">
      <w:pPr>
        <w:widowControl w:val="1"/>
        <w:spacing w:after="0" w:line="360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РС =(Sдл / tдл) х 3, где, </w:t>
      </w:r>
    </w:p>
    <w:p w14:paraId="C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РС - размер субсидии, предоставляемой получателю; </w:t>
      </w:r>
    </w:p>
    <w:p w14:paraId="C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Sдл - cумма договора лизинга (руб.); </w:t>
      </w:r>
    </w:p>
    <w:p w14:paraId="C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tдл - срок действия договора лизинга (год).;</w:t>
      </w:r>
    </w:p>
    <w:p w14:paraId="C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 – срок бюджетного цикла.</w:t>
      </w:r>
    </w:p>
    <w:p w14:paraId="C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 случае если получатель субсидии не является плательщиком НДС, лизинговые платежи возмещаются со стоимостью НДС. В случае если получатель субсидии является плательщиком НДС, лизинговые платежи возмещаются без учета стоимости НДС.</w:t>
      </w:r>
    </w:p>
    <w:p w14:paraId="C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3.2. В случае невозможности предоставления в текущем финансовом году субсидии в связи с недостаточностью лимитов бюджетных обязательств Министерства субсидии предоставляются в очередном финансовом году получателю субсидии, соответствующему требованиям, установленным настоящим порядком, без повторного прохождения отбора. </w:t>
      </w:r>
    </w:p>
    <w:p w14:paraId="C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3.3. Субсидия направляется на возмещение затрат хозяйствующим субъектам на уплату ими лизинговых платежей, возникших при приобретении комплекса модульных очистных сооружений (КОС).</w:t>
      </w:r>
    </w:p>
    <w:p w14:paraId="C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3.4. Получатель субсидии должен соответствовать требованиям, установленным в пункте 2.4 настоящего порядка, на даты рассмотрения заявок заключения соглашений.</w:t>
      </w:r>
    </w:p>
    <w:p w14:paraId="D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3.5. Министерство проводит проверку получателя субсидии на соответствие требованиям, указанным в пункте 3.4 настоящего порядка, в течение пяти рабочих дней до подписания соглашения на предоставление субсидии.</w:t>
      </w:r>
    </w:p>
    <w:p w14:paraId="D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Соответствие получателя субсидии требованию, указанному в подпункте «г» пункта 2.4 настоящего порядка, подтверждается сведениями из реестра иностранных агентов, размещенными на сайте Министерства юстиции 12 Российской Федерации в разделе «Деятельность в сфере иностранных агентов» по адресу: https:/minjust.gov.ru/ru/;</w:t>
      </w:r>
    </w:p>
    <w:p w14:paraId="D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соответствие получателя субсидии требованиям, указанным в подпунктах «а-в», «е», «ж» пункта 2.4 настоящего порядка, подтверждается сведениями из общедоступных источников и (или) запросов в порядке межведомственного информационного взаимодействия с уполномоченными государственными органами;</w:t>
      </w:r>
    </w:p>
    <w:p w14:paraId="D3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соответствие получателя субсидии требованию, указанному в подпункте «з» пункта 2.4 настоящего порядка, подтверждается сведениями из реестра дисквалифицированных лиц, размещенными в информационно-телекоммуникационной сети Интернет по адресу: https://service.nalog.ru/disqualified.do. </w:t>
      </w:r>
    </w:p>
    <w:p w14:paraId="D4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3.6. Получатель субсидии не позднее 10-го рабочего дня со дня определения получателя субсидии для подтверждения предоставляет в Министерство перечень документов в соответствии с пунктом 2.5 настоящего порядка. При этом справки должны подтверждать соответствие требованиям пункта 2.4 настоящего порядка на дату, указанную в пункте 3.4 настоящего порядка. </w:t>
      </w:r>
    </w:p>
    <w:p w14:paraId="D5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3.7. Подтверждением фактически понесенных затрат получателя субсидии является платежное поручение (платежные поручения) об уплате лизингового платежа лизингодателю по договору лизинга с отметкой банка. </w:t>
      </w:r>
    </w:p>
    <w:p w14:paraId="D6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3.8. </w:t>
      </w:r>
      <w:r>
        <w:rPr>
          <w:rStyle w:val="Style_2_ch"/>
          <w:rFonts w:ascii="PT Astra Serif" w:hAnsi="PT Astra Serif"/>
          <w:sz w:val="28"/>
        </w:rPr>
        <w:t>Основаниями для отказа является:</w:t>
      </w:r>
    </w:p>
    <w:p w14:paraId="D7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Style w:val="Style_2_ch"/>
          <w:rFonts w:ascii="PT Astra Serif" w:hAnsi="PT Astra Serif"/>
          <w:sz w:val="28"/>
        </w:rPr>
        <w:t>а) несоответствие представленных получателем субсидии перечня документов, определенных</w:t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fldChar w:fldCharType="begin"/>
      </w:r>
      <w:r>
        <w:rPr>
          <w:rStyle w:val="Style_2_ch"/>
          <w:rFonts w:ascii="PT Astra Serif" w:hAnsi="PT Astra Serif"/>
          <w:sz w:val="28"/>
        </w:rPr>
        <w:instrText>HYPERLINK "https://login.consultant.ru/link/?req=doc&amp;base=RLAW249&amp;n=101343&amp;dst=100056&amp;field=134&amp;date=02.10.2025"</w:instrText>
      </w:r>
      <w:r>
        <w:rPr>
          <w:rStyle w:val="Style_2_ch"/>
          <w:rFonts w:ascii="PT Astra Serif" w:hAnsi="PT Astra Serif"/>
          <w:sz w:val="28"/>
        </w:rPr>
        <w:fldChar w:fldCharType="separate"/>
      </w:r>
      <w:r>
        <w:rPr>
          <w:rStyle w:val="Style_2_ch"/>
          <w:rFonts w:ascii="PT Astra Serif" w:hAnsi="PT Astra Serif"/>
          <w:sz w:val="28"/>
        </w:rPr>
        <w:t>пунктом 2.5</w:t>
      </w:r>
      <w:r>
        <w:rPr>
          <w:rStyle w:val="Style_2_ch"/>
          <w:rFonts w:ascii="PT Astra Serif" w:hAnsi="PT Astra Serif"/>
          <w:sz w:val="28"/>
        </w:rPr>
        <w:fldChar w:fldCharType="end"/>
      </w:r>
      <w:r>
        <w:rPr>
          <w:rStyle w:val="Style_2_ch"/>
          <w:rFonts w:ascii="PT Astra Serif" w:hAnsi="PT Astra Serif"/>
          <w:sz w:val="28"/>
        </w:rPr>
        <w:t xml:space="preserve"> </w:t>
      </w:r>
      <w:r>
        <w:rPr>
          <w:rStyle w:val="Style_2_ch"/>
          <w:rFonts w:ascii="PT Astra Serif" w:hAnsi="PT Astra Serif"/>
          <w:sz w:val="28"/>
        </w:rPr>
        <w:t>настоящего порядка;</w:t>
      </w:r>
    </w:p>
    <w:p w14:paraId="D8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Style w:val="Style_2_ch"/>
          <w:rFonts w:ascii="PT Astra Serif" w:hAnsi="PT Astra Serif"/>
          <w:sz w:val="28"/>
        </w:rPr>
        <w:t>б) непредставление (представление не в полном объеме) указанных документов;</w:t>
      </w:r>
    </w:p>
    <w:p w14:paraId="D9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Style w:val="Style_2_ch"/>
          <w:rFonts w:ascii="PT Astra Serif" w:hAnsi="PT Astra Serif"/>
          <w:sz w:val="28"/>
        </w:rPr>
        <w:t>в) установление</w:t>
      </w:r>
      <w:r>
        <w:rPr>
          <w:rStyle w:val="Style_2_ch"/>
          <w:rFonts w:ascii="PT Astra Serif" w:hAnsi="PT Astra Serif"/>
          <w:sz w:val="28"/>
        </w:rPr>
        <w:t xml:space="preserve"> факта недостоверности представленной получателем субсидии информации.</w:t>
      </w:r>
    </w:p>
    <w:p w14:paraId="DA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3.9. Министерство на основании протокола заседания комиссии в срок не позднее пяти рабочих дней со дня его подписания принимает решение о предоставлении либо об отказе в предоставлении субсидии, которое оформляется приказом. О принятом решении Министерство уведомляет в электронной форме в системе «Электронный бюджет» получателя субсидии в течение трех рабочих дней со дня принятия решения, согласно которому: </w:t>
      </w:r>
    </w:p>
    <w:p w14:paraId="DB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в случае принятия решения о предоставлении субсидии не позднее пяти рабочих дней, следующих за днем принятия решения, направляет получателю субсидии соглашение в соответствии с типовой формой, установленной Министерством финансов Республики Саха (Якутия); </w:t>
      </w:r>
    </w:p>
    <w:p w14:paraId="D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Министерство в течение десяти рабочих дней с момента получения подписанного получателем субсидии соглашения издает приказ, являющийся решением о предоставлении субсидии; </w:t>
      </w:r>
    </w:p>
    <w:p w14:paraId="D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 случае принятия решения об отказе в предоставлении субсидии в течение пяти рабочих дней, следующих за днем принятия решения, направляет в системе «Электронный бюджет»;</w:t>
      </w:r>
    </w:p>
    <w:p w14:paraId="D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 случае не подписания получателем субсидии соглашения или непредоставления подписанного соглашения в Министерство в течение срока, указанного в абзаце втором настоящего пункта, получатель субсидии считается уклонившимся от заключения соглашения, и субсидия ему не предоставляется.</w:t>
      </w:r>
    </w:p>
    <w:p w14:paraId="D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3.10. В соглашение включается требование о том, что в случае уменьшения Министерству как получателю бюджетных средств ранее направленных лимитов бюджетных обязательств, указанных в абзаце первом пункта 3.2 настоящего порядка, приводящего к невозможности предоставления субсидии в размере, определенном в соглашении, Министерство и получатель субсидии заключают дополнительное соглашение к соглашению на новых условиях, при недостижении согласия расторжения соглашения в порядке и на условиях, установленных в типовой форме, установленной приказом Министерства финансов Республики Саха (Якутия).</w:t>
      </w:r>
    </w:p>
    <w:p w14:paraId="E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3.11.  В случае предоставления средств иным лицам на безвозмездной основе получатели субсидий в договорах (соглашений) с этими лицами указывают, что источником финансового обеспечения предоставляемых средств является указанные субсидии и наличие (отсутствие) средств на уплату НДС.</w:t>
      </w:r>
    </w:p>
    <w:p w14:paraId="E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3.12. При реорганизации получателя субсидии, являющегося хозяйствующим субъектом, в форме слияния, присоединения или преобразования,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соглашение хозяйствующего субъекта, являющегося правопреемником. </w:t>
      </w:r>
    </w:p>
    <w:p w14:paraId="E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3.13. При реорганизации получателя субсидии, являющегося хозяйствующим субъектом, в форме разделения, выделения, а также при ликвидации получателя субсидии, являющегося хозяйствующим субъектом, или прекращении деятельности получателя субсидии, являющегося индивидуальным предпринимателем,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государственный бюджет Республики Саха (Якутия). </w:t>
      </w:r>
    </w:p>
    <w:p w14:paraId="E3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3.14. </w:t>
      </w:r>
      <w:r>
        <w:rPr>
          <w:rFonts w:ascii="PT Astra Serif" w:hAnsi="PT Astra Serif"/>
          <w:sz w:val="28"/>
        </w:rPr>
        <w:t>Результатом предоставления суб</w:t>
      </w:r>
      <w:r>
        <w:rPr>
          <w:rFonts w:ascii="PT Astra Serif" w:hAnsi="PT Astra Serif"/>
          <w:sz w:val="28"/>
        </w:rPr>
        <w:t>сидии является количество приобретенного оборудования комплекса модульных очистных сооружений (КОС).</w:t>
      </w:r>
    </w:p>
    <w:p w14:paraId="E4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>Результаты предоставления субсидий должны соответствовать типам результатов предоставления субсидий,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субсидий.</w:t>
      </w:r>
    </w:p>
    <w:p w14:paraId="E5000000">
      <w:pPr>
        <w:widowControl w:val="1"/>
        <w:tabs>
          <w:tab w:leader="none" w:pos="1134" w:val="left"/>
        </w:tabs>
        <w:spacing w:after="0" w:line="360" w:lineRule="auto"/>
        <w:ind w:firstLine="709"/>
        <w:jc w:val="both"/>
        <w:rPr>
          <w:rFonts w:ascii="XO Thames" w:hAnsi="XO Thames"/>
          <w:strike w:val="1"/>
          <w:sz w:val="28"/>
        </w:rPr>
      </w:pPr>
      <w:r>
        <w:rPr>
          <w:rFonts w:ascii="XO Thames" w:hAnsi="XO Thames"/>
          <w:sz w:val="28"/>
        </w:rPr>
        <w:t xml:space="preserve">В соответствии с планом мероприятий по реализации государственной программы Республики Саха (Якутия) «Обеспечение качественными жилищно-коммунальными услугами и развитие энергетики Республики Саха (Якутия)» результатом предоставления субсидий по мероприятию № 9 «Возмещение затрат хозяйствующим субъектам на уплату ими лизинговых платежей, возникающих при приобретении комплексных модульных очистных сооружений (КОС)» является приобретение оборудования не менее </w:t>
      </w:r>
      <w:r>
        <w:rPr>
          <w:rFonts w:ascii="XO Thames" w:hAnsi="XO Thames"/>
          <w:sz w:val="28"/>
        </w:rPr>
        <w:t>одной единицы в соответствующем году.</w:t>
      </w:r>
    </w:p>
    <w:p w14:paraId="E6000000">
      <w:pPr>
        <w:widowControl w:val="1"/>
        <w:tabs>
          <w:tab w:leader="none" w:pos="1134" w:val="left"/>
        </w:tabs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Style w:val="Style_2_ch"/>
          <w:rFonts w:ascii="XO Thames" w:hAnsi="XO Thames"/>
          <w:sz w:val="28"/>
        </w:rPr>
        <w:t>3.15. Перечисление субсидии производится не позднее 10-го рабочего дня, следующего за днем по результатам рассмотрения и проверки им документов, указанных в пункте 3.7</w:t>
      </w:r>
      <w:r>
        <w:rPr>
          <w:rStyle w:val="Style_2_ch"/>
          <w:rFonts w:ascii="XO Thames" w:hAnsi="XO Thames"/>
          <w:sz w:val="28"/>
        </w:rPr>
        <w:t xml:space="preserve"> </w:t>
      </w:r>
      <w:r>
        <w:rPr>
          <w:rStyle w:val="Style_2_ch"/>
          <w:rFonts w:ascii="XO Thames" w:hAnsi="XO Thames"/>
          <w:sz w:val="28"/>
        </w:rPr>
        <w:t>настоящего порядка, решения о предоставлении субсидии.</w:t>
      </w:r>
    </w:p>
    <w:p w14:paraId="E7000000">
      <w:pPr>
        <w:widowControl w:val="1"/>
        <w:tabs>
          <w:tab w:leader="none" w:pos="1134" w:val="left"/>
        </w:tabs>
        <w:spacing w:after="0" w:line="36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3.16. Перечисление субсидии осуществляется с лицевого счета Министерства, открытого в Министерстве финансов Республики Саха (Якутия), на расчетный счет получателя субсидии, открытый в кредитной организации, указанный в соглашении. </w:t>
      </w:r>
    </w:p>
    <w:p w14:paraId="E8000000">
      <w:pPr>
        <w:widowControl w:val="1"/>
        <w:spacing w:after="0" w:line="360" w:lineRule="auto"/>
        <w:ind w:firstLine="850"/>
        <w:jc w:val="both"/>
        <w:rPr>
          <w:rFonts w:ascii="XO Thames" w:hAnsi="XO Thames"/>
          <w:sz w:val="28"/>
        </w:rPr>
      </w:pPr>
    </w:p>
    <w:p w14:paraId="E9000000">
      <w:pPr>
        <w:widowControl w:val="1"/>
        <w:spacing w:after="0" w:line="360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4. Требования о предоставлении отчетности, осуществлении контроля (мониторинга) за соблюдением условий и порядка предоставления субсидий и ответственность за их нарушение </w:t>
      </w:r>
    </w:p>
    <w:p w14:paraId="EA000000">
      <w:pPr>
        <w:widowControl w:val="1"/>
        <w:spacing w:after="0" w:line="360" w:lineRule="auto"/>
        <w:ind/>
        <w:jc w:val="center"/>
        <w:rPr>
          <w:rFonts w:ascii="XO Thames" w:hAnsi="XO Thames"/>
          <w:sz w:val="28"/>
        </w:rPr>
      </w:pPr>
    </w:p>
    <w:p w14:paraId="EB000000">
      <w:pPr>
        <w:widowControl w:val="1"/>
        <w:spacing w:after="0" w:line="360" w:lineRule="auto"/>
        <w:ind w:firstLine="850"/>
        <w:jc w:val="both"/>
        <w:rPr>
          <w:rFonts w:ascii="PT Astra Serif" w:hAnsi="PT Astra Serif"/>
          <w:sz w:val="28"/>
        </w:rPr>
      </w:pPr>
      <w:r>
        <w:rPr>
          <w:rFonts w:ascii="XO Thames" w:hAnsi="XO Thames"/>
          <w:sz w:val="28"/>
        </w:rPr>
        <w:t xml:space="preserve">4.1. </w:t>
      </w:r>
      <w:r>
        <w:rPr>
          <w:rFonts w:ascii="PT Astra Serif" w:hAnsi="PT Astra Serif"/>
          <w:sz w:val="28"/>
        </w:rPr>
        <w:t xml:space="preserve"> Получатель субсидии ежеквартально в срок не позднее 15 числа, следующего за отчетным кварталом, представляет в Министерство отчет о </w:t>
      </w:r>
      <w:r>
        <w:rPr>
          <w:rFonts w:ascii="PT Astra Serif" w:hAnsi="PT Astra Serif"/>
          <w:sz w:val="28"/>
        </w:rPr>
        <w:t xml:space="preserve">достижении результатов предоставления субсидии, установленных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"https://login.consultant.ru/link/?req=doc&amp;base=RLAW249&amp;n=101343&amp;dst=100138&amp;field=134&amp;date=11.08.2025"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пунктом 3.13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 настоящего порядка, согласно форме, определенной типовой формой соглашения, установленной Министерством финансов Республики Саха (Якутия). Оценка эффективности использования субсидий осуществляется Министерством путем сравнения фактически достигнутых результатов и установленных в соглашении значений результатов предоставления субсидий.</w:t>
      </w:r>
    </w:p>
    <w:p w14:paraId="EC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4.2. Министерство в течение 10 рабочих дней с момента представления получателем субсидии отчета предоставленной субсидии производит проверку и принятие отчетности. </w:t>
      </w:r>
    </w:p>
    <w:p w14:paraId="ED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В случае непринятия отчетности, предоставленной получателем субсидии, Министерство направляет уведомление получателю субсидии в 15 течении пяти рабочих дней с момента окончания срока проверки. Получатель субсидии со дня получения уведомления в срок не позднее пяти рабочих дней направляет в Министерство исправленный отчет о достижении результатов предоставления субсидии. </w:t>
      </w:r>
    </w:p>
    <w:p w14:paraId="EE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В случае принятия отчетности, согласно пункту 4.1 настоящего порядка, предоставленной получателем субсидии, уведомление не направляется.</w:t>
      </w:r>
    </w:p>
    <w:p w14:paraId="EF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4.3. Министерство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результатов.</w:t>
      </w:r>
    </w:p>
    <w:p w14:paraId="F0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4.4. Министерством осуществляется проверка соблюдения условий и порядка предоставления субсидий, в том числе в части достижения результата предоставления субсидий. Органом государственного финансового контроля осуществляется проверка в соответствии со статьями 268.1 и 269.2 Бюджетного кодекса Российской Федерации. </w:t>
      </w:r>
    </w:p>
    <w:p w14:paraId="F1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4.5. В случае нарушения получателем субсидии условий и порядка, установленных при предоставлении субсидии, выявленного по фактам проверок, проведенных Министерством и уполномоченным органом государственного финансового контроля, а также в случае недостижения значений результатов предоставления, субсидия подлежит возврату в доход государственного бюджета по требованию Министерства и (или) органа государственного финансового контроля о добровольном возврате предоставленной субсидии в течение 30 календарных дней с момента получения соответствующего требования.</w:t>
      </w:r>
    </w:p>
    <w:p w14:paraId="F2000000">
      <w:pPr>
        <w:widowControl w:val="1"/>
        <w:spacing w:after="0" w:line="360" w:lineRule="auto"/>
        <w:ind w:firstLine="85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4.6. В случае отказа от добровольного исполнения получателем субсидии предъявленных требований сумма субсидии, подлежащая возврату, взыскивается Министерством в судебном порядке.</w:t>
      </w:r>
    </w:p>
    <w:p w14:paraId="F3000000">
      <w:pPr>
        <w:widowControl w:val="1"/>
        <w:spacing w:after="0" w:line="360" w:lineRule="auto"/>
        <w:ind/>
        <w:jc w:val="both"/>
        <w:rPr>
          <w:rFonts w:ascii="XO Thames" w:hAnsi="XO Thames"/>
          <w:b w:val="0"/>
          <w:sz w:val="28"/>
        </w:rPr>
      </w:pPr>
    </w:p>
    <w:p w14:paraId="F4000000">
      <w:pPr>
        <w:widowControl w:val="1"/>
        <w:spacing w:after="0" w:line="360" w:lineRule="auto"/>
        <w:ind/>
        <w:jc w:val="center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 xml:space="preserve"> _____________________</w:t>
      </w:r>
    </w:p>
    <w:sectPr>
      <w:headerReference r:id="rId2" w:type="even"/>
      <w:footerReference r:id="rId1" w:type="default"/>
      <w:footerReference r:id="rId3" w:type="even"/>
      <w:pgSz w:h="16838" w:orient="portrait" w:w="11906"/>
      <w:pgMar w:bottom="851" w:footer="445" w:gutter="0" w:header="709" w:left="1418" w:right="851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5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4_ch"/>
      </w:rPr>
    </w:pPr>
    <w:r>
      <w:rPr>
        <w:rStyle w:val="Style_4_ch"/>
      </w:rPr>
      <w:fldChar w:fldCharType="begin"/>
    </w:r>
    <w:r>
      <w:rPr>
        <w:rStyle w:val="Style_4_ch"/>
      </w:rPr>
      <w:instrText xml:space="preserve">PAGE </w:instrText>
    </w:r>
    <w:r>
      <w:rPr>
        <w:rStyle w:val="Style_4_ch"/>
      </w:rPr>
      <w:fldChar w:fldCharType="separate"/>
    </w:r>
    <w:r>
      <w:rPr>
        <w:rStyle w:val="Style_4_ch"/>
      </w:rPr>
      <w:t xml:space="preserve"> </w:t>
    </w:r>
    <w:r>
      <w:rPr>
        <w:rStyle w:val="Style_4_ch"/>
      </w:rPr>
      <w:fldChar w:fldCharType="end"/>
    </w:r>
  </w:p>
  <w:p w14:paraId="05000000">
    <w:pPr>
      <w:pStyle w:val="Style_5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4_ch"/>
      </w:rPr>
    </w:pPr>
    <w:r>
      <w:rPr>
        <w:rStyle w:val="Style_4_ch"/>
      </w:rPr>
      <w:fldChar w:fldCharType="begin"/>
    </w:r>
    <w:r>
      <w:rPr>
        <w:rStyle w:val="Style_4_ch"/>
      </w:rPr>
      <w:instrText xml:space="preserve">PAGE </w:instrText>
    </w:r>
    <w:r>
      <w:rPr>
        <w:rStyle w:val="Style_4_ch"/>
      </w:rPr>
      <w:fldChar w:fldCharType="separate"/>
    </w:r>
    <w:r>
      <w:rPr>
        <w:rStyle w:val="Style_4_ch"/>
      </w:rPr>
      <w:t xml:space="preserve"> </w:t>
    </w:r>
    <w:r>
      <w:rPr>
        <w:rStyle w:val="Style_4_ch"/>
      </w:rPr>
      <w:fldChar w:fldCharType="end"/>
    </w:r>
  </w:p>
  <w:p w14:paraId="03000000">
    <w:pPr>
      <w:pStyle w:val="Style_3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suff w:val="tab"/>
      <w:lvlText w:val="%4.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suff w:val="tab"/>
      <w:lvlText w:val="%7.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8" w:type="paragraph">
    <w:name w:val="toc 2"/>
    <w:next w:val="Style_2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2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2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2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2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List Paragraph"/>
    <w:basedOn w:val="Style_2"/>
    <w:link w:val="Style_14_ch"/>
    <w:pPr>
      <w:widowControl w:val="1"/>
      <w:ind w:left="720"/>
      <w:contextualSpacing w:val="1"/>
    </w:pPr>
  </w:style>
  <w:style w:styleId="Style_14_ch" w:type="character">
    <w:name w:val="List Paragraph"/>
    <w:basedOn w:val="Style_2_ch"/>
    <w:link w:val="Style_14"/>
  </w:style>
  <w:style w:styleId="Style_4" w:type="paragraph">
    <w:name w:val="page number"/>
    <w:basedOn w:val="Style_15"/>
    <w:link w:val="Style_4_ch"/>
  </w:style>
  <w:style w:styleId="Style_4_ch" w:type="character">
    <w:name w:val="page number"/>
    <w:basedOn w:val="Style_15_ch"/>
    <w:link w:val="Style_4"/>
  </w:style>
  <w:style w:styleId="Style_16" w:type="paragraph">
    <w:name w:val="toc 3"/>
    <w:next w:val="Style_2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No Spacing"/>
    <w:link w:val="Style_17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17_ch" w:type="character">
    <w:name w:val="No Spacing"/>
    <w:link w:val="Style_17"/>
    <w:rPr>
      <w:rFonts w:ascii="Times New Roman" w:hAnsi="Times New Roman"/>
      <w:sz w:val="28"/>
    </w:rPr>
  </w:style>
  <w:style w:styleId="Style_18" w:type="paragraph">
    <w:name w:val="heading 5"/>
    <w:next w:val="Style_2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2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2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2" w:type="paragraph">
    <w:name w:val="toc 9"/>
    <w:next w:val="Style_2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3" w:type="paragraph">
    <w:name w:val="header"/>
    <w:basedOn w:val="Style_2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3_ch" w:type="character">
    <w:name w:val="header"/>
    <w:basedOn w:val="Style_2_ch"/>
    <w:link w:val="Style_3"/>
    <w:rPr>
      <w:rFonts w:ascii="Times New Roman" w:hAnsi="Times New Roman"/>
      <w:sz w:val="24"/>
    </w:rPr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5" w:type="paragraph">
    <w:name w:val="footer"/>
    <w:basedOn w:val="Style_2"/>
    <w:link w:val="Style_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0"/>
    </w:rPr>
  </w:style>
  <w:style w:styleId="Style_5_ch" w:type="character">
    <w:name w:val="footer"/>
    <w:basedOn w:val="Style_2_ch"/>
    <w:link w:val="Style_5"/>
    <w:rPr>
      <w:rFonts w:ascii="Times New Roman" w:hAnsi="Times New Roman"/>
      <w:sz w:val="20"/>
    </w:rPr>
  </w:style>
  <w:style w:styleId="Style_25" w:type="paragraph">
    <w:name w:val="msolistparagraph"/>
    <w:basedOn w:val="Style_2"/>
    <w:link w:val="Style_25_ch"/>
    <w:pPr>
      <w:widowControl w:val="1"/>
      <w:spacing w:afterAutospacing="on" w:beforeAutospacing="on" w:line="240" w:lineRule="auto"/>
      <w:ind/>
    </w:pPr>
    <w:rPr>
      <w:rFonts w:ascii="Verdana" w:hAnsi="Verdana"/>
      <w:sz w:val="14"/>
    </w:rPr>
  </w:style>
  <w:style w:styleId="Style_25_ch" w:type="character">
    <w:name w:val="msolistparagraph"/>
    <w:basedOn w:val="Style_2_ch"/>
    <w:link w:val="Style_25"/>
    <w:rPr>
      <w:rFonts w:ascii="Verdana" w:hAnsi="Verdana"/>
      <w:sz w:val="14"/>
    </w:rPr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Balloon Text"/>
    <w:basedOn w:val="Style_2"/>
    <w:link w:val="Style_27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7_ch" w:type="character">
    <w:name w:val="Balloon Text"/>
    <w:basedOn w:val="Style_2_ch"/>
    <w:link w:val="Style_27"/>
    <w:rPr>
      <w:rFonts w:ascii="Tahoma" w:hAnsi="Tahoma"/>
      <w:sz w:val="16"/>
    </w:rPr>
  </w:style>
  <w:style w:styleId="Style_28" w:type="paragraph">
    <w:name w:val="Normal (Web)"/>
    <w:basedOn w:val="Style_2"/>
    <w:link w:val="Style_2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Normal (Web)"/>
    <w:basedOn w:val="Style_2_ch"/>
    <w:link w:val="Style_28"/>
    <w:rPr>
      <w:rFonts w:ascii="Times New Roman" w:hAnsi="Times New Roman"/>
      <w:sz w:val="24"/>
    </w:rPr>
  </w:style>
  <w:style w:styleId="Style_29" w:type="paragraph">
    <w:name w:val="Title"/>
    <w:basedOn w:val="Style_2"/>
    <w:link w:val="Style_29_ch"/>
    <w:uiPriority w:val="10"/>
    <w:qFormat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29_ch" w:type="character">
    <w:name w:val="Title"/>
    <w:basedOn w:val="Style_2_ch"/>
    <w:link w:val="Style_29"/>
    <w:rPr>
      <w:rFonts w:ascii="Times New Roman" w:hAnsi="Times New Roman"/>
      <w:sz w:val="28"/>
    </w:rPr>
  </w:style>
  <w:style w:styleId="Style_30" w:type="paragraph">
    <w:name w:val="heading 4"/>
    <w:basedOn w:val="Style_2"/>
    <w:link w:val="Style_30_ch"/>
    <w:uiPriority w:val="9"/>
    <w:qFormat/>
    <w:pPr>
      <w:widowControl w:val="1"/>
      <w:spacing w:afterAutospacing="on" w:beforeAutospacing="on" w:line="240" w:lineRule="auto"/>
      <w:ind/>
      <w:outlineLvl w:val="3"/>
    </w:pPr>
    <w:rPr>
      <w:rFonts w:ascii="Times New Roman" w:hAnsi="Times New Roman"/>
      <w:b w:val="1"/>
      <w:sz w:val="24"/>
    </w:rPr>
  </w:style>
  <w:style w:styleId="Style_30_ch" w:type="character">
    <w:name w:val="heading 4"/>
    <w:basedOn w:val="Style_2_ch"/>
    <w:link w:val="Style_30"/>
    <w:rPr>
      <w:rFonts w:ascii="Times New Roman" w:hAnsi="Times New Roman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" w:type="table">
    <w:name w:val="Table Grid"/>
    <w:basedOn w:val="Style_32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footer1.xml" Type="http://schemas.openxmlformats.org/officeDocument/2006/relationships/foot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2021-07-29T06:56:00Z</dcterms:created>
  <dcterms:modified xsi:type="dcterms:W3CDTF">2026-10-21T02:56:59Z</dcterms:modified>
</cp:coreProperties>
</file>