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Layout w:type="fixed"/>
      </w:tblPr>
      <w:tblGrid>
        <w:gridCol w:w="4045"/>
        <w:gridCol w:w="1296"/>
        <w:gridCol w:w="4722"/>
      </w:tblGrid>
      <w:tr>
        <w:tc>
          <w:tcPr>
            <w:tcW w:type="dxa" w:w="4045"/>
            <w:shd w:fill="auto" w:val="clear"/>
          </w:tcPr>
          <w:p w14:paraId="01000000">
            <w:pPr>
              <w:widowControl w:val="0"/>
              <w:ind/>
              <w:jc w:val="center"/>
              <w:rPr>
                <w:b w:val="1"/>
              </w:rPr>
            </w:pPr>
          </w:p>
          <w:p w14:paraId="02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Министерство </w:t>
            </w:r>
            <w:r>
              <w:rPr>
                <w:b w:val="1"/>
              </w:rPr>
              <w:t xml:space="preserve">предпринимательства, </w:t>
            </w:r>
          </w:p>
          <w:p w14:paraId="03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торговли и туризма </w:t>
            </w:r>
          </w:p>
          <w:p w14:paraId="04000000">
            <w:pPr>
              <w:widowControl w:val="0"/>
              <w:ind/>
              <w:jc w:val="center"/>
            </w:pPr>
            <w:r>
              <w:rPr>
                <w:b w:val="1"/>
              </w:rPr>
              <w:t>Республики Саха (Якутия)</w:t>
            </w:r>
          </w:p>
        </w:tc>
        <w:tc>
          <w:tcPr>
            <w:tcW w:type="dxa" w:w="1296"/>
            <w:shd w:fill="auto" w:val="clear"/>
          </w:tcPr>
          <w:p w14:paraId="05000000">
            <w:r>
              <w:rPr>
                <w:rFonts w:ascii="Times Sakha" w:hAnsi="Times Sakha"/>
                <w:color w:val="0000FF"/>
              </w:rPr>
              <w:drawing>
                <wp:inline>
                  <wp:extent cx="676275" cy="676275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76275" cy="676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22"/>
            <w:shd w:fill="auto" w:val="clear"/>
          </w:tcPr>
          <w:p w14:paraId="06000000">
            <w:pPr>
              <w:widowControl w:val="0"/>
              <w:ind/>
              <w:jc w:val="center"/>
              <w:rPr>
                <w:b w:val="1"/>
              </w:rPr>
            </w:pPr>
          </w:p>
          <w:p w14:paraId="07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Саха Өрөспүүбүлүкэтин </w:t>
            </w:r>
          </w:p>
          <w:p w14:paraId="08000000">
            <w:pPr>
              <w:widowControl w:val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Урбааҥҥа, эргиэҥҥэ уонна туризмҥа министиэристибэтэ </w:t>
            </w:r>
          </w:p>
          <w:p w14:paraId="09000000">
            <w:pPr>
              <w:widowControl w:val="0"/>
              <w:ind/>
              <w:jc w:val="center"/>
              <w:rPr>
                <w:b w:val="1"/>
              </w:rPr>
            </w:pPr>
          </w:p>
          <w:p w14:paraId="0A000000"/>
        </w:tc>
      </w:tr>
      <w:tr>
        <w:tc>
          <w:tcPr>
            <w:tcW w:type="dxa" w:w="10063"/>
            <w:gridSpan w:val="3"/>
            <w:shd w:fill="auto" w:val="clear"/>
          </w:tcPr>
          <w:p w14:paraId="0B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677000, пр.Ленина, </w:t>
            </w:r>
            <w:r>
              <w:rPr>
                <w:sz w:val="20"/>
              </w:rPr>
              <w:t>22</w:t>
            </w:r>
            <w:r>
              <w:rPr>
                <w:sz w:val="20"/>
              </w:rPr>
              <w:t>, Якутск, Республика Саха (Якутия)</w:t>
            </w:r>
          </w:p>
          <w:p w14:paraId="0C000000">
            <w:pPr>
              <w:widowControl w:val="0"/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тел.</w:t>
            </w:r>
            <w:r>
              <w:rPr>
                <w:sz w:val="20"/>
              </w:rPr>
              <w:t xml:space="preserve">: (4112) </w:t>
            </w:r>
            <w:r>
              <w:rPr>
                <w:sz w:val="20"/>
              </w:rPr>
              <w:t>506-224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</w:rPr>
              <w:t>e-mail</w:t>
            </w:r>
            <w:r>
              <w:rPr>
                <w:sz w:val="20"/>
              </w:rPr>
              <w:t xml:space="preserve">: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"mailto:minpred@sakha.gov.ru"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minpred@sakha.gov.ru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;</w:t>
            </w:r>
            <w:r>
              <w:rPr>
                <w:sz w:val="20"/>
              </w:rPr>
              <w:t xml:space="preserve"> https:// </w:t>
            </w:r>
            <w:r>
              <w:rPr>
                <w:rStyle w:val="Style_2_ch"/>
                <w:sz w:val="20"/>
              </w:rPr>
              <w:fldChar w:fldCharType="begin"/>
            </w:r>
            <w:r>
              <w:rPr>
                <w:rStyle w:val="Style_2_ch"/>
                <w:sz w:val="20"/>
              </w:rPr>
              <w:instrText>HYPERLINK "mailto:mininvest@sakha.gov.ru"</w:instrText>
            </w:r>
            <w:r>
              <w:rPr>
                <w:rStyle w:val="Style_2_ch"/>
                <w:sz w:val="20"/>
              </w:rPr>
              <w:fldChar w:fldCharType="separate"/>
            </w:r>
            <w:r>
              <w:rPr>
                <w:rStyle w:val="Style_2_ch"/>
                <w:sz w:val="20"/>
              </w:rPr>
              <w:t>minpred</w:t>
            </w:r>
            <w:r>
              <w:rPr>
                <w:rStyle w:val="Style_2_ch"/>
                <w:sz w:val="20"/>
              </w:rPr>
              <w:t>.sakha.gov.ru</w:t>
            </w:r>
            <w:r>
              <w:rPr>
                <w:rStyle w:val="Style_2_ch"/>
                <w:sz w:val="20"/>
              </w:rPr>
              <w:fldChar w:fldCharType="end"/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 xml:space="preserve">  </w:t>
            </w:r>
          </w:p>
          <w:p w14:paraId="0D000000">
            <w:pPr>
              <w:widowControl w:val="0"/>
              <w:ind/>
              <w:jc w:val="center"/>
            </w:pPr>
          </w:p>
        </w:tc>
      </w:tr>
      <w:tr>
        <w:trPr>
          <w:trHeight w:hRule="atLeast" w:val="267"/>
        </w:trPr>
        <w:tc>
          <w:tcPr>
            <w:tcW w:type="dxa" w:w="10063"/>
            <w:gridSpan w:val="3"/>
            <w:shd w:fill="auto" w:val="clear"/>
          </w:tcPr>
          <w:p w14:paraId="0E000000">
            <w:pPr>
              <w:rPr>
                <w:color w:val="FFFFFF"/>
                <w:sz w:val="20"/>
              </w:rPr>
            </w:pPr>
            <w:bookmarkStart w:id="1" w:name="regnumdatestamp"/>
            <w:r>
              <w:rPr>
                <w:color w:val="FFFFFF"/>
                <w:sz w:val="20"/>
              </w:rPr>
              <w:t>Дата и номер</w:t>
            </w:r>
            <w:bookmarkEnd w:id="1"/>
          </w:p>
          <w:p w14:paraId="0F000000">
            <w:pPr>
              <w:widowControl w:val="0"/>
              <w:ind/>
              <w:jc w:val="center"/>
              <w:rPr>
                <w:b w:val="1"/>
              </w:rPr>
            </w:pPr>
          </w:p>
        </w:tc>
      </w:tr>
    </w:tbl>
    <w:p w14:paraId="10000000">
      <w:pPr>
        <w:widowControl w:val="0"/>
        <w:ind w:firstLine="708" w:left="0"/>
        <w:jc w:val="center"/>
        <w:rPr>
          <w:sz w:val="24"/>
        </w:rPr>
      </w:pPr>
    </w:p>
    <w:p w14:paraId="11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СВОДНЫЙ ОТЧЕТ</w:t>
      </w:r>
    </w:p>
    <w:p w14:paraId="12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результатах проведения оценки регулирующего</w:t>
      </w:r>
    </w:p>
    <w:p w14:paraId="13000000">
      <w:pPr>
        <w:widowControl w:val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воздействия проекта нормативного правового акта</w:t>
      </w:r>
    </w:p>
    <w:p w14:paraId="14000000">
      <w:pPr>
        <w:widowControl w:val="0"/>
        <w:ind/>
        <w:jc w:val="both"/>
        <w:rPr>
          <w:rFonts w:ascii="Times New Roman" w:hAnsi="Times New Roman"/>
          <w:sz w:val="24"/>
        </w:rPr>
      </w:pPr>
    </w:p>
    <w:p w14:paraId="15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</w:t>
      </w:r>
      <w:r>
        <w:rPr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Общая информация</w:t>
      </w:r>
    </w:p>
    <w:p w14:paraId="16000000">
      <w:pPr>
        <w:widowControl w:val="0"/>
        <w:tabs>
          <w:tab w:leader="none" w:pos="1134" w:val="left"/>
        </w:tabs>
        <w:ind w:firstLine="567" w:left="0"/>
        <w:jc w:val="both"/>
        <w:rPr/>
      </w:pPr>
      <w:r>
        <w:rPr>
          <w:rFonts w:ascii="Times New Roman" w:hAnsi="Times New Roman"/>
          <w:sz w:val="24"/>
          <w:u w:val="single"/>
        </w:rPr>
        <w:t>1.1.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Орган-разработчик:</w:t>
      </w:r>
      <w:r>
        <w:rPr>
          <w:rFonts w:ascii="Times New Roman" w:hAnsi="Times New Roman"/>
          <w:sz w:val="24"/>
        </w:rPr>
        <w:t xml:space="preserve"> Министерство предпринимательства, торговли и туризма Республики Саха (Якутия)</w:t>
      </w:r>
    </w:p>
    <w:p w14:paraId="17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1.2.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Вид и наименование проекта нормативного правового акта:</w:t>
      </w:r>
      <w:r>
        <w:rPr>
          <w:rStyle w:val="Style_3_ch"/>
          <w:rFonts w:ascii="Times New Roman" w:hAnsi="Times New Roman"/>
          <w:sz w:val="24"/>
        </w:rPr>
        <w:t xml:space="preserve"> </w:t>
      </w:r>
      <w:r>
        <w:rPr>
          <w:rStyle w:val="Style_3_ch"/>
          <w:rFonts w:ascii="Times New Roman" w:hAnsi="Times New Roman"/>
          <w:sz w:val="24"/>
        </w:rPr>
        <w:t>Постановление Правительс</w:t>
      </w:r>
      <w:r>
        <w:rPr>
          <w:rStyle w:val="Style_3_ch"/>
          <w:rFonts w:ascii="Times New Roman" w:hAnsi="Times New Roman"/>
          <w:sz w:val="24"/>
        </w:rPr>
        <w:t xml:space="preserve">тва Республики Саха (Якутия) </w:t>
      </w:r>
      <w:r>
        <w:rPr>
          <w:rStyle w:val="Style_3_ch"/>
          <w:rFonts w:ascii="Times New Roman" w:hAnsi="Times New Roman"/>
          <w:sz w:val="24"/>
        </w:rPr>
        <w:t>«Об утверждении Положения о региональном государственном контроле (надзоре) в области розничной продажи табачной и никотиносодержащей продукции на территории Республики Саха (Якутия) и внесении изменений в отдельные правовые акты Правительства Республики Саха (Якутия)»</w:t>
      </w:r>
    </w:p>
    <w:p w14:paraId="18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1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  <w:u w:val="single"/>
        </w:rPr>
        <w:t>1.3.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 xml:space="preserve">Краткое описание проблемы, на решение которой направлено предлагаемое правовое регулирование: </w:t>
      </w:r>
    </w:p>
    <w:p w14:paraId="1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/>
        <w:t>В связи с передачей субъектам Российской Федерации полномочий по лицензированию розничной и развозной торговли табачной продукцией и никотинсодержащей продукцией, а также по осуществлению регионального государственного контроля (надзора) в указанной сфере, в Республике Саха (Якутия) необходимо нормативно определить уполномоченный орган и порядок осуществления регионального государственного контроля (надзора). В настоящее время соответствующее региональное правовое регулирование отсутствует.</w:t>
      </w:r>
    </w:p>
    <w:p w14:paraId="1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1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1.4.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Краткое описание целей предлагаемого правового регулирования:</w:t>
      </w:r>
    </w:p>
    <w:p w14:paraId="1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/>
        <w:t>Обеспечение реализации Республикой Саха (Якутия) переданных полномочий по осуществлению регионального государственного контроля (надзора) в области розничной продажи табачной и никотиносодержащей продукции, обеспечение соблюдения лицензионных требований и предупреждение, выявление и пресечение нарушений обязательных требований.</w:t>
      </w:r>
    </w:p>
    <w:p w14:paraId="1E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1F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1.3.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Краткое описание содержания предлагаемого правого регулирования, основание для разработки проекта  нормативного правового акта:</w:t>
      </w:r>
    </w:p>
    <w:p w14:paraId="20000000">
      <w:pPr>
        <w:widowControl w:val="0"/>
        <w:tabs>
          <w:tab w:leader="none" w:pos="1134" w:val="left"/>
        </w:tabs>
        <w:ind w:firstLine="567" w:left="0"/>
        <w:jc w:val="both"/>
        <w:rPr/>
      </w:pPr>
      <w:r>
        <w:rPr>
          <w:rStyle w:val="Style_3_ch"/>
        </w:rPr>
        <w:t>Проектом предлагается утвердить Положение о региональном государственном контроле (надзоре) в области розничной продажи табачной и никотиносодержащей продукции на территории Республики Саха (Якутия), определить Министерство предпринимательства, торговли и туризма Республики Саха (Якутия) уполномоченным органом, установить порядок учета объектов контроля, применения риск-ориентированного подхода, профилактических и контрольных (надзорных) мероприятий, а также внести изменения в постановление Правительства Республики Саха (Якутия) от 11 марта 2022 г. № 137 и распоряжение Правительства Республики Саха (Якутия) от 6 июля 2011 г. № 689-р.</w:t>
      </w:r>
    </w:p>
    <w:p w14:paraId="21000000">
      <w:pPr>
        <w:widowControl w:val="0"/>
        <w:tabs>
          <w:tab w:leader="none" w:pos="1134" w:val="left"/>
        </w:tabs>
        <w:ind w:firstLine="567" w:left="0"/>
        <w:jc w:val="both"/>
        <w:rPr>
          <w:rFonts w:ascii="Times New Roman" w:hAnsi="Times New Roman"/>
          <w:sz w:val="24"/>
        </w:rPr>
      </w:pPr>
    </w:p>
    <w:p w14:paraId="22000000">
      <w:pPr>
        <w:widowControl w:val="0"/>
        <w:tabs>
          <w:tab w:leader="none" w:pos="1134" w:val="left"/>
        </w:tabs>
        <w:ind w:firstLine="567" w:left="0"/>
        <w:jc w:val="both"/>
        <w:rPr/>
      </w:pPr>
      <w:r>
        <w:rPr>
          <w:rFonts w:ascii="Times New Roman" w:hAnsi="Times New Roman"/>
          <w:sz w:val="24"/>
          <w:u w:val="single"/>
        </w:rPr>
        <w:t>1.5.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Контактная информация исполнителя в органе-р</w:t>
      </w:r>
      <w:r>
        <w:rPr>
          <w:rFonts w:ascii="Times New Roman" w:hAnsi="Times New Roman"/>
          <w:sz w:val="24"/>
          <w:u w:val="single"/>
        </w:rPr>
        <w:t>азработчике:</w:t>
      </w:r>
    </w:p>
    <w:p w14:paraId="23000000">
      <w:pPr>
        <w:widowControl w:val="0"/>
        <w:ind w:firstLine="567" w:left="0"/>
        <w:jc w:val="both"/>
        <w:rPr/>
      </w:pPr>
      <w:r>
        <w:rPr>
          <w:rFonts w:ascii="Times New Roman" w:hAnsi="Times New Roman"/>
          <w:sz w:val="24"/>
        </w:rPr>
        <w:t xml:space="preserve">Ф.И.О: Ноговицын Альберт Афанасьевич </w:t>
      </w:r>
    </w:p>
    <w:p w14:paraId="24000000">
      <w:pPr>
        <w:widowControl w:val="0"/>
        <w:ind w:firstLine="567" w:left="0"/>
        <w:jc w:val="both"/>
        <w:rPr/>
      </w:pPr>
      <w:r>
        <w:rPr>
          <w:rFonts w:ascii="Times New Roman" w:hAnsi="Times New Roman"/>
          <w:sz w:val="24"/>
        </w:rPr>
        <w:t>Должность: главный специалист отдела регулирования алкогольного рынка</w:t>
      </w:r>
    </w:p>
    <w:p w14:paraId="25000000">
      <w:pPr>
        <w:widowControl w:val="0"/>
        <w:ind w:firstLine="567" w:left="0"/>
        <w:jc w:val="both"/>
        <w:rPr/>
      </w:pPr>
      <w:r>
        <w:rPr>
          <w:rFonts w:ascii="Times New Roman" w:hAnsi="Times New Roman"/>
          <w:sz w:val="24"/>
        </w:rPr>
        <w:t xml:space="preserve">Телефон, адрес электронной почты: 8(4112) 506-577, IP 6-38-40, </w:t>
      </w:r>
      <w:r>
        <w:rPr>
          <w:rStyle w:val="Style_2_ch"/>
          <w:rFonts w:ascii="Times New Roman" w:hAnsi="Times New Roman"/>
          <w:sz w:val="24"/>
        </w:rPr>
        <w:fldChar w:fldCharType="begin"/>
      </w:r>
      <w:r>
        <w:rPr>
          <w:rStyle w:val="Style_2_ch"/>
          <w:rFonts w:ascii="Times New Roman" w:hAnsi="Times New Roman"/>
          <w:sz w:val="24"/>
        </w:rPr>
        <w:instrText>HYPERLINK "mailto:nogovitsin.aa@sakha.gov.ru"</w:instrText>
      </w:r>
      <w:r>
        <w:rPr>
          <w:rStyle w:val="Style_2_ch"/>
          <w:rFonts w:ascii="Times New Roman" w:hAnsi="Times New Roman"/>
          <w:sz w:val="24"/>
        </w:rPr>
        <w:fldChar w:fldCharType="separate"/>
      </w:r>
      <w:r>
        <w:rPr>
          <w:rStyle w:val="Style_2_ch"/>
          <w:rFonts w:ascii="Times New Roman" w:hAnsi="Times New Roman"/>
          <w:sz w:val="24"/>
        </w:rPr>
        <w:t>nogovitsin.aa@sakha.gov.ru</w:t>
      </w:r>
      <w:r>
        <w:rPr>
          <w:rStyle w:val="Style_2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26000000">
      <w:pPr>
        <w:widowControl w:val="0"/>
        <w:tabs>
          <w:tab w:leader="none" w:pos="1134" w:val="left"/>
        </w:tabs>
        <w:ind w:firstLine="567" w:left="0"/>
        <w:jc w:val="both"/>
      </w:pPr>
    </w:p>
    <w:p w14:paraId="2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1.7.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Степень регулирующего воздействия проекта нормативного правового а</w:t>
      </w:r>
      <w:r>
        <w:rPr>
          <w:rFonts w:ascii="PT Astra Serif" w:hAnsi="PT Astra Serif"/>
          <w:sz w:val="24"/>
          <w:u w:val="single"/>
        </w:rPr>
        <w:t xml:space="preserve">кта: </w:t>
      </w:r>
      <w:r>
        <w:rPr>
          <w:b w:val="0"/>
        </w:rPr>
        <w:t xml:space="preserve"> высокая</w:t>
      </w:r>
    </w:p>
    <w:p w14:paraId="28000000">
      <w:pPr>
        <w:widowControl w:val="0"/>
        <w:tabs>
          <w:tab w:leader="none" w:pos="1134" w:val="left"/>
        </w:tabs>
        <w:ind w:firstLine="567" w:left="0"/>
        <w:jc w:val="both"/>
        <w:rPr>
          <w:shd w:fill="F8D957" w:val="clear"/>
        </w:rPr>
      </w:pPr>
    </w:p>
    <w:p w14:paraId="2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1.8.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Обоснование отнесения проекта нормативного правового акта к определенной степени регулирующего воздействия:</w:t>
      </w:r>
    </w:p>
    <w:p w14:paraId="2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Проект затрагивает деятельность организаций и индивидуальных предпринимателей, осуществляющих розничную и развозную торговлю табачной продукцией и никотинсодержащей продукцией, и устанавливает региональный порядок осуществления в отношении них государственного контроля (надзора). Проектом определяются процедуры профилактических и контрольных (надзорных) мероприятий, риск-ориентированный подход и порядок взаимодействия с контролируемыми лицами.</w:t>
      </w:r>
    </w:p>
    <w:p w14:paraId="2B000000">
      <w:pPr>
        <w:spacing w:after="0" w:before="0"/>
        <w:ind w:firstLine="540" w:left="0" w:right="0"/>
        <w:jc w:val="both"/>
        <w:rPr>
          <w:shd w:fill="F8D957" w:val="clear"/>
        </w:rPr>
      </w:pPr>
    </w:p>
    <w:p w14:paraId="2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 xml:space="preserve">1.9.  </w:t>
      </w:r>
      <w:r>
        <w:rPr>
          <w:rFonts w:ascii="PT Astra Serif" w:hAnsi="PT Astra Serif"/>
          <w:sz w:val="24"/>
          <w:u w:val="single"/>
        </w:rPr>
        <w:t>Наличие или отсутствие в проекте нормативного правового акта обязательных требований:</w:t>
      </w:r>
    </w:p>
    <w:p w14:paraId="2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Проект не устанавливает самостоятельных обязательных требований сверх требований, определенных федеральным законодательством. Проект устанавливает региональный порядок контроля (надзора) за соблюдением лицензионных требований и запретов, предусмотренных Федеральным законом от 13 июня 2023 г. № 203-ФЗ.</w:t>
      </w:r>
    </w:p>
    <w:p w14:paraId="2E000000">
      <w:pPr>
        <w:spacing w:after="0" w:before="0"/>
        <w:ind w:firstLine="540" w:left="0" w:right="0"/>
        <w:jc w:val="both"/>
        <w:rPr>
          <w:shd w:fill="F8D957" w:val="clear"/>
        </w:rPr>
      </w:pPr>
    </w:p>
    <w:p w14:paraId="2F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b w:val="1"/>
          <w:sz w:val="24"/>
        </w:rPr>
        <w:t>2.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Описание проблемы, на решение которой направлено предлагаемое правовое регулирование</w:t>
      </w:r>
    </w:p>
    <w:p w14:paraId="30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  <w:u w:val="single"/>
        </w:rPr>
        <w:t>2.1.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Формулировка проблемы:</w:t>
      </w:r>
    </w:p>
    <w:p w14:paraId="3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Отсутствие на территории Республики Саха (Якутия) нормативного правового акта, устанавливающего порядок организации и осуществления регионального государственного контроля (надзора) в области розничной продажи табачной и никотиносодержащей продукции, а также закрепляющего полномочия уполномоченного исполнительного органа государственной власти Республики Саха (Якутия).</w:t>
      </w:r>
    </w:p>
    <w:p w14:paraId="3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33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  <w:u w:val="single"/>
        </w:rPr>
        <w:t>2.2.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3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</w:pPr>
      <w:r>
        <w:t>Проблема возникла вследствие принятия Федерального закона от 26 июня 2026 г. № 186-ФЗ, предусматривающего передачу субъектам Российской Федерации полномочий в сфере лицензирования и регионального го</w:t>
      </w:r>
      <w:r>
        <w:rPr>
          <w:rStyle w:val="Style_3_ch"/>
        </w:rPr>
        <w:t xml:space="preserve">сударственного контроля (надзора) в области розничной и развозной торговли табачной и никотинсодержащей продукцией и осуществления регионального государственного контроля (надзора) </w:t>
      </w:r>
      <w:r>
        <w:rPr>
          <w:rStyle w:val="Style_3_ch"/>
        </w:rPr>
        <w:t>в области розничной продажи табачной и никотиносодержащей продукции на территории Республики Саха (Якутия)</w:t>
      </w:r>
      <w:r>
        <w:rPr>
          <w:rStyle w:val="Style_3_ch"/>
        </w:rPr>
        <w:t>.</w:t>
      </w:r>
    </w:p>
    <w:p w14:paraId="35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36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</w:pPr>
      <w:r>
        <w:rPr>
          <w:rFonts w:ascii="PT Astra Serif" w:hAnsi="PT Astra Serif"/>
          <w:sz w:val="24"/>
          <w:u w:val="single"/>
        </w:rPr>
        <w:t>2.3.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Социальные группы, заинтересованные в устранении проблемы, их количественная оценка:</w:t>
      </w:r>
    </w:p>
    <w:p w14:paraId="3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</w:pPr>
      <w:r>
        <w:rPr>
          <w:rStyle w:val="Style_3_ch"/>
        </w:rPr>
        <w:t>О</w:t>
      </w:r>
      <w:r>
        <w:rPr>
          <w:rStyle w:val="Style_3_ch"/>
        </w:rPr>
        <w:t xml:space="preserve">рганизации и индивидуальные предприниматели, осуществляющие розничную </w:t>
      </w:r>
      <w:r>
        <w:rPr>
          <w:rStyle w:val="Style_3_ch"/>
        </w:rPr>
        <w:t>и развозную торговлю табачной продукцией и никотинсодержащей продукцией; потребители указанной продукции; Министерство предпринимательства, торговли и туризма Республики Саха (Якутия); иные органы государственной власти, участвующие в межведомственном информационном взаимодействии.</w:t>
      </w:r>
    </w:p>
    <w:p w14:paraId="3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3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  <w:u w:val="single"/>
        </w:rPr>
        <w:t>2.4.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Характеристика негативных эффектов, возникающих в связи с наличием проблемы, их количественная оценка:</w:t>
      </w:r>
    </w:p>
    <w:p w14:paraId="3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Негативными эффектами являются отсутствие правовых и организационных механизмов реализации переданных полномочий, невозможность осуществления регионального государственного контроля (надзора) в установленном порядке, снижение эффективности профилактики, выявления и пресечения нарушений обязательных требований, а также риск несоблюдения лицензионных требований участниками рынка.</w:t>
      </w:r>
    </w:p>
    <w:p w14:paraId="3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3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2.5.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Причины возникновения проблемы и факторы, поддерживающие ее существование:</w:t>
      </w:r>
    </w:p>
    <w:p w14:paraId="3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Причиной возникновения проблемы является изменение федерального законодательства и передача субъектам Российской Федерации полномочий по лицензированию и осуществлению регионального государственного контроля (надзора) в указанной сфере. Фактором, поддерживающим проблему, является отсутствие регионального нормативного правового регулирования и организационного механизма реализации переданных полномочий.</w:t>
      </w:r>
    </w:p>
    <w:p w14:paraId="3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3F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2.6.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Причины невозможности решения проблемы участниками соответствующих отношений самостоятельно, без вмешательства государства:</w:t>
      </w:r>
      <w:r>
        <w:rPr>
          <w:rFonts w:ascii="PT Astra Serif" w:hAnsi="PT Astra Serif"/>
          <w:sz w:val="24"/>
        </w:rPr>
        <w:t xml:space="preserve"> </w:t>
      </w:r>
    </w:p>
    <w:p w14:paraId="40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Проблема не может быть решена организациями, индивидуальными предпринимателями и иными участниками соответствующих отношений самостоятельно, поскольку определение уполномоченного контрольного (надзорного) органа, порядка осуществления регионального государственного контроля (надзора), а также закрепление полномочий исполнительного органа относятся к компетенции органов государственной власти Республики Саха (Якутия).</w:t>
      </w:r>
    </w:p>
    <w:p w14:paraId="4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4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2.7.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Опыт решения аналогичных проблем в других субъектах Российской Федерации, иностранных государствах:</w:t>
      </w:r>
      <w:r>
        <w:rPr>
          <w:rFonts w:ascii="PT Astra Serif" w:hAnsi="PT Astra Serif"/>
          <w:sz w:val="24"/>
        </w:rPr>
        <w:t xml:space="preserve"> принятие нормативно-правовых актов. </w:t>
      </w:r>
    </w:p>
    <w:p w14:paraId="43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4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rPr>
          <w:rFonts w:ascii="PT Astra Serif" w:hAnsi="PT Astra Serif"/>
          <w:sz w:val="24"/>
          <w:u w:val="single"/>
        </w:rPr>
        <w:t>2.8.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 xml:space="preserve">Источники данных: </w:t>
      </w:r>
    </w:p>
    <w:p w14:paraId="45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Федеральный закон от 31 июля 2020 г. № 248-ФЗ «О государственном контроле (надзоре) и муниципальном контроле в Российской Федерации»; Федеральный закон от 13 июня 2023 г.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производства»; Федеральный закон от 26 июня 2026 г. № 186-ФЗ «О внесении изменений в отдельные законодательные акты Российской Федерации».</w:t>
      </w:r>
    </w:p>
    <w:p w14:paraId="46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</w:pPr>
    </w:p>
    <w:p w14:paraId="4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u w:val="none"/>
        </w:rPr>
      </w:pPr>
      <w:r>
        <w:rPr>
          <w:rStyle w:val="Style_3_ch"/>
          <w:u w:val="single"/>
        </w:rPr>
        <w:t>2.9.</w:t>
      </w:r>
      <w:r>
        <w:rPr>
          <w:rStyle w:val="Style_3_ch"/>
          <w:u w:val="single"/>
        </w:rPr>
        <w:tab/>
      </w:r>
      <w:r>
        <w:rPr>
          <w:rStyle w:val="Style_3_ch"/>
          <w:u w:val="single"/>
        </w:rPr>
        <w:t>Иная информация о проблеме</w:t>
      </w:r>
      <w:r>
        <w:rPr>
          <w:rStyle w:val="Style_3_ch"/>
          <w:u w:val="single"/>
        </w:rPr>
        <w:t>:</w:t>
      </w:r>
      <w:r>
        <w:rPr>
          <w:u w:val="none"/>
        </w:rPr>
        <w:t xml:space="preserve"> отсутствует.</w:t>
      </w:r>
    </w:p>
    <w:p w14:paraId="4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u w:val="none"/>
        </w:rPr>
      </w:pPr>
    </w:p>
    <w:p w14:paraId="4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3.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Определение целей предлагаемого правового регулирования и индикаторов для оценки их достижения</w:t>
      </w:r>
      <w:r>
        <w:rPr>
          <w:rFonts w:ascii="PT Astra Serif" w:hAnsi="PT Astra Serif"/>
          <w:sz w:val="24"/>
        </w:rPr>
        <w:t xml:space="preserve"> 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41"/>
        <w:gridCol w:w="3119"/>
        <w:gridCol w:w="2703"/>
      </w:tblGrid>
      <w:tr>
        <w:tc>
          <w:tcPr>
            <w:tcW w:type="dxa" w:w="42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42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реализации переданных Республике Саха (Якутия) полномочий по осуществлению регионального государственного контроля (надзора) в области розничной продажи табачной и никотиносодержащей продукции.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 1 марта 2027 года — даты вступления в силу пункта 1 проекта постановления.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Ежегодно</w:t>
            </w:r>
          </w:p>
        </w:tc>
      </w:tr>
      <w:tr>
        <w:tc>
          <w:tcPr>
            <w:tcW w:type="dxa" w:w="42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соблюдения обязательных требований, профилактика, предупреждение, выявление и пресечение нарушений в указанной сфере.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Постоянно после вступления в силу правового регулирования.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Ежегодно</w:t>
            </w:r>
          </w:p>
        </w:tc>
      </w:tr>
    </w:tbl>
    <w:p w14:paraId="53000000">
      <w:pPr>
        <w:pStyle w:val="Style_3"/>
        <w:widowControl w:val="0"/>
        <w:spacing w:after="0" w:before="0" w:line="276" w:lineRule="auto"/>
        <w:ind w:firstLine="709" w:left="0"/>
        <w:rPr>
          <w:rFonts w:ascii="PT Astra Serif" w:hAnsi="PT Astra Serif"/>
          <w:color w:val="00B0F0"/>
          <w:sz w:val="24"/>
        </w:rPr>
      </w:pPr>
    </w:p>
    <w:p w14:paraId="5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3.4.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099"/>
        <w:gridCol w:w="1985"/>
        <w:gridCol w:w="1701"/>
        <w:gridCol w:w="2278"/>
      </w:tblGrid>
      <w:tr>
        <w:tc>
          <w:tcPr>
            <w:tcW w:type="dxa" w:w="4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3.7. Единица измерения индикаторов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4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Реализация переданных полномочий по осуществлению регионального государственного контроля (надзора).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Принятие и вступление в силу Положения; закрепление полномочий Министерства; осуществление учета объектов контроля.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Наличие правового акта; единицы.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C000000">
            <w:pPr>
              <w:widowControl w:val="0"/>
              <w:spacing w:after="0" w:line="276" w:lineRule="auto"/>
              <w:ind w:firstLine="709" w:left="0"/>
              <w:rPr>
                <w:rFonts w:ascii="PT Astra Serif" w:hAnsi="PT Astra Serif"/>
                <w:sz w:val="24"/>
              </w:rPr>
            </w:pPr>
          </w:p>
        </w:tc>
      </w:tr>
      <w:tr>
        <w:tc>
          <w:tcPr>
            <w:tcW w:type="dxa" w:w="4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соблюдения обязательных требований.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Проведение профилактических мероприятий; подготовка доклада о правоприменительной практике; проведение контрольных (надзорных) мероприятий при наличии предусмотренных законодательством оснований.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Единицы; количество мероприятий.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60000000">
            <w:pPr>
              <w:widowControl w:val="0"/>
              <w:spacing w:after="0" w:line="276" w:lineRule="auto"/>
              <w:ind w:firstLine="709" w:left="0"/>
              <w:rPr>
                <w:rFonts w:ascii="PT Astra Serif" w:hAnsi="PT Astra Serif"/>
                <w:sz w:val="24"/>
              </w:rPr>
            </w:pPr>
          </w:p>
        </w:tc>
      </w:tr>
    </w:tbl>
    <w:p w14:paraId="6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6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3.9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Методы расчета индикаторов достижения целей предлагаемого правового регулирования, источники информации для расчетов:</w:t>
      </w:r>
      <w:r>
        <w:rPr>
          <w:rFonts w:ascii="PT Astra Serif" w:hAnsi="PT Astra Serif"/>
          <w:sz w:val="24"/>
        </w:rPr>
        <w:t xml:space="preserve"> </w:t>
      </w:r>
    </w:p>
    <w:p w14:paraId="63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ежегодно.</w:t>
      </w:r>
    </w:p>
    <w:p w14:paraId="6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65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3.10.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Проведение мониторинга и иные способы (методы) оценки достижения целей предлагаемого правового регулирования:</w:t>
      </w:r>
    </w:p>
    <w:p w14:paraId="66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Мониторинг предполагается осуществлять путем учета объектов контроля, анализа результатов профилактических и контрольных (надзорных) мероприятий, обобщения правоприменительной практики и подготовки ежегодного доклада о правоприменительной практике.</w:t>
      </w:r>
    </w:p>
    <w:p w14:paraId="6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6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3.11.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Оценка затрат на проведение мониторинга достижения целей предлагаемого правового регулирования</w:t>
      </w:r>
      <w:r>
        <w:rPr>
          <w:rFonts w:ascii="PT Astra Serif" w:hAnsi="PT Astra Serif"/>
          <w:sz w:val="24"/>
        </w:rPr>
        <w:t xml:space="preserve">: </w:t>
      </w:r>
    </w:p>
    <w:p w14:paraId="6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Мониторинг достижения целей предлагаемого правового регулирования не требует выделения дополнительных средств.</w:t>
      </w:r>
    </w:p>
    <w:p w14:paraId="6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6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3.12.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Источники информации для расчета индикаторов:</w:t>
      </w:r>
    </w:p>
    <w:p w14:paraId="6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Информационные системы Министерства, сведения контролируемых лиц в случаях, предусмотренных законодательством, сведения межведомственного взаимодействия, общедоступная информация, результаты профилактических и контрольных (надзорных) мероприятий.</w:t>
      </w:r>
    </w:p>
    <w:p w14:paraId="6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</w:pPr>
    </w:p>
    <w:p w14:paraId="6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4.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 xml:space="preserve">Качественная характеристика и оценка численности потенциальных адресатов </w:t>
      </w:r>
      <w:r>
        <w:rPr>
          <w:rFonts w:ascii="PT Astra Serif" w:hAnsi="PT Astra Serif"/>
          <w:sz w:val="24"/>
        </w:rPr>
        <w:t>предлагаемого правового регулирования (их групп)</w:t>
      </w:r>
    </w:p>
    <w:tbl>
      <w:tblPr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614"/>
        <w:gridCol w:w="2253"/>
        <w:gridCol w:w="3606"/>
      </w:tblGrid>
      <w:t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4.2. Количество участников группы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4.3. Источники данных</w:t>
            </w:r>
          </w:p>
        </w:tc>
      </w:tr>
      <w:t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Организации и индивидуальные предприниматели, осуществляющие розничную и развозную торговлю табачной продукцией и никотинсодержащей продукцией на территории Республики Саха (Якутия).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Сведения лицензирующего органа, государственные информационные системы, данные межведомственного взаимодействия. Конкретные количественные данные отсутствуют.</w:t>
            </w:r>
          </w:p>
        </w:tc>
      </w:tr>
      <w:t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Министерство предпринимательства, торговли и туризма Республики Саха (Якутия), включая должностных лиц, уполномоченных осуществлять контроль (надзор).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Предусматривается введение 5 дополнительных штатных единиц. Действующая численность должностных лиц, осуществляющих контроль, отсутствует в представленных материалах.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Финансово-экономическое обоснование; проект Положения.</w:t>
            </w:r>
          </w:p>
        </w:tc>
      </w:tr>
    </w:tbl>
    <w:p w14:paraId="7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b w:val="1"/>
          <w:sz w:val="24"/>
        </w:rPr>
      </w:pPr>
    </w:p>
    <w:p w14:paraId="7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5.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 xml:space="preserve">Изменение функций (полномочий, обязанностей, прав) органов государственной власти Республики Саха (Якутия) (органов местного самоуправления), а также порядка их реализации в связи с введением предлагаемого правового регулирования </w:t>
      </w:r>
    </w:p>
    <w:tbl>
      <w:tblPr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42"/>
        <w:gridCol w:w="1842"/>
        <w:gridCol w:w="1843"/>
        <w:gridCol w:w="1985"/>
        <w:gridCol w:w="1942"/>
      </w:tblGrid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5.3. Предполагаемый порядок реализации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00000">
            <w:pPr>
              <w:ind/>
              <w:jc w:val="center"/>
            </w:pPr>
            <w:r>
              <w:t>Осуществление регионального государственного контроля (надзора) в области розничной продажи табачной и никотиносодержащей продукции.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ind/>
              <w:jc w:val="center"/>
            </w:pPr>
            <w:r>
              <w:t>Новая.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00000">
            <w:pPr>
              <w:ind/>
              <w:jc w:val="center"/>
            </w:pPr>
            <w:r>
              <w:t>Министерством в соответствии с утверждаемым Положением, Федеральным законом № 248-ФЗ и Федеральным законом № 203-ФЗ; посредством учета объектов контроля, управления рисками, профилактических и контрольных (надзорных) мероприятий.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00000">
            <w:pPr>
              <w:ind/>
              <w:jc w:val="center"/>
            </w:pPr>
            <w:r>
              <w:t xml:space="preserve">Предусматривается введение 5 дополнительных штатных единиц. </w:t>
            </w: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00000">
            <w:pPr>
              <w:ind/>
              <w:jc w:val="center"/>
            </w:pPr>
            <w:r>
              <w:t>Потребность в материально-техническом обеспечении, командировочных расходах, оборудовании и иных ресурсах подлежит уточнению при формировании бюджетных ассигнований.</w:t>
            </w:r>
          </w:p>
        </w:tc>
      </w:tr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00000">
            <w:pPr>
              <w:ind/>
              <w:jc w:val="center"/>
            </w:pPr>
            <w:r>
              <w:t>Лицензирование розничной и развозной торговли табачной продукцией и никотинсодержащей продукцией.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00000">
            <w:pPr>
              <w:ind/>
              <w:jc w:val="center"/>
            </w:pPr>
            <w:r>
              <w:t>Новая.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6000000">
            <w:pPr>
              <w:ind/>
              <w:jc w:val="center"/>
            </w:pPr>
            <w:r>
              <w:t>Министерством в пределах полномочий, установленных федеральным законодательством и нормативными правовыми актами Республики Саха (Якутия).</w:t>
            </w:r>
          </w:p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00000">
            <w:pPr>
              <w:ind/>
              <w:jc w:val="center"/>
            </w:pPr>
            <w:r>
              <w:t>Потребность в материально-техническом обеспечении, командировочных расходах, оборудовании и иных ресурсах подлежит уточнению при формировании бюджетных ассигнований.</w:t>
            </w:r>
          </w:p>
        </w:tc>
      </w:tr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00000">
            <w:pPr>
              <w:ind/>
              <w:jc w:val="center"/>
            </w:pPr>
            <w:r>
              <w:t>Включение соответствующей государственной услуги (функции) в Реестр государственных услуг Республики Саха (Якутия).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00000">
            <w:pPr>
              <w:ind/>
              <w:jc w:val="center"/>
            </w:pPr>
            <w:r>
              <w:t>Новая.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ind/>
              <w:jc w:val="center"/>
            </w:pPr>
            <w:r>
              <w:t>Внесение изменений в приложение № 4 к распоряжению Правительства Республики Саха (Якутия) от 6 июля 2011 г. № 689-р.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00000">
            <w:pPr>
              <w:ind/>
              <w:jc w:val="center"/>
            </w:pPr>
          </w:p>
        </w:tc>
        <w:tc>
          <w:tcPr>
            <w:tcW w:type="dxa" w:w="1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00000">
            <w:pPr>
              <w:ind/>
              <w:jc w:val="center"/>
            </w:pPr>
          </w:p>
        </w:tc>
      </w:tr>
    </w:tbl>
    <w:p w14:paraId="8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8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6.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Оценка дополнительных расходов (доходов) государственного бюджета Республики Саха (Якутия) (местных бюджетов), связанных с введением предлагаемого правового регулирования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835"/>
        <w:gridCol w:w="3686"/>
        <w:gridCol w:w="2845"/>
      </w:tblGrid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6.1. Наименование функции (полномочия, обязанности или права) (в соответствии с подпунктом 5.1)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6.2. Виды расходов (возможных поступлений) государственного бюджета Республики Саха (Якутия) (местных бюджетов)</w:t>
            </w:r>
          </w:p>
        </w:tc>
        <w:tc>
          <w:tcPr>
            <w:tcW w:type="dxa" w:w="2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6.3. Количественная оценка расходов и возможных поступлений, млн. рублей</w:t>
            </w:r>
          </w:p>
        </w:tc>
      </w:tr>
      <w:tr>
        <w:trPr>
          <w:trHeight w:hRule="atLeast" w:val="1380"/>
        </w:trP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00000">
            <w:pPr>
              <w:ind/>
              <w:jc w:val="center"/>
            </w:pPr>
            <w:r>
              <w:t>Осуществление лицензирования и регионального государственного контроля (надзора) в области розничной продажи табачной и никотинсодержащей продукции.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3000000">
            <w:pPr>
              <w:ind/>
              <w:jc w:val="center"/>
            </w:pPr>
            <w:r>
              <w:t>Расходы на оплату труда 5 дополнительных штатных единиц с учетом начислений.</w:t>
            </w:r>
          </w:p>
        </w:tc>
        <w:tc>
          <w:tcPr>
            <w:tcW w:type="dxa" w:w="2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00000">
            <w:pPr>
              <w:ind/>
              <w:jc w:val="center"/>
            </w:pPr>
            <w:r>
              <w:t>Ориентировочно 8,5 млн рублей в год.</w:t>
            </w:r>
          </w:p>
        </w:tc>
      </w:tr>
    </w:tbl>
    <w:p w14:paraId="95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96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6.4.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Другие сведения о дополнительных расходах (доходах) государственного бюджета Республики Саха (Якутия) (местных бюджетов), возникающих в связи с введением предлагаемого правового регулирования</w:t>
      </w:r>
      <w:r>
        <w:rPr>
          <w:rFonts w:ascii="PT Astra Serif" w:hAnsi="PT Astra Serif"/>
          <w:sz w:val="24"/>
        </w:rPr>
        <w:t xml:space="preserve">: </w:t>
      </w:r>
    </w:p>
    <w:p w14:paraId="9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Финансирование деятельности сотрудников Министерства, осуществляющих лицензирование и последующий региональный государственный контроль (надзор), предполагается осуществлять за счет доходов государственного бюджета Республики Саха (Якутия) от государственной пошлины, уплачиваемой лицензиатами за предоставление лицензий, в порядке, установленном бюджетным законодательством Российской Федерации. Зачисление доходов и их направление на финансовое обеспечение переданных полномочий осуществляются с учетом бюджетной классификации, порядка распределения доходов и бюджетных процедур, установленных законодательством Российской Федерации и Республики Саха (Якутия).</w:t>
      </w:r>
    </w:p>
    <w:p w14:paraId="9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9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6.5.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Источники данных:</w:t>
      </w:r>
      <w:r>
        <w:rPr>
          <w:rFonts w:ascii="PT Astra Serif" w:hAnsi="PT Astra Serif"/>
          <w:sz w:val="24"/>
        </w:rPr>
        <w:t xml:space="preserve"> </w:t>
      </w:r>
    </w:p>
    <w:p w14:paraId="9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Финансово-экономическое обоснование к проекту постановления; проект постановления; пояснительная записка к проекту постановления.</w:t>
      </w:r>
    </w:p>
    <w:p w14:paraId="9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9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7.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94"/>
        <w:gridCol w:w="3151"/>
        <w:gridCol w:w="2508"/>
        <w:gridCol w:w="1711"/>
      </w:tblGrid>
      <w:tr>
        <w:trPr>
          <w:trHeight w:hRule="atLeast" w:val="566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7.1. Группы потенциальных адресатов предлагаемого правового регулирования (в соответствии с пп. 4.1 сводного отчета)</w:t>
            </w:r>
          </w:p>
        </w:tc>
        <w:tc>
          <w:tcPr>
            <w:tcW w:type="dxa" w:w="31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type="dxa" w:w="2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0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7.4. Количественная оценка, млн. рублей</w:t>
            </w:r>
          </w:p>
        </w:tc>
      </w:tr>
      <w:t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00000">
            <w:pPr>
              <w:ind/>
              <w:jc w:val="center"/>
            </w:pPr>
            <w:r>
              <w:t>Организации и индивидуальные предприниматели, осуществляющие розничную и развозную торговлю табачной продукцией и никотинсодержащей продукцией.</w:t>
            </w:r>
          </w:p>
        </w:tc>
        <w:tc>
          <w:tcPr>
            <w:tcW w:type="dxa" w:w="31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2000000">
            <w:pPr>
              <w:ind/>
              <w:jc w:val="center"/>
            </w:pPr>
            <w:r>
              <w:t>Проект не устанавливает самостоятельные новые лицензионные требования, запреты или ограничения сверх федерального законодательства. В соответствии с пунктом 1.2 проекта Положения предметом контроля является соблюдение лицензионных требований и запрета оборота продукции в случаях, установленных Федеральным законом № 203-ФЗ. В рамках процедур контроля возможно участие в профилактических и контрольных (надзорных) мероприятиях, предоставление пояснений, сведений и документов в случаях, установленных Федеральным законом № 248-ФЗ.</w:t>
            </w:r>
          </w:p>
        </w:tc>
        <w:tc>
          <w:tcPr>
            <w:tcW w:type="dxa" w:w="2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3000000">
            <w:pPr>
              <w:ind/>
              <w:jc w:val="center"/>
            </w:pPr>
            <w:r>
              <w:t>Возможные издержки носят процедурный характер и связаны с соблюдением федеральных обязательных требований, участием в профилактических и контрольных (надзорных) мероприятиях, представлением необходимых сведений и документов в предусмотренных законом случаях. Возможные доходы отсутствуют в представленных материалах.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4000000">
            <w:pPr>
              <w:ind/>
              <w:jc w:val="center"/>
            </w:pPr>
          </w:p>
        </w:tc>
      </w:tr>
      <w:t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00000">
            <w:pPr>
              <w:ind/>
              <w:jc w:val="center"/>
            </w:pPr>
            <w:r>
              <w:t>Министерство предпринимательства, торговли и туризма Республики Саха (Якутия).</w:t>
            </w:r>
          </w:p>
        </w:tc>
        <w:tc>
          <w:tcPr>
            <w:tcW w:type="dxa" w:w="31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6000000">
            <w:pPr>
              <w:ind/>
              <w:jc w:val="center"/>
            </w:pPr>
            <w:r>
              <w:t>Реализация новых полномочий по лицензированию и осуществлению регионального государственного контроля (надзора).</w:t>
            </w:r>
          </w:p>
        </w:tc>
        <w:tc>
          <w:tcPr>
            <w:tcW w:type="dxa" w:w="25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7000000">
            <w:pPr>
              <w:ind/>
              <w:jc w:val="center"/>
            </w:pPr>
            <w:r>
              <w:t>Расходы на организационное и кадровое обеспечение, оплату труда, материально-техническое обеспечение, командировки, оборудование и иные затраты.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8000000">
            <w:pPr>
              <w:ind/>
              <w:jc w:val="center"/>
            </w:pPr>
            <w:r>
              <w:t>Оплата труда — ориентировочно 8,5 млн рублей в год. Иные расходы отсутствуют в количественной оценке.</w:t>
            </w:r>
          </w:p>
        </w:tc>
      </w:tr>
    </w:tbl>
    <w:p w14:paraId="A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A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7.5.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Издержки и выгоды адресатов предлагаемого правового регулирования, не поддающиеся количественной оценке:</w:t>
      </w:r>
    </w:p>
    <w:p w14:paraId="A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Издержки организаций и индивидуальных предпринимателей связаны с участием в установленных законом процедурах лицензирования и контроля (надзора).</w:t>
      </w:r>
    </w:p>
    <w:p w14:paraId="A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 xml:space="preserve"> </w:t>
      </w:r>
    </w:p>
    <w:p w14:paraId="A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7.6.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 xml:space="preserve">Источники данных: </w:t>
      </w:r>
    </w:p>
    <w:p w14:paraId="A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  <w:r>
        <w:t>Федеральный закон от 31 июля 2020 г. № 248-ФЗ «О государственном контроле (надзоре) и муниципальном контроле в Российской Федерации»; Федеральный закон от 13 июня 2023 г.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производства»; Федеральный закон от 26 июня 2026 г. № 186-ФЗ «О внесении изменений в отдельные законодательные акты Российской Федерации».</w:t>
      </w:r>
    </w:p>
    <w:p w14:paraId="AF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b w:val="1"/>
          <w:sz w:val="24"/>
        </w:rPr>
      </w:pPr>
    </w:p>
    <w:p w14:paraId="B0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b w:val="1"/>
          <w:sz w:val="24"/>
        </w:rPr>
      </w:pPr>
      <w:r>
        <w:rPr>
          <w:rFonts w:ascii="PT Astra Serif" w:hAnsi="PT Astra Serif"/>
          <w:b w:val="1"/>
          <w:sz w:val="24"/>
        </w:rPr>
        <w:t>8.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Оценка рисков неблагоприятных последствий применения предлагаемого правового регулирования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965"/>
        <w:gridCol w:w="3119"/>
        <w:gridCol w:w="1843"/>
        <w:gridCol w:w="2136"/>
      </w:tblGrid>
      <w:tr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8.1. Виды рисков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8.3. Методы контроля рисков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8.4. Степень контроля рисков (полный/частичный/отсутствует)</w:t>
            </w:r>
          </w:p>
        </w:tc>
      </w:tr>
      <w:tr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Осуществление лицензирования и регионального государственного контроля (надзора) в области розничной продажи табачной и никотинсодержащей продукции.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Расходы на оплату труда 5 дополнительных штатных единиц с учетом начислений.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Ориентировочно 8,5 млн рублей в год.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</w:p>
        </w:tc>
      </w:tr>
      <w:tr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Осуществление лицензирования и регионального государственного контроля (надзора) в области розничной продажи табачной и никотинсодержащей продукции.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Материально-техническое обеспечение, командировочные расходы, приобретение оборудования и иные затраты.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00000">
            <w:pPr>
              <w:ind w:firstLine="0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</w:p>
        </w:tc>
      </w:tr>
      <w:tr>
        <w:tc>
          <w:tcPr>
            <w:tcW w:type="dxa" w:w="29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Осуществление лицензирования розничной и развозной торговли табачной продукцией и никотинсодержащей продукцией.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 от государственной пошлины, уплачиваемой лицензиатами за предоставление лицензий.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00000">
            <w:pPr>
              <w:ind w:firstLine="0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00000">
            <w:pPr>
              <w:pStyle w:val="Style_3"/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</w:rPr>
            </w:pPr>
          </w:p>
        </w:tc>
      </w:tr>
    </w:tbl>
    <w:p w14:paraId="C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C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8.5.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Источники данных:</w:t>
      </w:r>
      <w:r>
        <w:rPr>
          <w:rFonts w:ascii="PT Astra Serif" w:hAnsi="PT Astra Serif"/>
          <w:sz w:val="24"/>
        </w:rPr>
        <w:t xml:space="preserve"> </w:t>
      </w:r>
    </w:p>
    <w:p w14:paraId="C3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</w:t>
      </w:r>
      <w:r>
        <w:t xml:space="preserve">роект Положения; пояснительная записка; финансово-экономическое обоснование. </w:t>
      </w:r>
    </w:p>
    <w:p w14:paraId="C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C5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9.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sz w:val="24"/>
        </w:rPr>
        <w:t xml:space="preserve">Сравнение возможных вариантов решения проблемы </w:t>
      </w:r>
    </w:p>
    <w:tbl>
      <w:tblPr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962"/>
        <w:gridCol w:w="2617"/>
        <w:gridCol w:w="2484"/>
      </w:tblGrid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Вариант 1 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Вариант 2 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widowControl w:val="0"/>
              <w:spacing w:after="0" w:line="276" w:lineRule="auto"/>
              <w:ind w:firstLine="0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9.1. Содержание варианта решения проблемы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ind/>
              <w:jc w:val="center"/>
            </w:pPr>
            <w:r>
              <w:t>Сохранение действующего регулирования без принятия проекта постановления.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ind/>
              <w:jc w:val="center"/>
            </w:pPr>
            <w:r>
              <w:t>Принятие проекта постановления Правительства Республики Саха (Якутия) «Об утверждении Положения о региональном государственном контроле (надзоре) в области розничной продажи табачной и никотиносодержащей продукции на территории Республики Саха (Якутия) и внесении изменений в отдельные правовые акты Правительства Республики Саха (Якутия)».</w:t>
            </w:r>
          </w:p>
        </w:tc>
      </w:tr>
      <w:tr>
        <w:trPr>
          <w:trHeight w:hRule="atLeast" w:val="1707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D000000">
            <w:pPr>
              <w:ind/>
              <w:jc w:val="center"/>
            </w:pPr>
            <w:r>
              <w:t>Субъекты предпринимательской деятельности остаются без регионального механизма контроля (надзора); количественная оценка отсутствует в представленных материалах.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E000000">
            <w:pPr>
              <w:ind/>
              <w:jc w:val="center"/>
            </w:pPr>
            <w:r>
              <w:t>Адресатами являются организации и индивидуальные предприниматели, осуществляющие соответствующую деятельность, а также Министерство; количественная оценка числа хозяйствующих субъектов отсутствует в представленных материалах.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9.3.Оценка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0000000">
            <w:pPr>
              <w:ind/>
              <w:jc w:val="center"/>
            </w:pPr>
            <w:r>
              <w:t>Дополнительные расходы, связанные с проектом, отсутствуют, однако не обеспечивается реализация переданных полномочий.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1000000">
            <w:pPr>
              <w:ind/>
              <w:jc w:val="center"/>
            </w:pPr>
            <w:r>
              <w:t>Возможные процедурные издержки субъектов предпринимательской деятельности связаны с участием в профилактических и контрольных (надзорных) мероприятиях. Количественная оценка отсутствует в представленных материалах.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9.4. Оценка расходов (доходов) государственного бюджета Республики Саха (Якутия), связанных с введением предлагаемого правового регулирования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3000000">
            <w:pPr>
              <w:ind/>
              <w:jc w:val="center"/>
            </w:pPr>
            <w:r>
              <w:t>Дополнительные расходы в связи с принятием проекта отсутствуют, однако требуется решение вопроса реализации переданных полномочий.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4000000">
            <w:pPr>
              <w:ind/>
              <w:jc w:val="center"/>
            </w:pPr>
            <w:r>
              <w:t>Ориентировочная дополнительная потребность на оплату труда 5 штатных единиц — 8,5 млн рублей в год; иные расходы и возможные поступления от государственной пошлины количественно не определены.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9.5. Оценка возможности достижения заявленных целей регулирования (раздел 3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6000000">
            <w:pPr>
              <w:ind/>
              <w:jc w:val="center"/>
            </w:pPr>
            <w:r>
              <w:t>Не обеспечивает достижение целей.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7000000">
            <w:pPr>
              <w:ind/>
              <w:jc w:val="center"/>
            </w:pPr>
            <w:r>
              <w:t>Обеспечивает достижение целей.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 xml:space="preserve">9.6. Оценка рисков неблагоприятных последствий 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9000000">
            <w:pPr>
              <w:ind/>
              <w:jc w:val="center"/>
            </w:pPr>
            <w:r>
              <w:t>Высокий риск невозможности реализации переданных полномочий и отсутствия регионального контроля (надзора).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A000000">
            <w:pPr>
              <w:ind/>
              <w:jc w:val="center"/>
            </w:pPr>
            <w:r>
              <w:t>Риски кадрового, финансового и организационного обеспечения являются управляемыми частично; предусмотрены механизмы их снижения.</w:t>
            </w:r>
          </w:p>
        </w:tc>
      </w:tr>
      <w:tr>
        <w:trPr>
          <w:trHeight w:hRule="atLeast" w:val="1660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00000">
            <w:pPr>
              <w:widowControl w:val="0"/>
              <w:spacing w:after="0" w:line="276" w:lineRule="auto"/>
              <w:ind w:firstLine="709" w:left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9.7. Необходимые для достижения заявленных целей регулирования организационно-технические, методологические, информационные и иные мероприятия, общий объем затрат</w:t>
            </w:r>
          </w:p>
        </w:tc>
        <w:tc>
          <w:tcPr>
            <w:tcW w:type="dxa" w:w="2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C000000">
            <w:pPr>
              <w:ind/>
              <w:jc w:val="center"/>
            </w:pPr>
            <w:r>
              <w:t>Не предусмотрены; цели не достигаются.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D000000">
            <w:pPr>
              <w:ind/>
              <w:jc w:val="center"/>
            </w:pPr>
            <w:r>
              <w:t>Введение 5 штатных единиц, организационная подготовка Министерства, учет объектов контроля в информационных системах, межведомственное взаимодействие, подготовка профилактических материалов. Общий объем расходов определен частично: 8,5 млн рублей в год на оплату труда; иные расходы подлежат уточнению.</w:t>
            </w:r>
          </w:p>
        </w:tc>
      </w:tr>
    </w:tbl>
    <w:p w14:paraId="D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DF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9.8.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Обоснование выбора предпочтительного варианта решения выявленной проблемы</w:t>
      </w:r>
      <w:r>
        <w:rPr>
          <w:rFonts w:ascii="PT Astra Serif" w:hAnsi="PT Astra Serif"/>
          <w:sz w:val="24"/>
        </w:rPr>
        <w:t>:</w:t>
      </w:r>
    </w:p>
    <w:p w14:paraId="E0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Вариант 2.</w:t>
      </w:r>
    </w:p>
    <w:p w14:paraId="E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E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9.9.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Детальное описание предлагаемого варианта решения проблемы:</w:t>
      </w:r>
    </w:p>
    <w:p w14:paraId="E3000000">
      <w:pPr>
        <w:pStyle w:val="Style_3"/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Предлагается принять постановление Правительства Республики Саха (Якутия), которым утверждается Положение о региональном государственном контроле (надзоре) в области розничной продажи табачной и никотиносодержащей продукции. Положение определяет предмет и объекты контроля, уполномоченный орган и должностных лиц, порядок учета объектов контроля, применение риск-ориентированного подхода, профилактические и контрольные (надзорные) мероприятия, порядок консультирования и рассмотрения возражений на предостережения. Одновременно проектом вносятся изменения в положение о Министерстве и Реестр государственных услуг Республики Саха (Якутия).</w:t>
      </w:r>
    </w:p>
    <w:p w14:paraId="E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single"/>
        </w:rPr>
      </w:pPr>
    </w:p>
    <w:p w14:paraId="E5000000">
      <w:pPr>
        <w:widowControl w:val="0"/>
        <w:tabs>
          <w:tab w:leader="none" w:pos="708" w:val="clear"/>
          <w:tab w:leader="none" w:pos="1134" w:val="left"/>
        </w:tabs>
        <w:spacing w:after="0" w:before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10.</w:t>
      </w:r>
      <w:r>
        <w:rPr>
          <w:rFonts w:ascii="PT Astra Serif" w:hAnsi="PT Astra Serif"/>
          <w:b w:val="1"/>
          <w:sz w:val="24"/>
        </w:rPr>
        <w:tab/>
      </w:r>
      <w:r>
        <w:rPr>
          <w:rFonts w:ascii="PT Astra Serif" w:hAnsi="PT Astra Serif"/>
          <w:b w:val="1"/>
          <w:sz w:val="24"/>
        </w:rPr>
        <w:t>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E6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E7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10.1.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Предполагаемая дата вступления в силу нормативного правового акта:</w:t>
      </w:r>
    </w:p>
    <w:p w14:paraId="E8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t>Пункт 1 проекта постановления вступает в силу с 1 марта 2027 года.</w:t>
      </w:r>
    </w:p>
    <w:p w14:paraId="E9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EA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10.2.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Необходимость установления переходного периода и (или) отсрочки введения предлагаемого правового регулирования:</w:t>
      </w:r>
      <w:r>
        <w:rPr>
          <w:rFonts w:ascii="PT Astra Serif" w:hAnsi="PT Astra Serif"/>
          <w:sz w:val="24"/>
        </w:rPr>
        <w:t xml:space="preserve"> </w:t>
      </w:r>
    </w:p>
    <w:p w14:paraId="EB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Нет.</w:t>
      </w:r>
    </w:p>
    <w:p w14:paraId="EC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ED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10.3.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Необходимость распространения предлагаемого правового регулирования на ранее возникшие отношения:</w:t>
      </w:r>
    </w:p>
    <w:p w14:paraId="EE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none"/>
        </w:rPr>
      </w:pPr>
      <w:r>
        <w:rPr>
          <w:rFonts w:ascii="PT Astra Serif" w:hAnsi="PT Astra Serif"/>
          <w:sz w:val="24"/>
          <w:u w:val="none"/>
        </w:rPr>
        <w:t>Отсутствует.</w:t>
      </w:r>
      <w:r>
        <w:rPr>
          <w:rFonts w:ascii="PT Astra Serif" w:hAnsi="PT Astra Serif"/>
          <w:sz w:val="24"/>
          <w:u w:val="none"/>
        </w:rPr>
        <w:t xml:space="preserve"> </w:t>
      </w:r>
    </w:p>
    <w:p w14:paraId="EF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none"/>
        </w:rPr>
      </w:pPr>
    </w:p>
    <w:p w14:paraId="F0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10.3.1.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Период распространения на ранее возникшие отношения:</w:t>
      </w:r>
      <w:r>
        <w:rPr>
          <w:rFonts w:ascii="PT Astra Serif" w:hAnsi="PT Astra Serif"/>
          <w:sz w:val="24"/>
        </w:rPr>
        <w:t xml:space="preserve"> </w:t>
      </w:r>
    </w:p>
    <w:p w14:paraId="F1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none"/>
        </w:rPr>
        <w:t>Отсутствует.</w:t>
      </w:r>
    </w:p>
    <w:p w14:paraId="F2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 </w:t>
      </w:r>
    </w:p>
    <w:p w14:paraId="F3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  <w:u w:val="single"/>
        </w:rPr>
        <w:t>10.4.</w:t>
      </w:r>
      <w:r>
        <w:rPr>
          <w:rFonts w:ascii="PT Astra Serif" w:hAnsi="PT Astra Serif"/>
          <w:sz w:val="24"/>
          <w:u w:val="single"/>
        </w:rPr>
        <w:tab/>
      </w:r>
      <w:r>
        <w:rPr>
          <w:rFonts w:ascii="PT Astra Serif" w:hAnsi="PT Astra Serif"/>
          <w:sz w:val="24"/>
          <w:u w:val="single"/>
        </w:rPr>
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F4000000">
      <w:pPr>
        <w:widowControl w:val="0"/>
        <w:tabs>
          <w:tab w:leader="none" w:pos="708" w:val="clear"/>
          <w:tab w:leader="none" w:pos="1134" w:val="left"/>
        </w:tabs>
        <w:spacing w:after="0" w:line="276" w:lineRule="auto"/>
        <w:ind w:firstLine="709" w:left="0"/>
        <w:jc w:val="both"/>
        <w:rPr>
          <w:rFonts w:ascii="PT Astra Serif" w:hAnsi="PT Astra Serif"/>
          <w:sz w:val="24"/>
          <w:u w:val="none"/>
        </w:rPr>
      </w:pPr>
      <w:r>
        <w:rPr>
          <w:rFonts w:ascii="PT Astra Serif" w:hAnsi="PT Astra Serif"/>
          <w:sz w:val="24"/>
          <w:u w:val="none"/>
        </w:rPr>
        <w:t>Отсутствует.</w:t>
      </w:r>
    </w:p>
    <w:p w14:paraId="F5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</w:p>
    <w:p w14:paraId="F6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b w:val="1"/>
          <w:sz w:val="24"/>
        </w:rPr>
        <w:t>Заполняется по итогам проведения публичных консультаций по проекту нормативного правового акта и сводного отчета:</w:t>
      </w:r>
    </w:p>
    <w:p w14:paraId="F7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11.</w:t>
      </w:r>
      <w:r>
        <w:rPr>
          <w:rFonts w:ascii="PT Astra Serif" w:hAnsi="PT Astra Serif"/>
          <w:sz w:val="24"/>
        </w:rPr>
        <w:tab/>
      </w:r>
      <w:r>
        <w:rPr>
          <w:rFonts w:ascii="PT Astra Serif" w:hAnsi="PT Astra Serif"/>
          <w:sz w:val="24"/>
        </w:rPr>
        <w:t xml:space="preserve">Информация о сроках проведения публичных консультаций по проекту нормативного правового акта и сводному отчету: </w:t>
      </w:r>
    </w:p>
    <w:p w14:paraId="F8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11.1. Срок, в течение которого принимались предложения в связи с публичными консультациями по проекту нормативного правового акта и сводному отчету об оценке регулирующего воздействия:</w:t>
      </w:r>
    </w:p>
    <w:p w14:paraId="F9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начало: </w:t>
      </w:r>
    </w:p>
    <w:p w14:paraId="FA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окончание: </w:t>
      </w:r>
    </w:p>
    <w:p w14:paraId="FB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11.2. Сведения о количестве замечаний и предложений, полученных в ходе публичных консультаций по проекту нормативного правового акта:</w:t>
      </w:r>
    </w:p>
    <w:p w14:paraId="FC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Всего замечаний и предложений: </w:t>
      </w:r>
    </w:p>
    <w:p w14:paraId="FD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 xml:space="preserve">полностью: , учтено частично: </w:t>
      </w:r>
    </w:p>
    <w:p w14:paraId="FE000000">
      <w:pPr>
        <w:widowControl w:val="0"/>
        <w:spacing w:after="0" w:line="276" w:lineRule="auto"/>
        <w:ind w:firstLine="709" w:lef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11.3. Полный электронный адрес размещения сводки предложений, поступивших по итогам проведения публичных консультаций по проекту нормативного правового акта:</w:t>
      </w:r>
    </w:p>
    <w:p w14:paraId="FF000000">
      <w:pPr>
        <w:widowControl w:val="0"/>
        <w:ind/>
        <w:jc w:val="both"/>
        <w:rPr>
          <w:sz w:val="24"/>
        </w:rPr>
      </w:pPr>
    </w:p>
    <w:p w14:paraId="00010000">
      <w:pPr>
        <w:widowControl w:val="0"/>
        <w:ind/>
        <w:jc w:val="both"/>
        <w:rPr>
          <w:sz w:val="24"/>
        </w:rPr>
      </w:pP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2097"/>
        <w:gridCol w:w="5730"/>
        <w:gridCol w:w="2236"/>
      </w:tblGrid>
      <w:tr>
        <w:trPr>
          <w:trHeight w:hRule="atLeast" w:val="700"/>
        </w:trPr>
        <w:tc>
          <w:tcPr>
            <w:tcW w:type="dxa" w:w="209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1010000">
            <w:pPr>
              <w:widowControl w:val="0"/>
              <w:spacing w:after="160" w:line="264" w:lineRule="auto"/>
              <w:ind/>
              <w:rPr>
                <w:sz w:val="26"/>
              </w:rPr>
            </w:pPr>
            <w:bookmarkStart w:id="2" w:name="SIGNERPOST1"/>
            <w:r>
              <w:rPr>
                <w:sz w:val="26"/>
              </w:rPr>
              <w:t>Должность</w:t>
            </w:r>
            <w:bookmarkEnd w:id="2"/>
          </w:p>
        </w:tc>
        <w:tc>
          <w:tcPr>
            <w:tcW w:type="dxa" w:w="5730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2010000">
            <w:pPr>
              <w:widowControl w:val="0"/>
              <w:spacing w:after="160" w:line="264" w:lineRule="auto"/>
              <w:ind/>
              <w:rPr>
                <w:sz w:val="26"/>
              </w:rPr>
            </w:pPr>
            <w:bookmarkStart w:id="3" w:name="SIGNERSTAMP1"/>
            <w:bookmarkEnd w:id="3"/>
            <w:r>
              <w:rPr>
                <w:sz w:val="28"/>
              </w:rPr>
              <w:t>[</w:t>
            </w:r>
            <w:r>
              <w:rPr>
                <w:sz w:val="28"/>
              </w:rPr>
              <w:t>ШТАМП</w:t>
            </w:r>
            <w:r>
              <w:rPr>
                <w:sz w:val="28"/>
              </w:rPr>
              <w:t>]</w:t>
            </w:r>
          </w:p>
        </w:tc>
        <w:tc>
          <w:tcPr>
            <w:tcW w:type="dxa" w:w="223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3010000">
            <w:pPr>
              <w:widowControl w:val="0"/>
              <w:spacing w:after="160" w:line="264" w:lineRule="auto"/>
              <w:ind/>
              <w:jc w:val="center"/>
              <w:rPr>
                <w:sz w:val="26"/>
              </w:rPr>
            </w:pPr>
            <w:bookmarkStart w:id="4" w:name="SIGNERNAME1"/>
            <w:r>
              <w:rPr>
                <w:sz w:val="26"/>
              </w:rPr>
              <w:t>ФИО</w:t>
            </w:r>
            <w:bookmarkEnd w:id="4"/>
          </w:p>
        </w:tc>
      </w:tr>
    </w:tbl>
    <w:p w14:paraId="04010000">
      <w:pPr>
        <w:rPr>
          <w:i w:val="0"/>
          <w:sz w:val="18"/>
        </w:rPr>
      </w:pPr>
    </w:p>
    <w:p w14:paraId="05010000">
      <w:pPr>
        <w:rPr>
          <w:i w:val="0"/>
          <w:sz w:val="18"/>
        </w:rPr>
      </w:pPr>
    </w:p>
    <w:p w14:paraId="06010000">
      <w:pPr>
        <w:rPr>
          <w:i w:val="0"/>
          <w:sz w:val="18"/>
        </w:rPr>
      </w:pPr>
    </w:p>
    <w:p w14:paraId="07010000">
      <w:pPr>
        <w:rPr>
          <w:i w:val="0"/>
          <w:sz w:val="18"/>
        </w:rPr>
      </w:pPr>
    </w:p>
    <w:p w14:paraId="08010000">
      <w:pPr>
        <w:rPr>
          <w:i w:val="0"/>
          <w:sz w:val="18"/>
        </w:rPr>
      </w:pPr>
    </w:p>
    <w:p w14:paraId="09010000">
      <w:pPr>
        <w:rPr>
          <w:i w:val="0"/>
          <w:sz w:val="18"/>
        </w:rPr>
      </w:pPr>
    </w:p>
    <w:p w14:paraId="0A010000">
      <w:pPr>
        <w:rPr>
          <w:i w:val="0"/>
          <w:sz w:val="18"/>
        </w:rPr>
      </w:pPr>
    </w:p>
    <w:p w14:paraId="0B010000">
      <w:pPr>
        <w:rPr>
          <w:i w:val="0"/>
          <w:sz w:val="18"/>
        </w:rPr>
      </w:pPr>
    </w:p>
    <w:p w14:paraId="0C010000">
      <w:pPr>
        <w:rPr>
          <w:i w:val="0"/>
          <w:sz w:val="18"/>
        </w:rPr>
      </w:pPr>
    </w:p>
    <w:p w14:paraId="0D010000">
      <w:pPr>
        <w:rPr>
          <w:i w:val="0"/>
          <w:sz w:val="18"/>
        </w:rPr>
      </w:pPr>
    </w:p>
    <w:p w14:paraId="0E010000">
      <w:pPr>
        <w:rPr>
          <w:i w:val="0"/>
          <w:sz w:val="18"/>
        </w:rPr>
      </w:pPr>
    </w:p>
    <w:sectPr>
      <w:pgSz w:h="16838" w:orient="portrait" w:w="11906"/>
      <w:pgMar w:bottom="426" w:footer="709" w:gutter="0" w:header="709" w:left="1276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5" w:type="paragraph">
    <w:name w:val="toc 2"/>
    <w:next w:val="Style_3"/>
    <w:link w:val="Style_5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er"/>
    <w:basedOn w:val="Style_3"/>
    <w:link w:val="Style_9_ch"/>
    <w:pPr>
      <w:widowControl w:val="0"/>
      <w:tabs>
        <w:tab w:leader="none" w:pos="4677" w:val="center"/>
        <w:tab w:leader="none" w:pos="9355" w:val="right"/>
      </w:tabs>
      <w:ind/>
    </w:pPr>
  </w:style>
  <w:style w:styleId="Style_9_ch" w:type="character">
    <w:name w:val="header"/>
    <w:basedOn w:val="Style_3_ch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текст 21"/>
    <w:basedOn w:val="Style_3"/>
    <w:link w:val="Style_12_ch"/>
    <w:pPr>
      <w:widowControl w:val="0"/>
      <w:ind/>
      <w:jc w:val="both"/>
    </w:pPr>
    <w:rPr>
      <w:b w:val="1"/>
      <w:i w:val="1"/>
    </w:rPr>
  </w:style>
  <w:style w:styleId="Style_12_ch" w:type="character">
    <w:name w:val="Основной текст 21"/>
    <w:basedOn w:val="Style_3_ch"/>
    <w:link w:val="Style_12"/>
    <w:rPr>
      <w:b w:val="1"/>
      <w:i w:val="1"/>
    </w:rPr>
  </w:style>
  <w:style w:styleId="Style_13" w:type="paragraph">
    <w:name w:val="toc 3"/>
    <w:next w:val="Style_3"/>
    <w:link w:val="Style_13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List Paragraph"/>
    <w:basedOn w:val="Style_3"/>
    <w:link w:val="Style_14_ch"/>
    <w:pPr>
      <w:widowControl w:val="0"/>
      <w:ind w:firstLine="0" w:left="720"/>
      <w:contextualSpacing w:val="1"/>
    </w:pPr>
  </w:style>
  <w:style w:styleId="Style_14_ch" w:type="character">
    <w:name w:val="List Paragraph"/>
    <w:basedOn w:val="Style_3_ch"/>
    <w:link w:val="Style_14"/>
  </w:style>
  <w:style w:styleId="Style_15" w:type="paragraph">
    <w:name w:val="heading 5"/>
    <w:next w:val="Style_3"/>
    <w:link w:val="Style_15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3"/>
    <w:link w:val="Style_16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Balloon Text"/>
    <w:basedOn w:val="Style_3"/>
    <w:link w:val="Style_18_ch"/>
    <w:rPr>
      <w:rFonts w:ascii="Tahoma" w:hAnsi="Tahoma"/>
      <w:sz w:val="16"/>
    </w:rPr>
  </w:style>
  <w:style w:styleId="Style_18_ch" w:type="character">
    <w:name w:val="Balloon Text"/>
    <w:basedOn w:val="Style_3_ch"/>
    <w:link w:val="Style_18"/>
    <w:rPr>
      <w:rFonts w:ascii="Tahoma" w:hAnsi="Tahoma"/>
      <w:sz w:val="16"/>
    </w:rPr>
  </w:style>
  <w:style w:styleId="Style_19" w:type="paragraph">
    <w:name w:val="toc 1"/>
    <w:next w:val="Style_3"/>
    <w:link w:val="Style_19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caption"/>
    <w:basedOn w:val="Style_3"/>
    <w:next w:val="Style_3"/>
    <w:link w:val="Style_20_ch"/>
    <w:pPr>
      <w:widowControl w:val="0"/>
      <w:spacing w:after="200"/>
      <w:ind/>
    </w:pPr>
    <w:rPr>
      <w:rFonts w:ascii="Calibri" w:hAnsi="Calibri"/>
      <w:i w:val="1"/>
      <w:color w:val="1F497D"/>
      <w:sz w:val="18"/>
    </w:rPr>
  </w:style>
  <w:style w:styleId="Style_20_ch" w:type="character">
    <w:name w:val="caption"/>
    <w:basedOn w:val="Style_3_ch"/>
    <w:link w:val="Style_20"/>
    <w:rPr>
      <w:rFonts w:ascii="Calibri" w:hAnsi="Calibri"/>
      <w:i w:val="1"/>
      <w:color w:val="1F497D"/>
      <w:sz w:val="18"/>
    </w:rPr>
  </w:style>
  <w:style w:styleId="Style_21" w:type="paragraph">
    <w:name w:val="Header and Footer"/>
    <w:link w:val="Style_21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Normal (Web)"/>
    <w:basedOn w:val="Style_3"/>
    <w:link w:val="Style_22_ch"/>
    <w:pPr>
      <w:widowControl w:val="0"/>
      <w:spacing w:afterAutospacing="on" w:beforeAutospacing="on"/>
      <w:ind/>
    </w:pPr>
  </w:style>
  <w:style w:styleId="Style_22_ch" w:type="character">
    <w:name w:val="Normal (Web)"/>
    <w:basedOn w:val="Style_3_ch"/>
    <w:link w:val="Style_22"/>
  </w:style>
  <w:style w:styleId="Style_23" w:type="paragraph">
    <w:name w:val="toc 9"/>
    <w:next w:val="Style_3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toc 8"/>
    <w:next w:val="Style_3"/>
    <w:link w:val="Style_25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pPr>
      <w:widowControl w:val="0"/>
      <w:ind w:firstLine="720" w:left="0"/>
    </w:pPr>
    <w:rPr>
      <w:rFonts w:ascii="Arial" w:hAnsi="Arial"/>
    </w:rPr>
  </w:style>
  <w:style w:styleId="Style_26_ch" w:type="character">
    <w:name w:val="ConsPlusNormal"/>
    <w:link w:val="Style_26"/>
    <w:rPr>
      <w:rFonts w:ascii="Arial" w:hAnsi="Arial"/>
    </w:rPr>
  </w:style>
  <w:style w:styleId="Style_27" w:type="paragraph">
    <w:name w:val="toc 5"/>
    <w:next w:val="Style_3"/>
    <w:link w:val="Style_2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No Spacing"/>
    <w:link w:val="Style_28_ch"/>
    <w:rPr>
      <w:rFonts w:asciiTheme="minorAscii" w:hAnsiTheme="minorHAnsi"/>
      <w:sz w:val="22"/>
    </w:rPr>
  </w:style>
  <w:style w:styleId="Style_28_ch" w:type="character">
    <w:name w:val="No Spacing"/>
    <w:link w:val="Style_28"/>
    <w:rPr>
      <w:rFonts w:asciiTheme="minorAscii" w:hAnsiTheme="minorHAnsi"/>
      <w:sz w:val="22"/>
    </w:rPr>
  </w:style>
  <w:style w:styleId="Style_29" w:type="paragraph">
    <w:name w:val="Subtitle"/>
    <w:next w:val="Style_3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3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heading 6"/>
    <w:basedOn w:val="Style_3"/>
    <w:next w:val="Style_3"/>
    <w:link w:val="Style_33_ch"/>
    <w:uiPriority w:val="9"/>
    <w:qFormat/>
    <w:pPr>
      <w:keepNext w:val="1"/>
      <w:widowControl w:val="0"/>
      <w:ind/>
      <w:outlineLvl w:val="5"/>
    </w:pPr>
  </w:style>
  <w:style w:styleId="Style_33_ch" w:type="character">
    <w:name w:val="heading 6"/>
    <w:basedOn w:val="Style_3_ch"/>
    <w:link w:val="Style_33"/>
  </w:style>
  <w:style w:styleId="Style_4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Сетка таблицы1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2026-09-25T03:31:50Z</dcterms:created>
  <dcterms:modified xsi:type="dcterms:W3CDTF">2026-09-25T03:31:50Z</dcterms:modified>
</cp:coreProperties>
</file>