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/>
    <w:p w14:paraId="02000000">
      <w:pPr>
        <w:widowControl w:val="0"/>
        <w:spacing w:line="276" w:lineRule="auto"/>
        <w:ind w:firstLine="709"/>
        <w:jc w:val="center"/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</w:rPr>
        <w:t>СВОДНЫЙ ОТЧЕТ</w:t>
      </w:r>
    </w:p>
    <w:p w14:paraId="03000000">
      <w:pPr>
        <w:widowControl w:val="0"/>
        <w:spacing w:line="276" w:lineRule="auto"/>
        <w:ind w:firstLine="709"/>
        <w:jc w:val="center"/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</w:rPr>
        <w:t>о результатах проведения оценки регулирующего</w:t>
      </w:r>
    </w:p>
    <w:p w14:paraId="04000000">
      <w:pPr>
        <w:widowControl w:val="0"/>
        <w:spacing w:line="276" w:lineRule="auto"/>
        <w:ind w:firstLine="709"/>
        <w:jc w:val="center"/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</w:rPr>
        <w:t>воздействия проекта нормативного правового акта</w:t>
      </w:r>
    </w:p>
    <w:p w14:paraId="05000000">
      <w:pPr>
        <w:widowControl w:val="0"/>
        <w:spacing w:line="276" w:lineRule="auto"/>
        <w:ind w:firstLine="709"/>
        <w:jc w:val="both"/>
        <w:rPr>
          <w:rFonts w:ascii="PT Astra Serif" w:hAnsi="PT Astra Serif"/>
          <w:color w:val="000000"/>
        </w:rPr>
      </w:pPr>
    </w:p>
    <w:p w14:paraId="06000000">
      <w:pPr>
        <w:widowControl w:val="0"/>
        <w:tabs>
          <w:tab w:leader="none" w:pos="1134" w:val="left"/>
        </w:tabs>
        <w:spacing w:line="276" w:lineRule="auto"/>
        <w:ind w:firstLine="709"/>
        <w:jc w:val="both"/>
        <w:rPr>
          <w:rFonts w:ascii="PT Astra Serif" w:hAnsi="PT Astra Serif"/>
          <w:b w:val="1"/>
          <w:color w:val="000000"/>
        </w:rPr>
      </w:pPr>
      <w:r>
        <w:rPr>
          <w:rFonts w:ascii="PT Astra Serif" w:hAnsi="PT Astra Serif"/>
          <w:b w:val="1"/>
          <w:color w:val="000000"/>
        </w:rPr>
        <w:t>1.</w:t>
      </w:r>
      <w:r>
        <w:rPr>
          <w:rFonts w:ascii="PT Astra Serif" w:hAnsi="PT Astra Serif"/>
          <w:b w:val="1"/>
          <w:color w:val="000000"/>
        </w:rPr>
        <w:tab/>
      </w:r>
      <w:r>
        <w:rPr>
          <w:rFonts w:ascii="PT Astra Serif" w:hAnsi="PT Astra Serif"/>
          <w:b w:val="1"/>
          <w:color w:val="000000"/>
        </w:rPr>
        <w:t>Общая информация</w:t>
      </w:r>
    </w:p>
    <w:p w14:paraId="07000000">
      <w:pPr>
        <w:widowControl w:val="0"/>
        <w:tabs>
          <w:tab w:leader="none" w:pos="1134" w:val="left"/>
        </w:tabs>
        <w:spacing w:line="276" w:lineRule="auto"/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  <w:u w:val="single"/>
        </w:rPr>
        <w:t>1.1.</w:t>
      </w:r>
      <w:r>
        <w:rPr>
          <w:rFonts w:ascii="PT Astra Serif" w:hAnsi="PT Astra Serif"/>
          <w:color w:val="000000"/>
          <w:u w:val="single"/>
        </w:rPr>
        <w:tab/>
      </w:r>
      <w:r>
        <w:rPr>
          <w:rFonts w:ascii="PT Astra Serif" w:hAnsi="PT Astra Serif"/>
          <w:color w:val="000000"/>
          <w:u w:val="single"/>
        </w:rPr>
        <w:t>Орган-разработчик:</w:t>
      </w:r>
      <w:r>
        <w:rPr>
          <w:rFonts w:ascii="PT Astra Serif" w:hAnsi="PT Astra Serif"/>
          <w:color w:val="000000"/>
        </w:rPr>
        <w:t xml:space="preserve"> Прокуратура Республики Саха (Якутия)</w:t>
      </w:r>
    </w:p>
    <w:p w14:paraId="08000000">
      <w:pPr>
        <w:widowControl w:val="0"/>
        <w:tabs>
          <w:tab w:leader="none" w:pos="1134" w:val="left"/>
        </w:tabs>
        <w:spacing w:line="276" w:lineRule="auto"/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  <w:u w:val="single"/>
        </w:rPr>
        <w:t>1.2.</w:t>
      </w:r>
      <w:r>
        <w:rPr>
          <w:rFonts w:ascii="PT Astra Serif" w:hAnsi="PT Astra Serif"/>
          <w:color w:val="000000"/>
          <w:u w:val="single"/>
        </w:rPr>
        <w:tab/>
      </w:r>
      <w:r>
        <w:rPr>
          <w:rFonts w:ascii="PT Astra Serif" w:hAnsi="PT Astra Serif"/>
          <w:color w:val="000000"/>
          <w:u w:val="single"/>
        </w:rPr>
        <w:t>Вид и наименование проекта нормативного правового акта</w:t>
      </w:r>
      <w:r>
        <w:rPr>
          <w:rFonts w:ascii="PT Astra Serif" w:hAnsi="PT Astra Serif"/>
          <w:color w:val="000000"/>
          <w:sz w:val="24"/>
          <w:u w:val="single"/>
        </w:rPr>
        <w:t xml:space="preserve">: </w:t>
      </w:r>
      <w:r>
        <w:rPr>
          <w:color w:val="000000"/>
          <w:sz w:val="24"/>
        </w:rPr>
        <w:t>проект закона Республики Саха (Якутия) «</w:t>
      </w:r>
      <w:r>
        <w:rPr>
          <w:rFonts w:ascii="Times New Roman" w:hAnsi="Times New Roman"/>
          <w:color w:val="000000"/>
          <w:sz w:val="24"/>
        </w:rPr>
        <w:t xml:space="preserve">Об ограничении продажи несовершеннолетним горюче-смазочных материалов на территории </w:t>
      </w:r>
      <w:r>
        <w:rPr>
          <w:rFonts w:ascii="Times New Roman" w:hAnsi="Times New Roman"/>
          <w:b w:val="0"/>
          <w:color w:val="000000"/>
          <w:sz w:val="24"/>
        </w:rPr>
        <w:t xml:space="preserve">Республики </w:t>
      </w:r>
      <w:r>
        <w:rPr>
          <w:rFonts w:ascii="Times New Roman" w:hAnsi="Times New Roman"/>
          <w:b w:val="0"/>
          <w:color w:val="000000"/>
          <w:sz w:val="24"/>
        </w:rPr>
        <w:t>Саха (Якутия)</w:t>
      </w:r>
      <w:r>
        <w:rPr>
          <w:rFonts w:ascii="Times New Roman" w:hAnsi="Times New Roman"/>
          <w:b w:val="0"/>
          <w:color w:val="000000"/>
          <w:sz w:val="24"/>
        </w:rPr>
        <w:t>»</w:t>
      </w:r>
    </w:p>
    <w:p w14:paraId="09000000">
      <w:pPr>
        <w:widowControl w:val="0"/>
        <w:tabs>
          <w:tab w:leader="none" w:pos="1134" w:val="left"/>
        </w:tabs>
        <w:spacing w:line="276" w:lineRule="auto"/>
        <w:ind w:firstLine="709"/>
        <w:jc w:val="both"/>
        <w:rPr>
          <w:rFonts w:ascii="Times New Roman" w:hAnsi="Times New Roman"/>
          <w:b w:val="0"/>
          <w:color w:val="000000"/>
          <w:sz w:val="24"/>
        </w:rPr>
      </w:pPr>
      <w:r>
        <w:rPr>
          <w:rFonts w:ascii="PT Astra Serif" w:hAnsi="PT Astra Serif"/>
          <w:color w:val="000000"/>
          <w:sz w:val="24"/>
          <w:u w:val="single"/>
        </w:rPr>
        <w:t>1.3</w:t>
      </w:r>
      <w:r>
        <w:rPr>
          <w:rFonts w:ascii="PT Astra Serif" w:hAnsi="PT Astra Serif"/>
          <w:color w:val="000000"/>
          <w:sz w:val="24"/>
          <w:u w:val="single"/>
        </w:rPr>
        <w:t>.</w:t>
      </w:r>
      <w:r>
        <w:rPr>
          <w:rFonts w:ascii="PT Astra Serif" w:hAnsi="PT Astra Serif"/>
          <w:color w:val="000000"/>
          <w:sz w:val="24"/>
          <w:u w:val="single"/>
        </w:rPr>
        <w:tab/>
      </w:r>
      <w:r>
        <w:rPr>
          <w:rFonts w:ascii="PT Astra Serif" w:hAnsi="PT Astra Serif"/>
          <w:color w:val="000000"/>
          <w:sz w:val="24"/>
          <w:u w:val="single"/>
        </w:rPr>
        <w:t>Краткое описание содержания предлагаемого правового регулирования</w:t>
      </w:r>
      <w:r>
        <w:rPr>
          <w:rFonts w:ascii="PT Astra Serif" w:hAnsi="PT Astra Serif"/>
          <w:color w:val="000000"/>
          <w:sz w:val="24"/>
          <w:u w:val="single"/>
        </w:rPr>
        <w:t>, основание дл</w:t>
      </w:r>
      <w:r>
        <w:rPr>
          <w:rFonts w:ascii="PT Astra Serif" w:hAnsi="PT Astra Serif"/>
          <w:color w:val="000000"/>
          <w:sz w:val="24"/>
          <w:u w:val="single"/>
        </w:rPr>
        <w:t>я</w:t>
      </w:r>
      <w:r>
        <w:rPr>
          <w:rFonts w:ascii="PT Astra Serif" w:hAnsi="PT Astra Serif"/>
          <w:color w:val="000000"/>
          <w:sz w:val="24"/>
          <w:u w:val="single"/>
        </w:rPr>
        <w:t xml:space="preserve"> разработки проекта нормативного правового акта</w:t>
      </w:r>
      <w:r>
        <w:rPr>
          <w:rFonts w:ascii="PT Astra Serif" w:hAnsi="PT Astra Serif"/>
          <w:color w:val="000000"/>
          <w:sz w:val="24"/>
          <w:u w:val="single"/>
        </w:rPr>
        <w:t xml:space="preserve">: </w:t>
      </w:r>
      <w:r>
        <w:rPr>
          <w:rFonts w:ascii="Times New Roman" w:hAnsi="Times New Roman"/>
          <w:color w:val="000000"/>
          <w:sz w:val="24"/>
        </w:rPr>
        <w:t xml:space="preserve"> з</w:t>
      </w:r>
      <w:r>
        <w:rPr>
          <w:rFonts w:ascii="Times New Roman" w:hAnsi="Times New Roman"/>
          <w:color w:val="000000"/>
          <w:sz w:val="24"/>
        </w:rPr>
        <w:t xml:space="preserve">аконопроект подготовлен в соответствии с </w:t>
      </w:r>
      <w:r>
        <w:rPr>
          <w:rFonts w:ascii="Times New Roman" w:hAnsi="Times New Roman"/>
          <w:b w:val="0"/>
          <w:color w:val="000000"/>
          <w:sz w:val="24"/>
          <w:u w:val="none"/>
        </w:rPr>
        <w:t>Федеральным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4"/>
          <w:u w:color="000000" w:val="none"/>
        </w:rPr>
        <w:t>законом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от 24.07.1998 № 124-ФЗ «Об основных гарантиях прав ребенка в Российской Федерации», Федеральным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4"/>
          <w:u w:color="000000" w:val="none"/>
        </w:rPr>
        <w:t>законом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от 23.06.2016 № 182-ФЗ «Об основах системы профилактики правонарушений в Российской Федерации», Федеральным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4"/>
          <w:u w:color="000000" w:val="none"/>
        </w:rPr>
        <w:t>законом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от 10.12.1995 № 196-ФЗ «О безопасности дорожного движения» </w:t>
      </w:r>
      <w:r>
        <w:rPr>
          <w:rFonts w:ascii="Times New Roman" w:hAnsi="Times New Roman"/>
          <w:b w:val="0"/>
          <w:color w:val="000000"/>
          <w:sz w:val="24"/>
        </w:rPr>
        <w:t xml:space="preserve"> в целях защиты жизни и здоровья детей, а также предотвращения дорожно-транспортных происшествий с их участием, 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устанавливает правовые основы ограничения продажи несовершеннолетним горюче-смазочных материалов на территории Республики Саха (Якутия), </w:t>
      </w:r>
      <w:r>
        <w:rPr>
          <w:rFonts w:ascii="Times New Roman" w:hAnsi="Times New Roman"/>
          <w:b w:val="0"/>
          <w:color w:val="000000"/>
          <w:sz w:val="24"/>
        </w:rPr>
        <w:t>за исключением случаев продажи топлива при заправке транспортных средств лицам, достигшим шестнадцатилетнего возраста, имеющим право на управление транспортными средствами</w:t>
      </w:r>
      <w:r>
        <w:rPr>
          <w:rFonts w:ascii="Times New Roman" w:hAnsi="Times New Roman"/>
          <w:b w:val="0"/>
          <w:color w:val="000000"/>
          <w:sz w:val="24"/>
        </w:rPr>
        <w:t>.</w:t>
      </w:r>
    </w:p>
    <w:p w14:paraId="0A000000">
      <w:pPr>
        <w:widowControl w:val="0"/>
        <w:tabs>
          <w:tab w:leader="none" w:pos="1134" w:val="left"/>
        </w:tabs>
        <w:spacing w:line="276" w:lineRule="auto"/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  <w:u w:val="single"/>
        </w:rPr>
        <w:t>1.4</w:t>
      </w:r>
      <w:r>
        <w:rPr>
          <w:rFonts w:ascii="PT Astra Serif" w:hAnsi="PT Astra Serif"/>
          <w:color w:val="000000"/>
          <w:u w:val="single"/>
        </w:rPr>
        <w:t>.</w:t>
      </w:r>
      <w:r>
        <w:rPr>
          <w:rFonts w:ascii="PT Astra Serif" w:hAnsi="PT Astra Serif"/>
          <w:color w:val="000000"/>
          <w:u w:val="single"/>
        </w:rPr>
        <w:tab/>
      </w:r>
      <w:r>
        <w:rPr>
          <w:rFonts w:ascii="PT Astra Serif" w:hAnsi="PT Astra Serif"/>
          <w:color w:val="000000"/>
          <w:u w:val="single"/>
        </w:rPr>
        <w:t>Контактная информация исполнителя в органе-разработчике:</w:t>
      </w:r>
    </w:p>
    <w:p w14:paraId="0B000000">
      <w:pPr>
        <w:widowControl w:val="0"/>
        <w:spacing w:line="276" w:lineRule="auto"/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</w:rPr>
        <w:t xml:space="preserve">Ф.И.О: </w:t>
      </w:r>
      <w:r>
        <w:rPr>
          <w:rFonts w:ascii="PT Astra Serif" w:hAnsi="PT Astra Serif"/>
          <w:color w:val="000000"/>
        </w:rPr>
        <w:t>Д</w:t>
      </w:r>
      <w:r>
        <w:rPr>
          <w:rFonts w:ascii="PT Astra Serif" w:hAnsi="PT Astra Serif"/>
          <w:color w:val="000000"/>
        </w:rPr>
        <w:t>иодорова Юлия Леонидовна</w:t>
      </w:r>
    </w:p>
    <w:p w14:paraId="0C000000">
      <w:pPr>
        <w:widowControl w:val="0"/>
        <w:spacing w:line="276" w:lineRule="auto"/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</w:rPr>
        <w:t>Должность:</w:t>
      </w:r>
      <w:r>
        <w:rPr>
          <w:rFonts w:ascii="PT Astra Serif" w:hAnsi="PT Astra Serif"/>
          <w:color w:val="000000"/>
        </w:rPr>
        <w:t xml:space="preserve"> </w:t>
      </w:r>
      <w:r>
        <w:rPr>
          <w:rFonts w:ascii="PT Astra Serif" w:hAnsi="PT Astra Serif"/>
          <w:color w:val="000000"/>
        </w:rPr>
        <w:t>старший помощник прокурора Республики Саха (Якутия) по взаимодействию с законодательным и исполнительными органами, органами местного самоуправления.</w:t>
      </w:r>
    </w:p>
    <w:p w14:paraId="0D000000">
      <w:pPr>
        <w:widowControl w:val="0"/>
        <w:spacing w:line="276" w:lineRule="auto"/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</w:rPr>
        <w:t>Телефон:</w:t>
      </w:r>
      <w:r>
        <w:rPr>
          <w:rFonts w:ascii="PT Astra Serif" w:hAnsi="PT Astra Serif"/>
          <w:color w:val="000000"/>
        </w:rPr>
        <w:t xml:space="preserve"> 8 (4112) </w:t>
      </w:r>
      <w:r>
        <w:rPr>
          <w:rFonts w:ascii="PT Astra Serif" w:hAnsi="PT Astra Serif"/>
          <w:color w:val="000000"/>
        </w:rPr>
        <w:t>46-80-08</w:t>
      </w:r>
    </w:p>
    <w:p w14:paraId="0E000000">
      <w:pPr>
        <w:widowControl w:val="0"/>
        <w:spacing w:line="276" w:lineRule="auto"/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</w:rPr>
        <w:t>А</w:t>
      </w:r>
      <w:r>
        <w:rPr>
          <w:rFonts w:ascii="PT Astra Serif" w:hAnsi="PT Astra Serif"/>
          <w:color w:val="000000"/>
        </w:rPr>
        <w:t>дрес электронной почты:</w:t>
      </w:r>
      <w:r>
        <w:rPr>
          <w:rFonts w:ascii="PT Astra Serif" w:hAnsi="PT Astra Serif"/>
          <w:color w:val="000000"/>
        </w:rPr>
        <w:t xml:space="preserve"> koord@14.mailop.ru.</w:t>
      </w:r>
    </w:p>
    <w:p w14:paraId="0F000000">
      <w:pPr>
        <w:pStyle w:val="Style_1"/>
        <w:widowControl w:val="0"/>
        <w:tabs>
          <w:tab w:leader="none" w:pos="1134" w:val="left"/>
        </w:tabs>
        <w:spacing w:line="276" w:lineRule="auto"/>
        <w:ind w:left="709"/>
        <w:jc w:val="both"/>
        <w:rPr>
          <w:rFonts w:ascii="PT Astra Serif" w:hAnsi="PT Astra Serif"/>
          <w:b w:val="1"/>
          <w:color w:val="000000"/>
        </w:rPr>
      </w:pPr>
      <w:r>
        <w:rPr>
          <w:rFonts w:ascii="PT Astra Serif" w:hAnsi="PT Astra Serif"/>
          <w:b w:val="1"/>
          <w:color w:val="000000"/>
        </w:rPr>
        <w:t xml:space="preserve">2. </w:t>
      </w:r>
      <w:r>
        <w:rPr>
          <w:rFonts w:ascii="PT Astra Serif" w:hAnsi="PT Astra Serif"/>
          <w:b w:val="1"/>
          <w:color w:val="000000"/>
        </w:rPr>
        <w:t>Степень регулирующего воздействия проекта нормативного правового акта</w:t>
      </w:r>
      <w:r>
        <w:rPr>
          <w:rFonts w:ascii="PT Astra Serif" w:hAnsi="PT Astra Serif"/>
          <w:b w:val="1"/>
          <w:color w:val="000000"/>
        </w:rPr>
        <w:t xml:space="preserve">, анализ регулируемых проектов нормативного правового акта </w:t>
      </w:r>
      <w:r>
        <w:rPr>
          <w:rFonts w:ascii="PT Astra Serif" w:hAnsi="PT Astra Serif"/>
          <w:b w:val="1"/>
          <w:color w:val="000000"/>
        </w:rPr>
        <w:t>отношений,</w:t>
      </w:r>
      <w:r>
        <w:rPr>
          <w:rFonts w:ascii="PT Astra Serif" w:hAnsi="PT Astra Serif"/>
          <w:b w:val="1"/>
          <w:color w:val="000000"/>
        </w:rPr>
        <w:t xml:space="preserve"> обуславливающих необходимость проведения ОРВ</w:t>
      </w:r>
      <w:r>
        <w:rPr>
          <w:rFonts w:ascii="PT Astra Serif" w:hAnsi="PT Astra Serif"/>
          <w:b w:val="1"/>
          <w:color w:val="000000"/>
        </w:rPr>
        <w:t>:</w:t>
      </w:r>
      <w:r>
        <w:rPr>
          <w:rFonts w:ascii="PT Astra Serif" w:hAnsi="PT Astra Serif"/>
          <w:b w:val="1"/>
          <w:color w:val="000000"/>
        </w:rPr>
        <w:t xml:space="preserve"> </w:t>
      </w:r>
    </w:p>
    <w:p w14:paraId="10000000">
      <w:pPr>
        <w:pStyle w:val="Style_1"/>
        <w:widowControl w:val="0"/>
        <w:tabs>
          <w:tab w:leader="none" w:pos="1134" w:val="left"/>
        </w:tabs>
        <w:spacing w:line="276" w:lineRule="auto"/>
        <w:ind w:firstLine="709" w:left="0"/>
        <w:jc w:val="both"/>
        <w:rPr>
          <w:rFonts w:ascii="PT Astra Serif" w:hAnsi="PT Astra Serif"/>
          <w:color w:val="000000"/>
          <w:u w:val="single"/>
        </w:rPr>
      </w:pPr>
      <w:r>
        <w:rPr>
          <w:rFonts w:ascii="PT Astra Serif" w:hAnsi="PT Astra Serif"/>
          <w:color w:val="000000"/>
          <w:u w:val="single"/>
        </w:rPr>
        <w:t>2.1. Степень регулирующего воздействия проекта нормативного правового акта</w:t>
      </w:r>
      <w:r>
        <w:rPr>
          <w:rFonts w:ascii="PT Astra Serif" w:hAnsi="PT Astra Serif"/>
          <w:color w:val="000000"/>
          <w:u w:val="single"/>
        </w:rPr>
        <w:t>: высокая</w:t>
      </w:r>
    </w:p>
    <w:p w14:paraId="11000000">
      <w:pPr>
        <w:pStyle w:val="Style_1"/>
        <w:widowControl w:val="0"/>
        <w:tabs>
          <w:tab w:leader="none" w:pos="1134" w:val="left"/>
        </w:tabs>
        <w:spacing w:line="276" w:lineRule="auto"/>
        <w:ind w:firstLine="709" w:left="0"/>
        <w:jc w:val="both"/>
        <w:rPr>
          <w:rFonts w:ascii="PT Astra Serif" w:hAnsi="PT Astra Serif"/>
          <w:color w:val="000000"/>
          <w:u w:val="single"/>
        </w:rPr>
      </w:pPr>
      <w:r>
        <w:rPr>
          <w:rFonts w:ascii="PT Astra Serif" w:hAnsi="PT Astra Serif"/>
          <w:color w:val="000000"/>
          <w:u w:val="single"/>
        </w:rPr>
        <w:t xml:space="preserve">2.2. </w:t>
      </w:r>
      <w:r>
        <w:rPr>
          <w:rFonts w:ascii="PT Astra Serif" w:hAnsi="PT Astra Serif"/>
          <w:color w:val="000000"/>
          <w:u w:val="single"/>
        </w:rPr>
        <w:t>Обоснование отнесения проекта нормативного правового акта к определенной степени регулирующего воздействия</w:t>
      </w:r>
      <w:r>
        <w:rPr>
          <w:rFonts w:ascii="PT Astra Serif" w:hAnsi="PT Astra Serif"/>
          <w:color w:val="000000"/>
          <w:u w:val="single"/>
        </w:rPr>
        <w:t>:</w:t>
      </w:r>
    </w:p>
    <w:p w14:paraId="12000000">
      <w:pPr>
        <w:pStyle w:val="Style_1"/>
        <w:widowControl w:val="0"/>
        <w:tabs>
          <w:tab w:leader="none" w:pos="1134" w:val="left"/>
        </w:tabs>
        <w:spacing w:line="276" w:lineRule="auto"/>
        <w:ind w:left="450"/>
        <w:jc w:val="both"/>
        <w:rPr>
          <w:rFonts w:ascii="PT Astra Serif" w:hAnsi="PT Astra Serif"/>
          <w:color w:val="000000"/>
          <w:u w:val="single"/>
        </w:rPr>
      </w:pPr>
    </w:p>
    <w:tbl>
      <w:tblPr>
        <w:tblStyle w:val="Style_2"/>
        <w:tblW w:type="auto" w:w="0"/>
        <w:tblInd w:type="dxa" w:w="42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6658"/>
        <w:gridCol w:w="2848"/>
      </w:tblGrid>
      <w:tr>
        <w:tc>
          <w:tcPr>
            <w:tcW w:type="dxa" w:w="66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00000">
            <w:pPr>
              <w:widowControl w:val="0"/>
              <w:spacing w:line="360" w:lineRule="atLeast"/>
              <w:ind/>
              <w:jc w:val="both"/>
              <w:rPr>
                <w:color w:val="000000"/>
              </w:rPr>
            </w:pPr>
            <w:r>
              <w:rPr>
                <w:color w:val="000000"/>
              </w:rPr>
              <w:t>2.3. Содержание проекта нормативного правового акта:</w:t>
            </w:r>
          </w:p>
        </w:tc>
        <w:tc>
          <w:tcPr>
            <w:tcW w:type="dxa" w:w="2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00000">
            <w:pPr>
              <w:widowControl w:val="0"/>
              <w:spacing w:line="360" w:lineRule="atLeast"/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2.4. Оценка наличия в проекте акта положений, регулирующих отношения в указанной области (сфере) </w:t>
            </w:r>
          </w:p>
        </w:tc>
      </w:tr>
      <w:tr>
        <w:tc>
          <w:tcPr>
            <w:tcW w:type="dxa" w:w="66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00000">
            <w:pPr>
              <w:widowControl w:val="0"/>
              <w:spacing w:line="360" w:lineRule="atLeast"/>
              <w:ind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2.3.1. </w:t>
            </w:r>
            <w:r>
              <w:rPr>
                <w:color w:val="000000"/>
              </w:rPr>
              <w:t>содержит положения, устанавливающие (изменяющие) обязательные требования для субъектов предпринимательской и иной экономической деятельности</w:t>
            </w:r>
          </w:p>
        </w:tc>
        <w:tc>
          <w:tcPr>
            <w:tcW w:type="dxa" w:w="2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00000">
            <w:pPr>
              <w:widowControl w:val="0"/>
              <w:spacing w:line="360" w:lineRule="atLeast"/>
              <w:ind/>
              <w:jc w:val="center"/>
              <w:rPr>
                <w:i w:val="0"/>
                <w:color w:val="000000"/>
              </w:rPr>
            </w:pPr>
            <w:r>
              <w:rPr>
                <w:i w:val="0"/>
                <w:color w:val="000000"/>
              </w:rPr>
              <w:t>да</w:t>
            </w:r>
          </w:p>
        </w:tc>
      </w:tr>
      <w:tr>
        <w:tc>
          <w:tcPr>
            <w:tcW w:type="dxa" w:w="66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00000">
            <w:pPr>
              <w:widowControl w:val="0"/>
              <w:spacing w:line="360" w:lineRule="atLeast"/>
              <w:ind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2.3.2. </w:t>
            </w:r>
            <w:r>
              <w:rPr>
                <w:color w:val="000000"/>
              </w:rPr>
              <w:t>содержит положения, устанавливающие (изменяющие) обязанности и запреты для субъектов предпринимательской и инвестиционной деятельности</w:t>
            </w:r>
          </w:p>
        </w:tc>
        <w:tc>
          <w:tcPr>
            <w:tcW w:type="dxa" w:w="2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00000">
            <w:pPr>
              <w:widowControl w:val="0"/>
              <w:spacing w:line="360" w:lineRule="atLeast"/>
              <w:ind/>
              <w:jc w:val="center"/>
              <w:rPr>
                <w:i w:val="0"/>
                <w:color w:val="000000"/>
              </w:rPr>
            </w:pPr>
            <w:r>
              <w:rPr>
                <w:i w:val="0"/>
                <w:color w:val="000000"/>
              </w:rPr>
              <w:t>да</w:t>
            </w:r>
          </w:p>
        </w:tc>
      </w:tr>
      <w:tr>
        <w:tc>
          <w:tcPr>
            <w:tcW w:type="dxa" w:w="66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00000">
            <w:pPr>
              <w:widowControl w:val="0"/>
              <w:spacing w:line="360" w:lineRule="atLeast"/>
              <w:ind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2.3.3. </w:t>
            </w:r>
            <w:r>
              <w:rPr>
                <w:color w:val="000000"/>
              </w:rPr>
              <w:t xml:space="preserve">содержит положения, устанавливающие (изменяющие) ответственность за нарушение нормативных правовых актов </w:t>
            </w:r>
            <w:r>
              <w:rPr>
                <w:color w:val="000000"/>
              </w:rPr>
              <w:t xml:space="preserve">Республики Саха (Якутия) </w:t>
            </w:r>
            <w:r>
              <w:rPr>
                <w:color w:val="000000"/>
              </w:rPr>
              <w:t>в сфере предпринимательской и иной экономической деятельности</w:t>
            </w:r>
          </w:p>
        </w:tc>
        <w:tc>
          <w:tcPr>
            <w:tcW w:type="dxa" w:w="2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00000">
            <w:pPr>
              <w:widowControl w:val="0"/>
              <w:spacing w:line="360" w:lineRule="atLeast"/>
              <w:ind/>
              <w:jc w:val="center"/>
              <w:rPr>
                <w:i w:val="0"/>
                <w:color w:val="000000"/>
              </w:rPr>
            </w:pPr>
            <w:r>
              <w:rPr>
                <w:i w:val="0"/>
                <w:color w:val="000000"/>
              </w:rPr>
              <w:t>да</w:t>
            </w:r>
          </w:p>
        </w:tc>
      </w:tr>
      <w:tr>
        <w:tc>
          <w:tcPr>
            <w:tcW w:type="dxa" w:w="66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00000">
            <w:pPr>
              <w:widowControl w:val="0"/>
              <w:spacing w:line="360" w:lineRule="atLeast"/>
              <w:ind/>
              <w:jc w:val="both"/>
              <w:rPr>
                <w:color w:val="000000"/>
              </w:rPr>
            </w:pPr>
            <w:r>
              <w:rPr>
                <w:color w:val="000000"/>
              </w:rPr>
              <w:t>содержит положения, предусмотренные пунктами 2.3.1-2.3.3 сводного отчета и разработан в соответствии с рекомендациями уполномоченного органа, указанными в заключении об экспертизе нормативного правового акта, либо в заключениях, подготавливаемых согласно Порядку установления и оценки применения обязательных требований, содержащихся в нормативных право</w:t>
            </w:r>
            <w:r>
              <w:rPr>
                <w:color w:val="000000"/>
              </w:rPr>
              <w:t>вых актах Республики Саха (Якутия)</w:t>
            </w:r>
            <w:r>
              <w:rPr>
                <w:color w:val="000000"/>
              </w:rPr>
              <w:t>, в том числе оценки фактического воздействия указанных нормативных правовых актов, утвержденному Указом Главы Республики Саха (Якутия)</w:t>
            </w:r>
          </w:p>
        </w:tc>
        <w:tc>
          <w:tcPr>
            <w:tcW w:type="dxa" w:w="2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00000">
            <w:pPr>
              <w:widowControl w:val="0"/>
              <w:spacing w:line="360" w:lineRule="atLeast"/>
              <w:ind/>
              <w:jc w:val="center"/>
              <w:rPr>
                <w:i w:val="1"/>
                <w:color w:val="000000"/>
              </w:rPr>
            </w:pPr>
            <w:r>
              <w:rPr>
                <w:i w:val="1"/>
                <w:color w:val="000000"/>
              </w:rPr>
              <w:t>-</w:t>
            </w:r>
          </w:p>
        </w:tc>
      </w:tr>
      <w:tr>
        <w:tc>
          <w:tcPr>
            <w:tcW w:type="dxa" w:w="66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00000">
            <w:pPr>
              <w:widowControl w:val="0"/>
              <w:spacing w:line="360" w:lineRule="atLeast"/>
              <w:ind/>
              <w:jc w:val="both"/>
              <w:rPr>
                <w:color w:val="000000"/>
              </w:rPr>
            </w:pPr>
            <w:r>
              <w:rPr>
                <w:color w:val="000000"/>
              </w:rPr>
              <w:t>содержит положения, предусмотренные пунктами 2.3.1-2.3.3 сводного отчета и разработан в соответствии с нормативными правовыми актами, затрагивающими вопросы осуществления предпринимательской и иной экономической деятельности</w:t>
            </w:r>
          </w:p>
        </w:tc>
        <w:tc>
          <w:tcPr>
            <w:tcW w:type="dxa" w:w="28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00000">
            <w:pPr>
              <w:widowControl w:val="0"/>
              <w:spacing w:line="360" w:lineRule="atLeast"/>
              <w:ind/>
              <w:jc w:val="center"/>
              <w:rPr>
                <w:i w:val="1"/>
                <w:color w:val="000000"/>
              </w:rPr>
            </w:pPr>
            <w:r>
              <w:rPr>
                <w:i w:val="1"/>
                <w:color w:val="000000"/>
              </w:rPr>
              <w:t>-</w:t>
            </w:r>
          </w:p>
        </w:tc>
      </w:tr>
    </w:tbl>
    <w:p w14:paraId="1F000000">
      <w:pPr>
        <w:widowControl w:val="0"/>
        <w:tabs>
          <w:tab w:leader="none" w:pos="1134" w:val="left"/>
        </w:tabs>
        <w:spacing w:line="276" w:lineRule="auto"/>
        <w:ind/>
        <w:jc w:val="both"/>
        <w:rPr>
          <w:rFonts w:ascii="PT Astra Serif" w:hAnsi="PT Astra Serif"/>
          <w:color w:val="000000"/>
        </w:rPr>
      </w:pPr>
    </w:p>
    <w:p w14:paraId="20000000">
      <w:pPr>
        <w:pStyle w:val="Style_1"/>
        <w:widowControl w:val="0"/>
        <w:tabs>
          <w:tab w:leader="none" w:pos="1134" w:val="left"/>
        </w:tabs>
        <w:spacing w:line="276" w:lineRule="auto"/>
        <w:ind w:left="450"/>
        <w:jc w:val="both"/>
        <w:rPr>
          <w:b w:val="1"/>
          <w:color w:val="000000"/>
        </w:rPr>
      </w:pPr>
      <w:r>
        <w:rPr>
          <w:b w:val="1"/>
          <w:color w:val="000000"/>
        </w:rPr>
        <w:t xml:space="preserve">3. </w:t>
      </w:r>
      <w:r>
        <w:rPr>
          <w:b w:val="1"/>
          <w:color w:val="000000"/>
        </w:rPr>
        <w:t>Описание проблемы, на решение которой направлен предлагаемый способ регулирования, оценка негативных эффектов, возникающих в связи с на</w:t>
      </w:r>
      <w:r>
        <w:rPr>
          <w:b w:val="1"/>
          <w:color w:val="000000"/>
        </w:rPr>
        <w:t>личием рассматриваемой проблемы.</w:t>
      </w:r>
    </w:p>
    <w:p w14:paraId="21000000">
      <w:pPr>
        <w:pStyle w:val="Style_1"/>
        <w:widowControl w:val="0"/>
        <w:tabs>
          <w:tab w:leader="none" w:pos="1134" w:val="left"/>
        </w:tabs>
        <w:spacing w:line="276" w:lineRule="auto"/>
        <w:ind w:left="450"/>
        <w:jc w:val="both"/>
        <w:rPr>
          <w:b w:val="1"/>
          <w:color w:val="000000"/>
        </w:rPr>
      </w:pPr>
      <w:r>
        <w:rPr>
          <w:color w:val="000000"/>
        </w:rPr>
        <w:t>3.1.</w:t>
      </w:r>
      <w:r>
        <w:rPr>
          <w:b w:val="1"/>
          <w:color w:val="000000"/>
        </w:rPr>
        <w:t xml:space="preserve"> </w:t>
      </w:r>
      <w:r>
        <w:rPr>
          <w:color w:val="000000"/>
          <w:u w:val="single"/>
        </w:rPr>
        <w:t>Формулировка проблемы</w:t>
      </w:r>
      <w:r>
        <w:rPr>
          <w:color w:val="000000"/>
          <w:sz w:val="28"/>
          <w:u w:val="single"/>
        </w:rPr>
        <w:t xml:space="preserve"> </w:t>
      </w:r>
      <w:r>
        <w:rPr>
          <w:color w:val="000000"/>
          <w:u w:val="single"/>
        </w:rPr>
        <w:t>на решение которой направлен предлагаемый способ регулирования, условий и факторов ее существования (в том числе описание убытков в виде реального ущерба и упущенной выгоды, и их количественная оценка)</w:t>
      </w:r>
      <w:r>
        <w:rPr>
          <w:color w:val="000000"/>
          <w:u w:val="single"/>
        </w:rPr>
        <w:t>:</w:t>
      </w:r>
    </w:p>
    <w:p w14:paraId="22000000">
      <w:pPr>
        <w:pStyle w:val="Style_3"/>
        <w:widowControl w:val="1"/>
        <w:spacing w:after="0" w:before="0" w:line="240" w:lineRule="auto"/>
        <w:ind w:firstLine="720" w:right="0"/>
        <w:contextualSpacing w:val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0"/>
          <w:color w:val="000000"/>
          <w:sz w:val="24"/>
        </w:rPr>
        <w:t>Государственная политика в интересах детей является приоритетной, нацелена на защиту детей от факторов, негативно влияющих на их физическое, интеллектуальное, психическое, духовное и нравственное развитие, и основана, в том числе на принципе ответственности юридических лиц, должностных лиц, граждан за нарушение прав и законных интересов детей, причинение им вреда.</w:t>
      </w:r>
    </w:p>
    <w:p w14:paraId="23000000">
      <w:pPr>
        <w:pStyle w:val="Style_3"/>
        <w:widowControl w:val="1"/>
        <w:spacing w:after="0" w:before="0" w:line="240" w:lineRule="auto"/>
        <w:ind w:firstLine="720" w:right="0"/>
        <w:contextualSpacing w:val="0"/>
        <w:jc w:val="both"/>
        <w:rPr>
          <w:rFonts w:ascii="Times New Roman" w:hAnsi="Times New Roman"/>
          <w:color w:val="000000"/>
          <w:sz w:val="24"/>
        </w:rPr>
      </w:pPr>
      <w:r>
        <w:t xml:space="preserve">Действующим федеральным законодательством установлен возраст, с которого </w:t>
      </w:r>
      <w:r>
        <w:t xml:space="preserve">несовершеннолетние граждане могут управлять механическими транспортными средствами, </w:t>
      </w:r>
      <w:r>
        <w:t>такими как: мопеды, скутеры, мотоциклы и квадроциклы.</w:t>
      </w:r>
    </w:p>
    <w:p w14:paraId="24000000">
      <w:pPr>
        <w:pStyle w:val="Style_3"/>
        <w:widowControl w:val="1"/>
        <w:spacing w:after="0" w:before="0" w:line="240" w:lineRule="auto"/>
        <w:ind w:firstLine="720" w:right="0"/>
        <w:contextualSpacing w:val="0"/>
        <w:jc w:val="both"/>
        <w:rPr>
          <w:rFonts w:ascii="Times New Roman" w:hAnsi="Times New Roman"/>
          <w:color w:val="000000"/>
          <w:sz w:val="24"/>
        </w:rPr>
      </w:pPr>
      <w:r>
        <w:t>С 16 лет, при наличии водительского удостоверения категории М, разрешено e</w:t>
      </w:r>
      <w:r>
        <w:t xml:space="preserve">правление мопедом и скутером, а при наличии подкатегории А1 - мотоциклом с рабочим </w:t>
      </w:r>
      <w:r>
        <w:t xml:space="preserve">объемом двигателя внутреннего сгорания, не превышающим 125 кубических сантиметров. </w:t>
      </w:r>
      <w:r>
        <w:t xml:space="preserve">При этом, под «мопедом» понимается двух- или трехколесное механическое транспортное </w:t>
      </w:r>
      <w:r>
        <w:t xml:space="preserve">средство, максимальная конструктивная скорость которого не превышает 50 км/ч, имеющее </w:t>
      </w:r>
      <w:r>
        <w:t xml:space="preserve">двигатель внутреннего сгорания с рабочим объемом, не превышающим 50 куб. см, или </w:t>
      </w:r>
      <w:r>
        <w:t xml:space="preserve">электродвигатель номинальной максимальной мощностью в режиме длительной нагрузки </w:t>
      </w:r>
      <w:r>
        <w:t xml:space="preserve">более 0,25 кВт и менее 4 кВт. К мопедам приравниваются квадроциклы, имеющие </w:t>
      </w:r>
      <w:r>
        <w:t>аналогичные технические характеристики.</w:t>
      </w:r>
    </w:p>
    <w:p w14:paraId="25000000">
      <w:pPr>
        <w:pStyle w:val="Style_3"/>
        <w:widowControl w:val="1"/>
        <w:spacing w:after="0" w:before="0" w:line="240" w:lineRule="auto"/>
        <w:ind w:firstLine="720" w:right="0"/>
        <w:contextualSpacing w:val="0"/>
        <w:jc w:val="both"/>
        <w:rPr>
          <w:rFonts w:ascii="Times New Roman" w:hAnsi="Times New Roman"/>
          <w:color w:val="000000"/>
          <w:sz w:val="24"/>
        </w:rPr>
      </w:pPr>
      <w:r>
        <w:t>Вместе с тем, как показывает практика, с</w:t>
      </w:r>
      <w:r>
        <w:rPr>
          <w:rFonts w:ascii="Times New Roman" w:hAnsi="Times New Roman"/>
          <w:color w:val="000000"/>
          <w:sz w:val="24"/>
        </w:rPr>
        <w:t xml:space="preserve"> наступлением весенне-летнего периода, несовершеннолетние, не имея прав на управление транспортными средствами, как единолично, так и в  составе групп выезжают на мопедах, мотоциклах, питбайках и пр. на дороги населенных пунктов и за их пределы, подвергая опасности свою жизнь и здоровье, и создавая угрозу другим участникам дорожного движения. </w:t>
      </w:r>
      <w:r>
        <w:rPr>
          <w:rFonts w:ascii="Times New Roman" w:hAnsi="Times New Roman"/>
          <w:color w:val="000000"/>
          <w:sz w:val="24"/>
        </w:rPr>
        <w:t xml:space="preserve">Эта ситуация усугубляется ежегодно. </w:t>
      </w:r>
    </w:p>
    <w:p w14:paraId="26000000">
      <w:pPr>
        <w:pStyle w:val="Style_3"/>
        <w:widowControl w:val="1"/>
        <w:spacing w:after="0" w:before="0" w:line="240" w:lineRule="auto"/>
        <w:ind w:firstLine="720" w:right="0"/>
        <w:contextualSpacing w:val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Законопроект подготовлен в целях снижения роста аварийности и травматизма среди несовершеннолетних водителей.</w:t>
      </w:r>
    </w:p>
    <w:p w14:paraId="27000000">
      <w:pPr>
        <w:pStyle w:val="Style_3"/>
        <w:widowControl w:val="1"/>
        <w:spacing w:after="0" w:before="0" w:line="240" w:lineRule="auto"/>
        <w:ind w:firstLine="720" w:right="0"/>
        <w:contextualSpacing w:val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 настоящее время на территории Республики Саха (Якутия) ограничений на реализацию моторного топлива несовершеннолетним, за исключением розничной продажи моторного топлива при заправке транспортного средства лицам, достигшим шестнадцатилетнего возраста и имеющим право на управление транспортным средством, не установлено.</w:t>
      </w:r>
    </w:p>
    <w:p w14:paraId="28000000">
      <w:pPr>
        <w:pStyle w:val="Style_3"/>
        <w:widowControl w:val="1"/>
        <w:spacing w:after="0" w:before="0" w:line="240" w:lineRule="auto"/>
        <w:ind w:firstLine="720" w:right="0"/>
        <w:contextualSpacing w:val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Несовершеннолетние беспрепятственно приобретают в розничной продаже моторное топливо, что приводит к сохранению высокого уровня дорожно-транспортного травматизма среди несовершеннолетних граждан.</w:t>
      </w:r>
    </w:p>
    <w:p w14:paraId="29000000">
      <w:pPr>
        <w:pStyle w:val="Style_3"/>
        <w:widowControl w:val="1"/>
        <w:spacing w:after="0" w:before="0" w:line="240" w:lineRule="auto"/>
        <w:ind w:firstLine="720" w:right="0"/>
        <w:contextualSpacing w:val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Ограничение свободного приобретения моторного топлива несовершеннолетними, зачастую не имеющими права управления транспортными средствами, позволит предотвратить их выезд на дороги общего пользования, и тем самым обеспечить безопасность их здоровью и здоровью окружающих.</w:t>
      </w:r>
    </w:p>
    <w:p w14:paraId="2A000000">
      <w:pPr>
        <w:pStyle w:val="Style_3"/>
        <w:widowControl w:val="1"/>
        <w:spacing w:after="0" w:before="0" w:line="240" w:lineRule="auto"/>
        <w:ind w:firstLine="720" w:right="0"/>
        <w:contextualSpacing w:val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Проведение только информационно-разъяснительной работы не позволит решить проблему в полной мере, так как не устанавливает обязательных требований для хозяйствующих субъектов розничной торговли моторным топливом.</w:t>
      </w:r>
    </w:p>
    <w:p w14:paraId="2B000000">
      <w:pPr>
        <w:pStyle w:val="Style_3"/>
        <w:widowControl w:val="1"/>
        <w:spacing w:after="0" w:before="0" w:line="240" w:lineRule="auto"/>
        <w:ind w:firstLine="720" w:right="0"/>
        <w:contextualSpacing w:val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Таким образом, разработанный законопроект позволит решить отдельные вопросы обеспечения безопасности дорожного движения на дорогах регионального и межмуниципального значения, принять меры в целях предупреждения причинения вреда жизни и здоровью детей.</w:t>
      </w:r>
    </w:p>
    <w:p w14:paraId="2C000000">
      <w:pPr>
        <w:widowControl w:val="0"/>
        <w:tabs>
          <w:tab w:leader="none" w:pos="1134" w:val="left"/>
        </w:tabs>
        <w:spacing w:line="276" w:lineRule="auto"/>
        <w:ind w:firstLine="709"/>
        <w:jc w:val="both"/>
        <w:rPr>
          <w:color w:val="000000"/>
          <w:u w:val="single"/>
        </w:rPr>
      </w:pPr>
      <w:r>
        <w:rPr>
          <w:color w:val="000000"/>
          <w:u w:val="single"/>
        </w:rPr>
        <w:t>3</w:t>
      </w:r>
      <w:r>
        <w:rPr>
          <w:color w:val="000000"/>
          <w:u w:val="single"/>
        </w:rPr>
        <w:t>.2.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>Информация о возникновении, выявлении проблемы и мерах, принятых ранее для ее решения, достигнутых результатах и затраченных ресурсах:</w:t>
      </w:r>
    </w:p>
    <w:p w14:paraId="2D000000">
      <w:pPr>
        <w:pStyle w:val="Style_3"/>
        <w:widowControl w:val="1"/>
        <w:spacing w:after="0" w:before="0" w:line="240" w:lineRule="auto"/>
        <w:ind w:firstLine="720" w:right="0"/>
        <w:contextualSpacing w:val="0"/>
        <w:jc w:val="both"/>
        <w:rPr>
          <w:rFonts w:ascii="Times New Roman" w:hAnsi="Times New Roman"/>
          <w:b w:val="0"/>
          <w:color w:val="000000"/>
          <w:sz w:val="24"/>
        </w:rPr>
      </w:pPr>
      <w:r>
        <w:rPr>
          <w:rFonts w:ascii="Times New Roman" w:hAnsi="Times New Roman"/>
          <w:b w:val="0"/>
          <w:color w:val="000000"/>
          <w:sz w:val="24"/>
        </w:rPr>
        <w:t>На федеральном уровне отсутствует законодательное регулирование запретов продажи несовершеннолетним горюче-смазочных материалов.</w:t>
      </w:r>
    </w:p>
    <w:p w14:paraId="2E000000">
      <w:pPr>
        <w:pStyle w:val="Style_3"/>
        <w:widowControl w:val="1"/>
        <w:spacing w:after="0" w:before="0" w:line="240" w:lineRule="auto"/>
        <w:ind w:firstLine="720" w:right="0"/>
        <w:contextualSpacing w:val="0"/>
        <w:jc w:val="both"/>
        <w:rPr>
          <w:rFonts w:ascii="Times New Roman" w:hAnsi="Times New Roman"/>
          <w:b w:val="0"/>
          <w:color w:val="000000"/>
          <w:sz w:val="24"/>
        </w:rPr>
      </w:pPr>
      <w:r>
        <w:rPr>
          <w:rFonts w:ascii="Times New Roman" w:hAnsi="Times New Roman"/>
          <w:b w:val="0"/>
          <w:color w:val="000000"/>
          <w:sz w:val="24"/>
        </w:rPr>
        <w:t>В соответствии с постановлением Конституционного суда Российской Федерации от 09.07.2002 № 12-П отсутствие соответствующего федерального закона по вопросам совместного ведения само по себе не препятствует субъекту Российской Федерации принять собственный нормативный акт, который после принятия федерального закона должен быть приведен в соответствие с ним.</w:t>
      </w:r>
    </w:p>
    <w:p w14:paraId="2F000000">
      <w:pPr>
        <w:pStyle w:val="Style_3"/>
        <w:widowControl w:val="1"/>
        <w:spacing w:after="0" w:before="0" w:line="240" w:lineRule="auto"/>
        <w:ind w:firstLine="720" w:right="0"/>
        <w:contextualSpacing w:val="0"/>
        <w:jc w:val="both"/>
        <w:rPr>
          <w:rFonts w:ascii="Times New Roman" w:hAnsi="Times New Roman"/>
          <w:b w:val="0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Согласно части 5 статьи 4</w:t>
      </w:r>
      <w:r>
        <w:rPr>
          <w:rFonts w:ascii="Times New Roman" w:hAnsi="Times New Roman"/>
          <w:color w:val="000000"/>
          <w:sz w:val="24"/>
        </w:rPr>
        <w:t xml:space="preserve">4 </w:t>
      </w:r>
      <w:r>
        <w:rPr>
          <w:rFonts w:ascii="Times New Roman" w:hAnsi="Times New Roman"/>
          <w:b w:val="0"/>
          <w:color w:val="000000"/>
          <w:sz w:val="24"/>
        </w:rPr>
        <w:t>Федерального закона от 21.12.2021 № 414-ФЗ «</w:t>
      </w:r>
      <w:r>
        <w:rPr>
          <w:rFonts w:ascii="Times New Roman" w:hAnsi="Times New Roman"/>
          <w:b w:val="0"/>
          <w:color w:val="000000"/>
          <w:sz w:val="24"/>
        </w:rPr>
        <w:t>Об общих принципах организации публичной власти в субъектах Российской Федерации» субъекты Российской Федерации вправе осуществлять собственное правовое регулирование по предметам совместного ведения до принятия федеральных законов.</w:t>
      </w:r>
    </w:p>
    <w:p w14:paraId="30000000">
      <w:pPr>
        <w:pStyle w:val="Style_3"/>
        <w:widowControl w:val="1"/>
        <w:spacing w:after="0" w:before="0" w:line="240" w:lineRule="auto"/>
        <w:ind w:firstLine="720" w:right="0"/>
        <w:contextualSpacing w:val="0"/>
        <w:jc w:val="both"/>
        <w:rPr>
          <w:rFonts w:ascii="Times New Roman" w:hAnsi="Times New Roman"/>
          <w:b w:val="0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На сегодняшний день в республике законодательного акта, 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устанавливающего ограничения продажи несовершеннолетним горюче-смазочных материалов, </w:t>
      </w:r>
      <w:r>
        <w:rPr>
          <w:rFonts w:ascii="Times New Roman" w:hAnsi="Times New Roman"/>
          <w:b w:val="0"/>
          <w:color w:val="000000"/>
          <w:sz w:val="24"/>
        </w:rPr>
        <w:t xml:space="preserve">за исключением случаев продажи топлива при заправке транспортных средств лицам, достигшим шестнадцатилетнего возраста, имеющим право на управление транспортными средствами, </w:t>
      </w:r>
      <w:r>
        <w:rPr>
          <w:rFonts w:ascii="Times New Roman" w:hAnsi="Times New Roman"/>
          <w:color w:val="000000"/>
          <w:sz w:val="24"/>
        </w:rPr>
        <w:t xml:space="preserve">не имеется, в этой связи разработан настоящий законопроект. </w:t>
      </w:r>
    </w:p>
    <w:p w14:paraId="31000000">
      <w:pPr>
        <w:widowControl w:val="0"/>
        <w:tabs>
          <w:tab w:leader="none" w:pos="1134" w:val="left"/>
        </w:tabs>
        <w:spacing w:line="276" w:lineRule="auto"/>
        <w:ind w:firstLine="709"/>
        <w:jc w:val="both"/>
        <w:rPr>
          <w:color w:val="000000"/>
        </w:rPr>
      </w:pPr>
      <w:r>
        <w:rPr>
          <w:color w:val="000000"/>
          <w:u w:val="single"/>
        </w:rPr>
        <w:t>3</w:t>
      </w:r>
      <w:r>
        <w:rPr>
          <w:color w:val="000000"/>
          <w:u w:val="single"/>
        </w:rPr>
        <w:t>.3.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>Социальные группы, заинтересованные в устранении проблемы, их количественная оценка</w:t>
      </w:r>
      <w:r>
        <w:rPr>
          <w:color w:val="000000"/>
          <w:u w:val="none"/>
        </w:rPr>
        <w:t>:</w:t>
      </w:r>
      <w:r>
        <w:rPr>
          <w:color w:val="000000"/>
          <w:u w:val="none"/>
        </w:rPr>
        <w:t xml:space="preserve"> </w:t>
      </w:r>
      <w:r>
        <w:rPr>
          <w:color w:val="000000"/>
          <w:u w:val="none"/>
        </w:rPr>
        <w:t xml:space="preserve"> ввиду широкого круга </w:t>
      </w:r>
      <w:r>
        <w:rPr>
          <w:color w:val="000000"/>
          <w:u w:val="none"/>
        </w:rPr>
        <w:t>количественная оценка участников отношений не представляется возможной.</w:t>
      </w:r>
    </w:p>
    <w:p w14:paraId="32000000">
      <w:pPr>
        <w:widowControl w:val="0"/>
        <w:tabs>
          <w:tab w:leader="none" w:pos="1134" w:val="left"/>
        </w:tabs>
        <w:spacing w:line="276" w:lineRule="auto"/>
        <w:ind w:firstLine="709"/>
        <w:jc w:val="both"/>
        <w:rPr>
          <w:color w:val="000000"/>
          <w:u w:val="single"/>
        </w:rPr>
      </w:pPr>
      <w:r>
        <w:rPr>
          <w:color w:val="000000"/>
          <w:u w:val="single"/>
        </w:rPr>
        <w:t>3</w:t>
      </w:r>
      <w:r>
        <w:rPr>
          <w:color w:val="000000"/>
          <w:u w:val="single"/>
        </w:rPr>
        <w:t>.4.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>Характеристика негативных эффектов</w:t>
      </w:r>
      <w:r>
        <w:rPr>
          <w:color w:val="000000"/>
          <w:u w:val="single"/>
        </w:rPr>
        <w:t>(последствия)</w:t>
      </w:r>
      <w:r>
        <w:rPr>
          <w:color w:val="000000"/>
          <w:u w:val="single"/>
        </w:rPr>
        <w:t xml:space="preserve">, </w:t>
      </w:r>
      <w:r>
        <w:rPr>
          <w:color w:val="000000"/>
          <w:u w:val="single"/>
        </w:rPr>
        <w:t xml:space="preserve">возникающих в связи с наличием проблемы, их количественная оценка: </w:t>
      </w:r>
    </w:p>
    <w:p w14:paraId="33000000">
      <w:pPr>
        <w:pStyle w:val="Style_3"/>
        <w:widowControl w:val="1"/>
        <w:spacing w:after="0" w:before="0" w:line="240" w:lineRule="auto"/>
        <w:ind w:firstLine="720" w:right="0"/>
        <w:contextualSpacing w:val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По информации Министерства внутренних дел по Республике Саха (Якутия) с начала 2026 года зарегистрировано </w:t>
      </w:r>
      <w:r>
        <w:rPr>
          <w:rFonts w:ascii="Times New Roman" w:hAnsi="Times New Roman"/>
          <w:b w:val="0"/>
          <w:color w:val="000000"/>
          <w:sz w:val="24"/>
        </w:rPr>
        <w:t>34</w:t>
      </w:r>
      <w:r>
        <w:rPr>
          <w:rFonts w:ascii="Times New Roman" w:hAnsi="Times New Roman"/>
          <w:b w:val="1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дорожно-транспортных происшествия (далее – ДТП) с участием несовершеннолетних водителей мотоциклов, в результате которых пострадало 41 человек, погибло – 0. </w:t>
      </w:r>
      <w:r>
        <w:rPr>
          <w:rFonts w:ascii="Times New Roman" w:hAnsi="Times New Roman"/>
          <w:color w:val="000000"/>
          <w:sz w:val="24"/>
        </w:rPr>
        <w:t>В 2025 году на автодорогах республики с участием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несовершеннолетних, управляющих мототехникой, в том числе </w:t>
      </w:r>
      <w:r>
        <w:rPr>
          <w:rFonts w:ascii="Times New Roman" w:hAnsi="Times New Roman"/>
          <w:color w:val="000000"/>
          <w:sz w:val="24"/>
        </w:rPr>
        <w:t>питбайками</w:t>
      </w:r>
      <w:r>
        <w:rPr>
          <w:rFonts w:ascii="Times New Roman" w:hAnsi="Times New Roman"/>
          <w:color w:val="000000"/>
          <w:sz w:val="24"/>
        </w:rPr>
        <w:t>,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зарегистрировано 23</w:t>
      </w:r>
      <w:r>
        <w:rPr>
          <w:rFonts w:ascii="Times New Roman" w:hAnsi="Times New Roman"/>
          <w:color w:val="000000"/>
          <w:sz w:val="24"/>
        </w:rPr>
        <w:t xml:space="preserve"> ДТП, при которых погибли 3 несовершеннолетних и 24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получили травмы (2024 – 20 ДТП, погибло - 0, получили травмы - 30; 2023 – 12 ДТП, погибло</w:t>
      </w:r>
      <w:r>
        <w:rPr>
          <w:rFonts w:ascii="Times New Roman" w:hAnsi="Times New Roman"/>
          <w:color w:val="000000"/>
          <w:sz w:val="24"/>
        </w:rPr>
        <w:t xml:space="preserve"> - </w:t>
      </w:r>
      <w:r>
        <w:rPr>
          <w:rFonts w:ascii="Times New Roman" w:hAnsi="Times New Roman"/>
          <w:color w:val="000000"/>
          <w:sz w:val="24"/>
        </w:rPr>
        <w:t>0, получили травмы – 17).</w:t>
      </w:r>
    </w:p>
    <w:p w14:paraId="34000000">
      <w:pPr>
        <w:pStyle w:val="Style_3"/>
        <w:widowControl w:val="1"/>
        <w:spacing w:after="0" w:before="0" w:line="240" w:lineRule="auto"/>
        <w:ind w:firstLine="720" w:right="0"/>
        <w:contextualSpacing w:val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 2026 году за управление мототехникой несовершеннолетними, не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имеющими права управления транспортными средствами</w:t>
      </w:r>
      <w:r>
        <w:rPr>
          <w:rFonts w:ascii="Times New Roman" w:hAnsi="Times New Roman"/>
          <w:color w:val="000000"/>
          <w:sz w:val="24"/>
        </w:rPr>
        <w:t>,</w:t>
      </w:r>
      <w:r>
        <w:rPr>
          <w:rFonts w:ascii="Times New Roman" w:hAnsi="Times New Roman"/>
          <w:color w:val="000000"/>
          <w:sz w:val="24"/>
        </w:rPr>
        <w:t xml:space="preserve"> возбуждено 107 дел об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административных правонарушениях по части 1 статьи 12.7 КоАП РФ (2025 - 266, 2024 – 239, 2023 – 227). </w:t>
      </w:r>
    </w:p>
    <w:p w14:paraId="35000000">
      <w:pPr>
        <w:widowControl w:val="0"/>
        <w:tabs>
          <w:tab w:leader="none" w:pos="1134" w:val="left"/>
        </w:tabs>
        <w:spacing w:line="276" w:lineRule="auto"/>
        <w:ind w:firstLine="709"/>
        <w:jc w:val="both"/>
        <w:rPr>
          <w:color w:val="000000"/>
          <w:u w:val="none"/>
        </w:rPr>
      </w:pPr>
      <w:r>
        <w:rPr>
          <w:color w:val="000000"/>
          <w:u w:val="single"/>
        </w:rPr>
        <w:t>3</w:t>
      </w:r>
      <w:r>
        <w:rPr>
          <w:color w:val="000000"/>
          <w:u w:val="single"/>
        </w:rPr>
        <w:t>.5.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>Причины возникновения проблемы и факторы, поддерживающие ее существование:</w:t>
      </w:r>
    </w:p>
    <w:p w14:paraId="36000000">
      <w:pPr>
        <w:widowControl w:val="0"/>
        <w:tabs>
          <w:tab w:leader="none" w:pos="1134" w:val="left"/>
        </w:tabs>
        <w:spacing w:line="276" w:lineRule="auto"/>
        <w:ind w:firstLine="709"/>
        <w:jc w:val="both"/>
        <w:rPr>
          <w:color w:val="000000"/>
          <w:u w:val="single"/>
          <w:shd w:fill="FFE779" w:val="clear"/>
        </w:rPr>
      </w:pPr>
      <w:r>
        <w:rPr>
          <w:color w:val="000000"/>
          <w:u w:val="none"/>
        </w:rPr>
        <w:t>О</w:t>
      </w:r>
      <w:r>
        <w:rPr>
          <w:rFonts w:ascii="Times New Roman" w:hAnsi="Times New Roman"/>
          <w:color w:val="000000"/>
          <w:sz w:val="24"/>
        </w:rPr>
        <w:t>тсутствие ограничений на территории республики на розничную продажу моторного топлива (ГСМ) несовершеннолетним, за исключением розничной продажи топлива при заправке транспортного средства лицам, достигшим шестнадцатилетнего возраста и имеющим право на управление транспортным средством, не способствует снижению</w:t>
      </w:r>
      <w:r>
        <w:rPr>
          <w:rFonts w:ascii="Times New Roman" w:hAnsi="Times New Roman"/>
          <w:color w:val="000000"/>
          <w:sz w:val="24"/>
        </w:rPr>
        <w:t xml:space="preserve"> числа дорожно-транспортных происшествий с участием несовершеннолетних лиц.</w:t>
      </w:r>
    </w:p>
    <w:p w14:paraId="37000000">
      <w:pPr>
        <w:widowControl w:val="0"/>
        <w:tabs>
          <w:tab w:leader="none" w:pos="1134" w:val="left"/>
        </w:tabs>
        <w:spacing w:line="276" w:lineRule="auto"/>
        <w:ind w:firstLine="709"/>
        <w:jc w:val="both"/>
        <w:rPr>
          <w:color w:val="000000"/>
        </w:rPr>
      </w:pPr>
      <w:r>
        <w:rPr>
          <w:color w:val="000000"/>
          <w:u w:val="single"/>
        </w:rPr>
        <w:t>3</w:t>
      </w:r>
      <w:r>
        <w:rPr>
          <w:color w:val="000000"/>
          <w:u w:val="single"/>
        </w:rPr>
        <w:t>.6.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>Причины невозможности решения проблемы участниками соответствующих отношений самостоятельно, без вмешательства государства:</w:t>
      </w:r>
      <w:r>
        <w:rPr>
          <w:color w:val="000000"/>
        </w:rPr>
        <w:t xml:space="preserve"> в</w:t>
      </w:r>
      <w:r>
        <w:rPr>
          <w:color w:val="000000"/>
        </w:rPr>
        <w:t xml:space="preserve"> соответствии с пунктом 2 статьи 5 Федерального закона от 24.07.1998 № 124-</w:t>
      </w:r>
      <w:r>
        <w:rPr>
          <w:color w:val="000000"/>
        </w:rPr>
        <w:t xml:space="preserve">ФЗ «Об основных гарантиях прав ребенка в Российской Федерации» к полномочиям </w:t>
      </w:r>
      <w:r>
        <w:rPr>
          <w:color w:val="000000"/>
        </w:rPr>
        <w:t xml:space="preserve">органов государственной власти субъектов Российской Федерации на осуществление </w:t>
      </w:r>
      <w:r>
        <w:rPr>
          <w:color w:val="000000"/>
        </w:rPr>
        <w:t xml:space="preserve">гарантий прав ребенка в Российской Федерации относится реализация государственной </w:t>
      </w:r>
      <w:r>
        <w:rPr>
          <w:color w:val="000000"/>
        </w:rPr>
        <w:t xml:space="preserve">политики в интересах детей. Субъектом Российской Федерации могут </w:t>
      </w:r>
      <w:r>
        <w:rPr>
          <w:color w:val="000000"/>
        </w:rPr>
        <w:t xml:space="preserve">предусматриваться различные меры по предупреждению причинения вреда здоровью </w:t>
      </w:r>
      <w:r>
        <w:rPr>
          <w:color w:val="000000"/>
        </w:rPr>
        <w:t>детей.</w:t>
      </w:r>
    </w:p>
    <w:p w14:paraId="38000000">
      <w:pPr>
        <w:widowControl w:val="0"/>
        <w:tabs>
          <w:tab w:leader="none" w:pos="1134" w:val="left"/>
        </w:tabs>
        <w:spacing w:line="276" w:lineRule="auto"/>
        <w:ind w:firstLine="709"/>
        <w:jc w:val="both"/>
        <w:rPr>
          <w:color w:val="000000"/>
        </w:rPr>
      </w:pPr>
      <w:r>
        <w:rPr>
          <w:color w:val="000000"/>
          <w:u w:val="single"/>
        </w:rPr>
        <w:t>3</w:t>
      </w:r>
      <w:r>
        <w:rPr>
          <w:color w:val="000000"/>
          <w:u w:val="single"/>
        </w:rPr>
        <w:t>.7.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>Анализ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>о</w:t>
      </w:r>
      <w:r>
        <w:rPr>
          <w:color w:val="000000"/>
          <w:u w:val="single"/>
        </w:rPr>
        <w:t>пыт</w:t>
      </w:r>
      <w:r>
        <w:rPr>
          <w:color w:val="000000"/>
          <w:u w:val="single"/>
        </w:rPr>
        <w:t>а</w:t>
      </w:r>
      <w:r>
        <w:rPr>
          <w:color w:val="000000"/>
          <w:u w:val="single"/>
        </w:rPr>
        <w:t xml:space="preserve"> решения аналогичных проблем в других </w:t>
      </w:r>
      <w:r>
        <w:rPr>
          <w:color w:val="000000"/>
          <w:u w:val="single"/>
        </w:rPr>
        <w:t>субъектах Российской Федерации:</w:t>
      </w:r>
    </w:p>
    <w:p w14:paraId="39000000">
      <w:pPr>
        <w:widowControl w:val="0"/>
        <w:tabs>
          <w:tab w:leader="none" w:pos="1134" w:val="left"/>
        </w:tabs>
        <w:spacing w:line="276" w:lineRule="auto"/>
        <w:ind w:firstLine="709"/>
        <w:jc w:val="both"/>
        <w:rPr>
          <w:color w:val="000000"/>
          <w:u w:val="single"/>
        </w:rPr>
      </w:pPr>
      <w:r>
        <w:rPr>
          <w:rFonts w:ascii="Times New Roman" w:hAnsi="Times New Roman"/>
          <w:color w:val="000000"/>
          <w:sz w:val="24"/>
        </w:rPr>
        <w:t>Изучение правоприменительной практики показало, что в ряде субъектов России (Приморский край, Чувашская Республика, Республика Татарстан, Кемеровская область, Ярославская область, Вологодская область, Астраханская область, Кировская область, Костромская область, Забайкальский край и др.) действуют законы, предусматривающие ограничения для несовершеннолетних</w:t>
      </w:r>
      <w:r>
        <w:rPr>
          <w:rFonts w:ascii="Times New Roman" w:hAnsi="Times New Roman"/>
          <w:color w:val="000000"/>
          <w:sz w:val="24"/>
        </w:rPr>
        <w:t xml:space="preserve"> свободного приобретения ГСМ для заправки транспортных средств, что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позволяет исключить их из участия в дорожном движении, минимизируя случаи травмирования и смерти детей в результате ДТП.</w:t>
      </w:r>
    </w:p>
    <w:p w14:paraId="3A000000">
      <w:pPr>
        <w:widowControl w:val="0"/>
        <w:tabs>
          <w:tab w:leader="none" w:pos="1134" w:val="left"/>
        </w:tabs>
        <w:spacing w:line="276" w:lineRule="auto"/>
        <w:ind w:firstLine="709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Например, </w:t>
      </w:r>
      <w:r>
        <w:rPr>
          <w:color w:val="000000"/>
        </w:rPr>
        <w:t xml:space="preserve">Закон Кировской области от 04.03.2021 № 452-ЗО «О некоторых </w:t>
      </w:r>
      <w:r>
        <w:rPr>
          <w:color w:val="000000"/>
        </w:rPr>
        <w:t xml:space="preserve">мерах по обеспечению прав детей на охрану здоровья» предусматривает запрет </w:t>
      </w:r>
      <w:r>
        <w:rPr>
          <w:color w:val="000000"/>
        </w:rPr>
        <w:t xml:space="preserve">розничной продажи несовершеннолетним автомобильного бензина, за исключением </w:t>
      </w:r>
      <w:r>
        <w:rPr>
          <w:color w:val="000000"/>
        </w:rPr>
        <w:t xml:space="preserve">розничной продажи автомобильного бензина при заправке топливного бака </w:t>
      </w:r>
      <w:r>
        <w:rPr>
          <w:color w:val="000000"/>
        </w:rPr>
        <w:t xml:space="preserve">транспортного средства лицам, достигшим шестнадцатилетнего возраста, имеющим </w:t>
      </w:r>
      <w:r>
        <w:rPr>
          <w:color w:val="000000"/>
        </w:rPr>
        <w:t xml:space="preserve">право на управление транспортным средством. </w:t>
      </w:r>
    </w:p>
    <w:p w14:paraId="3B000000">
      <w:pPr>
        <w:widowControl w:val="0"/>
        <w:tabs>
          <w:tab w:leader="none" w:pos="1134" w:val="left"/>
        </w:tabs>
        <w:spacing w:line="276" w:lineRule="auto"/>
        <w:ind w:firstLine="709"/>
        <w:jc w:val="both"/>
        <w:rPr>
          <w:rFonts w:ascii="Times New Roman" w:hAnsi="Times New Roman"/>
          <w:color w:val="000000"/>
          <w:sz w:val="24"/>
        </w:rPr>
      </w:pPr>
      <w:r>
        <w:rPr>
          <w:color w:val="000000"/>
        </w:rPr>
        <w:t xml:space="preserve">Принят Закон Вологодской области от 03.10.2025 № 5955-ОЗ "Об </w:t>
      </w:r>
      <w:r>
        <w:rPr>
          <w:color w:val="000000"/>
        </w:rPr>
        <w:t xml:space="preserve">установлении ограничения розничной продажи моторного топлива на </w:t>
      </w:r>
      <w:r>
        <w:rPr>
          <w:color w:val="000000"/>
        </w:rPr>
        <w:t xml:space="preserve">территории Вологодской области", устанавливающий ограничение </w:t>
      </w:r>
      <w:r>
        <w:rPr>
          <w:color w:val="000000"/>
        </w:rPr>
        <w:t xml:space="preserve">розничной продажи лицам, не достигшим восемнадцатилетнего возраста, </w:t>
      </w:r>
      <w:r>
        <w:rPr>
          <w:color w:val="000000"/>
        </w:rPr>
        <w:t>моторного топлива (бензина, дизельного топлива, метана).</w:t>
      </w:r>
    </w:p>
    <w:p w14:paraId="3C000000">
      <w:pPr>
        <w:widowControl w:val="0"/>
        <w:tabs>
          <w:tab w:leader="none" w:pos="1134" w:val="left"/>
        </w:tabs>
        <w:spacing w:line="276" w:lineRule="auto"/>
        <w:ind w:firstLine="709"/>
        <w:jc w:val="both"/>
        <w:rPr>
          <w:rFonts w:ascii="Times New Roman" w:hAnsi="Times New Roman"/>
          <w:color w:val="000000"/>
          <w:sz w:val="24"/>
        </w:rPr>
      </w:pPr>
      <w:r>
        <w:rPr>
          <w:color w:val="000000"/>
        </w:rPr>
        <w:t xml:space="preserve">Закон Забайкальского края от 03.04.2026 N 2643-ЗЗК </w:t>
      </w:r>
      <w:r>
        <w:rPr>
          <w:color w:val="000000"/>
        </w:rPr>
        <w:t xml:space="preserve">"Об ограничении продажи несовершеннолетним горюче-смазочных </w:t>
      </w:r>
      <w:r>
        <w:rPr>
          <w:color w:val="000000"/>
        </w:rPr>
        <w:t xml:space="preserve">материалов </w:t>
      </w:r>
      <w:r>
        <w:rPr>
          <w:color w:val="000000"/>
        </w:rPr>
        <w:t xml:space="preserve">на </w:t>
      </w:r>
      <w:r>
        <w:rPr>
          <w:color w:val="000000"/>
        </w:rPr>
        <w:t xml:space="preserve">территории </w:t>
      </w:r>
      <w:r>
        <w:rPr>
          <w:color w:val="000000"/>
        </w:rPr>
        <w:t xml:space="preserve">Забайкальского </w:t>
      </w:r>
      <w:r>
        <w:rPr>
          <w:color w:val="000000"/>
        </w:rPr>
        <w:t xml:space="preserve">края". </w:t>
      </w:r>
      <w:r>
        <w:rPr>
          <w:color w:val="000000"/>
        </w:rPr>
        <w:t>На территории края запрещена продажа несовершеннолетним горюче-</w:t>
      </w:r>
      <w:r>
        <w:rPr>
          <w:color w:val="000000"/>
        </w:rPr>
        <w:t xml:space="preserve">смазочных материалов (топлива для заправки транспортных средств). </w:t>
      </w:r>
      <w:r>
        <w:rPr>
          <w:color w:val="000000"/>
        </w:rPr>
        <w:t xml:space="preserve">Исключение составляет продажа при заправке транспортных средств лицам, </w:t>
      </w:r>
      <w:r>
        <w:rPr>
          <w:color w:val="000000"/>
        </w:rPr>
        <w:t>достигшим 16 лет и имеющим право на управление транспортным</w:t>
      </w:r>
    </w:p>
    <w:p w14:paraId="3D000000">
      <w:pPr>
        <w:widowControl w:val="1"/>
        <w:spacing w:line="276" w:lineRule="auto"/>
        <w:ind/>
        <w:jc w:val="both"/>
        <w:rPr>
          <w:color w:val="000000"/>
        </w:rPr>
      </w:pPr>
      <w:r>
        <w:rPr>
          <w:color w:val="000000"/>
        </w:rPr>
        <w:t xml:space="preserve">средством. При возникновении сомнения в достижении покупателем </w:t>
      </w:r>
      <w:r>
        <w:rPr>
          <w:color w:val="000000"/>
        </w:rPr>
        <w:t xml:space="preserve">совершеннолетия продавец вправе потребовать документ, подтверждающий </w:t>
      </w:r>
      <w:r>
        <w:rPr>
          <w:color w:val="000000"/>
        </w:rPr>
        <w:t xml:space="preserve">возраст, и (или) водительское удостоверение. В случае непредставления </w:t>
      </w:r>
      <w:r>
        <w:rPr>
          <w:color w:val="000000"/>
        </w:rPr>
        <w:t xml:space="preserve">таких документов продажа материалов не осуществляется. Нарушение </w:t>
      </w:r>
      <w:r>
        <w:rPr>
          <w:color w:val="000000"/>
        </w:rPr>
        <w:t xml:space="preserve">установленного ограничения влечет административную ответственность в </w:t>
      </w:r>
      <w:r>
        <w:rPr>
          <w:color w:val="000000"/>
        </w:rPr>
        <w:t>соответствии с законодательством края.</w:t>
      </w:r>
    </w:p>
    <w:p w14:paraId="3E000000">
      <w:pPr>
        <w:widowControl w:val="1"/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 xml:space="preserve">Закон Республики Татарстан от 23.07.2025 № 53-ЗРТ </w:t>
      </w:r>
      <w:r>
        <w:rPr>
          <w:color w:val="000000"/>
        </w:rPr>
        <w:t xml:space="preserve">«О внесении изменений в отдельные законодательные акты Республики </w:t>
      </w:r>
      <w:r>
        <w:rPr>
          <w:color w:val="000000"/>
        </w:rPr>
        <w:t xml:space="preserve">Татарстан в части установления ограничения продажи несовершеннолетним </w:t>
      </w:r>
      <w:r>
        <w:rPr>
          <w:color w:val="000000"/>
        </w:rPr>
        <w:t xml:space="preserve">автомобильного бензина». Запрещается розничная продажа бензина лицам </w:t>
      </w:r>
      <w:r>
        <w:rPr>
          <w:color w:val="000000"/>
        </w:rPr>
        <w:t xml:space="preserve">младше 18 лет, за исключением случаев, когда бензин заправляется в </w:t>
      </w:r>
      <w:r>
        <w:rPr>
          <w:color w:val="000000"/>
        </w:rPr>
        <w:t xml:space="preserve">топливный бак транспортного средства лицам от 16 лет, имеющим право </w:t>
      </w:r>
      <w:r>
        <w:rPr>
          <w:color w:val="000000"/>
        </w:rPr>
        <w:t>управлять автомобилем/</w:t>
      </w:r>
    </w:p>
    <w:p w14:paraId="3F000000">
      <w:pPr>
        <w:widowControl w:val="0"/>
        <w:tabs>
          <w:tab w:leader="none" w:pos="1134" w:val="left"/>
        </w:tabs>
        <w:spacing w:line="276" w:lineRule="auto"/>
        <w:ind w:firstLine="709"/>
        <w:jc w:val="both"/>
        <w:rPr>
          <w:color w:val="000000"/>
          <w:u w:val="single"/>
        </w:rPr>
      </w:pPr>
      <w:r>
        <w:rPr>
          <w:color w:val="000000"/>
          <w:u w:val="single"/>
        </w:rPr>
        <w:t>3</w:t>
      </w:r>
      <w:r>
        <w:rPr>
          <w:color w:val="000000"/>
          <w:u w:val="single"/>
        </w:rPr>
        <w:t>.8.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>Источники данных: система Консультант Плюс Регион, и</w:t>
      </w:r>
      <w:r>
        <w:rPr>
          <w:color w:val="000000"/>
        </w:rPr>
        <w:t>нформационно-аналитический материал</w:t>
      </w:r>
      <w:r>
        <w:rPr>
          <w:color w:val="000000"/>
        </w:rPr>
        <w:t xml:space="preserve"> по направлению деятельности Госавтоинспекции МВД по Республике Саха (Якутия)</w:t>
      </w:r>
      <w:r>
        <w:rPr>
          <w:color w:val="000000"/>
        </w:rPr>
        <w:t>.</w:t>
      </w:r>
    </w:p>
    <w:p w14:paraId="40000000">
      <w:pPr>
        <w:widowControl w:val="0"/>
        <w:tabs>
          <w:tab w:leader="none" w:pos="1134" w:val="left"/>
        </w:tabs>
        <w:spacing w:line="276" w:lineRule="auto"/>
        <w:ind w:firstLine="709"/>
        <w:jc w:val="both"/>
        <w:rPr>
          <w:color w:val="000000"/>
        </w:rPr>
      </w:pPr>
      <w:r>
        <w:rPr>
          <w:color w:val="000000"/>
          <w:u w:val="single"/>
        </w:rPr>
        <w:t>3</w:t>
      </w:r>
      <w:r>
        <w:rPr>
          <w:color w:val="000000"/>
          <w:u w:val="single"/>
        </w:rPr>
        <w:t>.9.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>Иная информация о проблеме</w:t>
      </w:r>
      <w:r>
        <w:rPr>
          <w:color w:val="000000"/>
        </w:rPr>
        <w:t>: не имеется.</w:t>
      </w:r>
    </w:p>
    <w:p w14:paraId="41000000">
      <w:pPr>
        <w:widowControl w:val="0"/>
        <w:tabs>
          <w:tab w:leader="none" w:pos="1134" w:val="left"/>
        </w:tabs>
        <w:spacing w:line="276" w:lineRule="auto"/>
        <w:ind w:firstLine="709"/>
        <w:jc w:val="both"/>
        <w:rPr>
          <w:rFonts w:ascii="PT Astra Serif" w:hAnsi="PT Astra Serif"/>
          <w:b w:val="1"/>
          <w:color w:val="000000"/>
        </w:rPr>
      </w:pPr>
      <w:r>
        <w:rPr>
          <w:rFonts w:ascii="PT Astra Serif" w:hAnsi="PT Astra Serif"/>
          <w:b w:val="1"/>
          <w:color w:val="000000"/>
        </w:rPr>
        <w:t>4</w:t>
      </w:r>
      <w:r>
        <w:rPr>
          <w:rFonts w:ascii="PT Astra Serif" w:hAnsi="PT Astra Serif"/>
          <w:b w:val="1"/>
          <w:color w:val="000000"/>
        </w:rPr>
        <w:t>.</w:t>
      </w:r>
      <w:r>
        <w:rPr>
          <w:rFonts w:ascii="PT Astra Serif" w:hAnsi="PT Astra Serif"/>
          <w:b w:val="1"/>
          <w:color w:val="000000"/>
        </w:rPr>
        <w:tab/>
      </w:r>
      <w:r>
        <w:rPr>
          <w:rFonts w:ascii="PT Astra Serif" w:hAnsi="PT Astra Serif"/>
          <w:b w:val="1"/>
          <w:color w:val="000000"/>
        </w:rPr>
        <w:t>Определение целей предлагаемого правового регулирования</w:t>
      </w:r>
      <w:r>
        <w:rPr>
          <w:rFonts w:ascii="PT Astra Serif" w:hAnsi="PT Astra Serif"/>
          <w:b w:val="1"/>
          <w:color w:val="000000"/>
        </w:rPr>
        <w:t xml:space="preserve"> и их </w:t>
      </w:r>
      <w:r>
        <w:rPr>
          <w:rFonts w:ascii="PT Astra Serif" w:hAnsi="PT Astra Serif"/>
          <w:b w:val="1"/>
          <w:color w:val="000000"/>
        </w:rPr>
        <w:t>соответстви</w:t>
      </w:r>
      <w:r>
        <w:rPr>
          <w:rFonts w:ascii="PT Astra Serif" w:hAnsi="PT Astra Serif"/>
          <w:b w:val="1"/>
          <w:color w:val="000000"/>
        </w:rPr>
        <w:t>е</w:t>
      </w:r>
      <w:r>
        <w:rPr>
          <w:rFonts w:ascii="PT Astra Serif" w:hAnsi="PT Astra Serif"/>
          <w:b w:val="1"/>
          <w:color w:val="000000"/>
        </w:rPr>
        <w:t xml:space="preserve"> принципам правового регулирования. Индикативные показатели, программы мониторинга и иные способы (методы) оценки достижения заявленных целей регулирования</w:t>
      </w:r>
    </w:p>
    <w:tbl>
      <w:tblPr>
        <w:tblStyle w:val="Style_2"/>
        <w:tblW w:type="auto" w:w="0"/>
        <w:tblInd w:type="dxa" w:w="-5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3544"/>
        <w:gridCol w:w="3119"/>
        <w:gridCol w:w="2703"/>
      </w:tblGrid>
      <w:tr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2000000">
            <w:pPr>
              <w:widowControl w:val="0"/>
              <w:spacing w:line="276" w:lineRule="auto"/>
              <w:ind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4</w:t>
            </w:r>
            <w:r>
              <w:rPr>
                <w:rFonts w:ascii="PT Astra Serif" w:hAnsi="PT Astra Serif"/>
                <w:color w:val="000000"/>
              </w:rPr>
              <w:t>.1. Цели предлагаемого правового регулирования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3000000">
            <w:pPr>
              <w:widowControl w:val="0"/>
              <w:spacing w:line="276" w:lineRule="auto"/>
              <w:ind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4</w:t>
            </w:r>
            <w:r>
              <w:rPr>
                <w:rFonts w:ascii="PT Astra Serif" w:hAnsi="PT Astra Serif"/>
                <w:color w:val="000000"/>
              </w:rPr>
              <w:t xml:space="preserve">.2. </w:t>
            </w:r>
            <w:r>
              <w:rPr>
                <w:rFonts w:ascii="PT Astra Serif" w:hAnsi="PT Astra Serif"/>
                <w:color w:val="000000"/>
              </w:rPr>
              <w:t xml:space="preserve">Установленные </w:t>
            </w:r>
            <w:r>
              <w:rPr>
                <w:rFonts w:ascii="PT Astra Serif" w:hAnsi="PT Astra Serif"/>
                <w:color w:val="000000"/>
              </w:rPr>
              <w:t>с</w:t>
            </w:r>
            <w:r>
              <w:rPr>
                <w:rFonts w:ascii="PT Astra Serif" w:hAnsi="PT Astra Serif"/>
                <w:color w:val="000000"/>
              </w:rPr>
              <w:t>роки достижения целей предлагаемого правового регулирования</w:t>
            </w:r>
          </w:p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4000000">
            <w:pPr>
              <w:widowControl w:val="0"/>
              <w:spacing w:line="276" w:lineRule="auto"/>
              <w:ind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4</w:t>
            </w:r>
            <w:r>
              <w:rPr>
                <w:rFonts w:ascii="PT Astra Serif" w:hAnsi="PT Astra Serif"/>
                <w:color w:val="000000"/>
              </w:rPr>
              <w:t>.3. Периодичность мониторинга достижения целей предлагаемого правового регулирования</w:t>
            </w:r>
          </w:p>
        </w:tc>
      </w:tr>
      <w:tr>
        <w:trPr>
          <w:trHeight w:hRule="atLeast" w:val="144"/>
        </w:trPr>
        <w:tc>
          <w:tcPr>
            <w:tcW w:type="dxa" w:w="3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5000000">
            <w:pPr>
              <w:widowControl w:val="0"/>
              <w:tabs>
                <w:tab w:leader="none" w:pos="1134" w:val="left"/>
              </w:tabs>
              <w:spacing w:line="276" w:lineRule="auto"/>
              <w:ind w:firstLine="0"/>
              <w:jc w:val="both"/>
              <w:rPr>
                <w:color w:val="000000"/>
                <w:u w:val="single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Принятие законопроекта позволит в будущем ограничить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свободное приобретение несовершеннолетними моторного топлива (ГСМ) для заправки транспортных средств, что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позволит исключить их из участия в дорожном движении, минимизируя случаи травмирования и смерти в результате ДТП.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46000000">
            <w:pPr>
              <w:widowControl w:val="0"/>
              <w:spacing w:line="276" w:lineRule="auto"/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2027 год, далее постоянно</w:t>
            </w:r>
          </w:p>
        </w:tc>
        <w:tc>
          <w:tcPr>
            <w:tcW w:type="dxa" w:w="27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47000000">
            <w:pPr>
              <w:widowControl w:val="0"/>
              <w:spacing w:line="276" w:lineRule="auto"/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постоянно</w:t>
            </w:r>
          </w:p>
        </w:tc>
      </w:tr>
    </w:tbl>
    <w:p w14:paraId="48000000">
      <w:pPr>
        <w:widowControl w:val="0"/>
        <w:tabs>
          <w:tab w:leader="none" w:pos="1134" w:val="left"/>
        </w:tabs>
        <w:spacing w:line="276" w:lineRule="auto"/>
        <w:ind w:firstLine="709"/>
        <w:jc w:val="both"/>
        <w:rPr>
          <w:rFonts w:ascii="PT Astra Serif" w:hAnsi="PT Astra Serif"/>
          <w:color w:val="000000"/>
          <w:u w:val="single"/>
        </w:rPr>
      </w:pPr>
      <w:r>
        <w:rPr>
          <w:rFonts w:ascii="PT Astra Serif" w:hAnsi="PT Astra Serif"/>
          <w:color w:val="000000"/>
          <w:u w:val="single"/>
        </w:rPr>
        <w:t>4</w:t>
      </w:r>
      <w:r>
        <w:rPr>
          <w:rFonts w:ascii="PT Astra Serif" w:hAnsi="PT Astra Serif"/>
          <w:color w:val="000000"/>
          <w:u w:val="single"/>
        </w:rPr>
        <w:t>.4.</w:t>
      </w:r>
      <w:r>
        <w:rPr>
          <w:rFonts w:ascii="PT Astra Serif" w:hAnsi="PT Astra Serif"/>
          <w:color w:val="000000"/>
          <w:u w:val="single"/>
        </w:rPr>
        <w:tab/>
      </w:r>
      <w:r>
        <w:rPr>
          <w:rFonts w:ascii="PT Astra Serif" w:hAnsi="PT Astra Serif"/>
          <w:color w:val="000000"/>
          <w:u w:val="single"/>
        </w:rPr>
        <w:t xml:space="preserve">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 </w:t>
      </w:r>
      <w:r>
        <w:rPr>
          <w:rFonts w:ascii="Times New Roman" w:hAnsi="Times New Roman"/>
          <w:b w:val="0"/>
          <w:color w:val="000000"/>
          <w:sz w:val="24"/>
          <w:u w:val="none"/>
        </w:rPr>
        <w:t>Федеральный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4"/>
          <w:u w:color="000000" w:val="none"/>
        </w:rPr>
        <w:t>закон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от 24.07.1998 № 124-ФЗ «Об основных гарантиях прав ребенка в Российской Федерации», Федеральный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4"/>
          <w:u w:color="000000" w:val="none"/>
        </w:rPr>
        <w:t>закон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от 23.06.2016 № 182-ФЗ «Об основах системы профилактики правонарушений в Российской Федерации», Федеральный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4"/>
          <w:u w:color="000000" w:val="none"/>
        </w:rPr>
        <w:t>закон</w:t>
      </w:r>
      <w:r>
        <w:rPr>
          <w:rFonts w:ascii="Times New Roman" w:hAnsi="Times New Roman"/>
          <w:b w:val="0"/>
          <w:color w:val="000000"/>
          <w:sz w:val="24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4"/>
          <w:u w:val="none"/>
        </w:rPr>
        <w:t>от 10.12.1995 № 196-ФЗ «О безопасности дорожного движения».</w:t>
      </w:r>
    </w:p>
    <w:p w14:paraId="49000000">
      <w:pPr>
        <w:widowControl w:val="0"/>
        <w:tabs>
          <w:tab w:leader="none" w:pos="1134" w:val="left"/>
        </w:tabs>
        <w:spacing w:line="276" w:lineRule="auto"/>
        <w:ind w:firstLine="709"/>
        <w:jc w:val="both"/>
        <w:rPr>
          <w:rFonts w:ascii="PT Astra Serif" w:hAnsi="PT Astra Serif"/>
          <w:color w:val="000000"/>
        </w:rPr>
      </w:pPr>
    </w:p>
    <w:tbl>
      <w:tblPr>
        <w:tblStyle w:val="Style_2"/>
        <w:tblW w:type="auto" w:w="0"/>
        <w:tblInd w:type="dxa" w:w="-5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3402"/>
        <w:gridCol w:w="1985"/>
        <w:gridCol w:w="1701"/>
        <w:gridCol w:w="2278"/>
      </w:tblGrid>
      <w:tr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A000000">
            <w:pPr>
              <w:widowControl w:val="0"/>
              <w:spacing w:line="276" w:lineRule="auto"/>
              <w:ind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4</w:t>
            </w:r>
            <w:r>
              <w:rPr>
                <w:rFonts w:ascii="PT Astra Serif" w:hAnsi="PT Astra Serif"/>
                <w:color w:val="000000"/>
              </w:rPr>
              <w:t>.5. Цели предлагаемого правового регулирования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B000000">
            <w:pPr>
              <w:widowControl w:val="0"/>
              <w:spacing w:line="276" w:lineRule="auto"/>
              <w:ind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4</w:t>
            </w:r>
            <w:r>
              <w:rPr>
                <w:rFonts w:ascii="PT Astra Serif" w:hAnsi="PT Astra Serif"/>
                <w:color w:val="000000"/>
              </w:rPr>
              <w:t>.6. Индикаторы достижения целей предлагаемого правового регулирования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C000000">
            <w:pPr>
              <w:widowControl w:val="0"/>
              <w:spacing w:line="276" w:lineRule="auto"/>
              <w:ind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4</w:t>
            </w:r>
            <w:r>
              <w:rPr>
                <w:rFonts w:ascii="PT Astra Serif" w:hAnsi="PT Astra Serif"/>
                <w:color w:val="000000"/>
              </w:rPr>
              <w:t>.7. Единица измерения индикаторов</w:t>
            </w:r>
          </w:p>
        </w:tc>
        <w:tc>
          <w:tcPr>
            <w:tcW w:type="dxa" w:w="22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D000000">
            <w:pPr>
              <w:widowControl w:val="0"/>
              <w:spacing w:line="276" w:lineRule="auto"/>
              <w:ind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4</w:t>
            </w:r>
            <w:r>
              <w:rPr>
                <w:rFonts w:ascii="PT Astra Serif" w:hAnsi="PT Astra Serif"/>
                <w:color w:val="000000"/>
              </w:rPr>
              <w:t>.8. Целевые значения индикаторов по годам</w:t>
            </w:r>
          </w:p>
        </w:tc>
      </w:tr>
      <w:tr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E000000">
            <w:pPr>
              <w:widowControl w:val="0"/>
              <w:spacing w:line="276" w:lineRule="auto"/>
              <w:ind w:firstLine="0"/>
              <w:jc w:val="both"/>
              <w:rPr>
                <w:rFonts w:ascii="PT Astra Serif" w:hAnsi="PT Astra Serif"/>
                <w:strike w:val="1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Снижение числа дорожно-транспортных происшествий с участием несовершеннолетних водителей мотоциклов и иной мототехники, 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инимизация случаев их травмирования и смерти в результате дорожно-транспортных происшествий 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4F000000">
            <w:pPr>
              <w:widowControl w:val="1"/>
              <w:ind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Уменьшение количества дорожно-транспортных происшествий с участием несовершеннолетних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50000000">
            <w:pPr>
              <w:widowControl w:val="1"/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количество ДТП/ погибших (пострадавших) граждан</w:t>
            </w:r>
          </w:p>
        </w:tc>
        <w:tc>
          <w:tcPr>
            <w:tcW w:type="dxa" w:w="22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51000000">
            <w:pPr>
              <w:widowControl w:val="1"/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</w:p>
        </w:tc>
      </w:tr>
    </w:tbl>
    <w:p w14:paraId="52000000">
      <w:pPr>
        <w:widowControl w:val="0"/>
        <w:tabs>
          <w:tab w:leader="none" w:pos="1134" w:val="left"/>
        </w:tabs>
        <w:spacing w:line="276" w:lineRule="auto"/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  <w:u w:val="single"/>
        </w:rPr>
        <w:t>4</w:t>
      </w:r>
      <w:r>
        <w:rPr>
          <w:rFonts w:ascii="PT Astra Serif" w:hAnsi="PT Astra Serif"/>
          <w:color w:val="000000"/>
          <w:u w:val="single"/>
        </w:rPr>
        <w:t>.9</w:t>
      </w:r>
      <w:r>
        <w:rPr>
          <w:rFonts w:ascii="PT Astra Serif" w:hAnsi="PT Astra Serif"/>
          <w:color w:val="000000"/>
          <w:u w:val="single"/>
        </w:rPr>
        <w:tab/>
      </w:r>
      <w:r>
        <w:rPr>
          <w:rFonts w:ascii="PT Astra Serif" w:hAnsi="PT Astra Serif"/>
          <w:color w:val="000000"/>
          <w:u w:val="single"/>
        </w:rPr>
        <w:t>Методы расчета индикаторов достижения целей предлагаемого правового регулирования, источники информации для расчетов:</w:t>
      </w:r>
      <w:r>
        <w:rPr>
          <w:rFonts w:ascii="PT Astra Serif" w:hAnsi="PT Astra Serif"/>
          <w:color w:val="000000"/>
        </w:rPr>
        <w:t xml:space="preserve"> отсутствуют.</w:t>
      </w:r>
      <w:r>
        <w:rPr>
          <w:rFonts w:ascii="PT Astra Serif" w:hAnsi="PT Astra Serif"/>
          <w:color w:val="000000"/>
        </w:rPr>
        <w:t xml:space="preserve"> </w:t>
      </w:r>
      <w:r>
        <w:t xml:space="preserve">Контроль эффективности избранного способа достижения цели регулирования </w:t>
      </w:r>
      <w:r>
        <w:t xml:space="preserve">осуществляется посредством оценки статистических данных о преступлениях и иных </w:t>
      </w:r>
      <w:r>
        <w:t xml:space="preserve">правонарушениях, поступающих из МВД по РС (Я). </w:t>
      </w:r>
      <w:r>
        <w:rPr>
          <w:rFonts w:ascii="PT Astra Serif" w:hAnsi="PT Astra Serif"/>
          <w:color w:val="000000"/>
        </w:rPr>
        <w:t xml:space="preserve">Предлагаемое правовое регулирование предполагает снижение числа </w:t>
      </w:r>
      <w:r>
        <w:rPr>
          <w:rFonts w:ascii="Times New Roman" w:hAnsi="Times New Roman"/>
          <w:color w:val="000000"/>
          <w:sz w:val="24"/>
        </w:rPr>
        <w:t xml:space="preserve">дорожно-транспортных происшествий с участием несовершеннолетних водителей мотоциклов и иной мототехники, количества </w:t>
      </w:r>
      <w:r>
        <w:rPr>
          <w:rFonts w:ascii="Times New Roman" w:hAnsi="Times New Roman"/>
          <w:color w:val="000000"/>
          <w:sz w:val="24"/>
        </w:rPr>
        <w:t>случаев их травмирования и смерти в результате дорожно-транспортных происшествий, числа выявленных фактов нарушения предусмотренных законопроектом ограничений.</w:t>
      </w:r>
    </w:p>
    <w:p w14:paraId="53000000">
      <w:pPr>
        <w:widowControl w:val="0"/>
        <w:tabs>
          <w:tab w:leader="none" w:pos="1134" w:val="left"/>
        </w:tabs>
        <w:spacing w:line="276" w:lineRule="auto"/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  <w:u w:val="single"/>
        </w:rPr>
        <w:t>4</w:t>
      </w:r>
      <w:r>
        <w:rPr>
          <w:rFonts w:ascii="PT Astra Serif" w:hAnsi="PT Astra Serif"/>
          <w:color w:val="000000"/>
          <w:u w:val="single"/>
        </w:rPr>
        <w:t>.10.</w:t>
      </w:r>
      <w:r>
        <w:rPr>
          <w:rFonts w:ascii="PT Astra Serif" w:hAnsi="PT Astra Serif"/>
          <w:color w:val="000000"/>
          <w:u w:val="single"/>
        </w:rPr>
        <w:tab/>
      </w:r>
      <w:r>
        <w:rPr>
          <w:rFonts w:ascii="PT Astra Serif" w:hAnsi="PT Astra Serif"/>
          <w:color w:val="000000"/>
          <w:u w:val="single"/>
        </w:rPr>
        <w:t>Проведение мониторинга и иные способы (методы) оценки достижения целей предлагаемого правового регулирования:</w:t>
      </w:r>
      <w:r>
        <w:rPr>
          <w:rFonts w:ascii="PT Astra Serif" w:hAnsi="PT Astra Serif"/>
          <w:color w:val="000000"/>
          <w:u w:val="none"/>
        </w:rPr>
        <w:t xml:space="preserve"> к</w:t>
      </w:r>
      <w:r>
        <w:t xml:space="preserve">онтроль эффективности избранного способа достижения цели регулирования </w:t>
      </w:r>
      <w:r>
        <w:t xml:space="preserve">осуществляется посредством оценки статистических данных о преступлениях и иных </w:t>
      </w:r>
      <w:r>
        <w:t>правонарушениях рассматриваемой категории, поступающих из МВД по РС (Я).</w:t>
      </w:r>
    </w:p>
    <w:p w14:paraId="54000000">
      <w:pPr>
        <w:widowControl w:val="0"/>
        <w:tabs>
          <w:tab w:leader="none" w:pos="1134" w:val="left"/>
        </w:tabs>
        <w:spacing w:line="276" w:lineRule="auto"/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  <w:u w:val="single"/>
        </w:rPr>
        <w:t>4</w:t>
      </w:r>
      <w:r>
        <w:rPr>
          <w:rFonts w:ascii="PT Astra Serif" w:hAnsi="PT Astra Serif"/>
          <w:color w:val="000000"/>
          <w:u w:val="single"/>
        </w:rPr>
        <w:t>.11.</w:t>
      </w:r>
      <w:r>
        <w:rPr>
          <w:rFonts w:ascii="PT Astra Serif" w:hAnsi="PT Astra Serif"/>
          <w:color w:val="000000"/>
          <w:u w:val="single"/>
        </w:rPr>
        <w:tab/>
      </w:r>
      <w:r>
        <w:rPr>
          <w:rFonts w:ascii="PT Astra Serif" w:hAnsi="PT Astra Serif"/>
          <w:color w:val="000000"/>
          <w:u w:val="single"/>
        </w:rPr>
        <w:t>Оценка затрат на проведение мониторинга достижения целей предлагаемого правового регулирования</w:t>
      </w:r>
      <w:r>
        <w:rPr>
          <w:rFonts w:ascii="PT Astra Serif" w:hAnsi="PT Astra Serif"/>
          <w:color w:val="000000"/>
        </w:rPr>
        <w:t>: отсутствует</w:t>
      </w:r>
    </w:p>
    <w:p w14:paraId="55000000">
      <w:pPr>
        <w:widowControl w:val="0"/>
        <w:tabs>
          <w:tab w:leader="none" w:pos="1134" w:val="left"/>
        </w:tabs>
        <w:spacing w:line="276" w:lineRule="auto"/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  <w:u w:val="single"/>
        </w:rPr>
        <w:t>4</w:t>
      </w:r>
      <w:r>
        <w:rPr>
          <w:rFonts w:ascii="PT Astra Serif" w:hAnsi="PT Astra Serif"/>
          <w:color w:val="000000"/>
          <w:u w:val="single"/>
        </w:rPr>
        <w:t>.12.</w:t>
      </w:r>
      <w:r>
        <w:rPr>
          <w:rFonts w:ascii="PT Astra Serif" w:hAnsi="PT Astra Serif"/>
          <w:color w:val="000000"/>
          <w:u w:val="single"/>
        </w:rPr>
        <w:tab/>
      </w:r>
      <w:r>
        <w:rPr>
          <w:rFonts w:ascii="PT Astra Serif" w:hAnsi="PT Astra Serif"/>
          <w:color w:val="000000"/>
          <w:u w:val="single"/>
        </w:rPr>
        <w:t>Источники информации для расчета индикаторов</w:t>
      </w:r>
      <w:r>
        <w:rPr>
          <w:rFonts w:ascii="PT Astra Serif" w:hAnsi="PT Astra Serif"/>
          <w:color w:val="000000"/>
          <w:u w:val="none"/>
        </w:rPr>
        <w:t>: -</w:t>
      </w:r>
    </w:p>
    <w:p w14:paraId="56000000">
      <w:pPr>
        <w:widowControl w:val="0"/>
        <w:tabs>
          <w:tab w:leader="none" w:pos="1134" w:val="left"/>
        </w:tabs>
        <w:spacing w:line="276" w:lineRule="auto"/>
        <w:ind w:firstLine="709"/>
        <w:jc w:val="both"/>
        <w:rPr>
          <w:rFonts w:ascii="PT Astra Serif" w:hAnsi="PT Astra Serif"/>
          <w:b w:val="1"/>
          <w:color w:val="000000"/>
        </w:rPr>
      </w:pPr>
      <w:r>
        <w:rPr>
          <w:rFonts w:ascii="PT Astra Serif" w:hAnsi="PT Astra Serif"/>
          <w:b w:val="1"/>
          <w:color w:val="000000"/>
        </w:rPr>
        <w:t xml:space="preserve">5. </w:t>
      </w:r>
      <w:r>
        <w:rPr>
          <w:rFonts w:ascii="PT Astra Serif" w:hAnsi="PT Astra Serif"/>
          <w:b w:val="1"/>
          <w:color w:val="000000"/>
        </w:rPr>
        <w:t>Основные группы субъектов предпринимательской и инвестиционной деятельности, иные заинтересованные лица, включая органы государственной власти Республики Саха (Якутия) и органы местного самоуправления Республики Саха (Якутия), интересы которых будут затронуты предлагаемым правовым регулированием, оценка количества таких субъектов предпринимательской и инвестиционной деятельности</w:t>
      </w:r>
    </w:p>
    <w:p w14:paraId="57000000">
      <w:pPr>
        <w:widowControl w:val="0"/>
        <w:tabs>
          <w:tab w:leader="none" w:pos="1134" w:val="left"/>
        </w:tabs>
        <w:spacing w:line="276" w:lineRule="auto"/>
        <w:ind w:firstLine="709"/>
        <w:jc w:val="both"/>
        <w:rPr>
          <w:rFonts w:ascii="PT Astra Serif" w:hAnsi="PT Astra Serif"/>
          <w:color w:val="000000"/>
        </w:rPr>
      </w:pPr>
    </w:p>
    <w:tbl>
      <w:tblPr>
        <w:tblStyle w:val="Style_2"/>
        <w:tblW w:type="auto" w:w="0"/>
        <w:tblInd w:type="dxa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3614"/>
        <w:gridCol w:w="2253"/>
        <w:gridCol w:w="3606"/>
      </w:tblGrid>
      <w:tr>
        <w:trPr>
          <w:trHeight w:hRule="atLeast" w:val="1797"/>
        </w:trPr>
        <w:tc>
          <w:tcPr>
            <w:tcW w:type="dxa" w:w="3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8000000">
            <w:pPr>
              <w:widowControl w:val="0"/>
              <w:spacing w:line="276" w:lineRule="auto"/>
              <w:ind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5</w:t>
            </w:r>
            <w:r>
              <w:rPr>
                <w:rFonts w:ascii="PT Astra Serif" w:hAnsi="PT Astra Serif"/>
                <w:color w:val="000000"/>
              </w:rPr>
              <w:t>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type="dxa" w:w="2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9000000">
            <w:pPr>
              <w:widowControl w:val="0"/>
              <w:spacing w:line="276" w:lineRule="auto"/>
              <w:ind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5</w:t>
            </w:r>
            <w:r>
              <w:rPr>
                <w:rFonts w:ascii="PT Astra Serif" w:hAnsi="PT Astra Serif"/>
                <w:color w:val="000000"/>
              </w:rPr>
              <w:t xml:space="preserve">.2. </w:t>
            </w:r>
            <w:r>
              <w:rPr>
                <w:rFonts w:ascii="PT Astra Serif" w:hAnsi="PT Astra Serif"/>
                <w:color w:val="000000"/>
              </w:rPr>
              <w:t>Оценка количества</w:t>
            </w:r>
            <w:r>
              <w:rPr>
                <w:rFonts w:ascii="PT Astra Serif" w:hAnsi="PT Astra Serif"/>
                <w:color w:val="000000"/>
              </w:rPr>
              <w:t xml:space="preserve"> участников группы</w:t>
            </w:r>
          </w:p>
        </w:tc>
        <w:tc>
          <w:tcPr>
            <w:tcW w:type="dxa" w:w="36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A000000">
            <w:pPr>
              <w:widowControl w:val="0"/>
              <w:spacing w:line="276" w:lineRule="auto"/>
              <w:ind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5</w:t>
            </w:r>
            <w:r>
              <w:rPr>
                <w:rFonts w:ascii="PT Astra Serif" w:hAnsi="PT Astra Serif"/>
                <w:color w:val="000000"/>
              </w:rPr>
              <w:t>.3. Источники данных</w:t>
            </w:r>
          </w:p>
        </w:tc>
      </w:tr>
      <w:tr>
        <w:tc>
          <w:tcPr>
            <w:tcW w:type="dxa" w:w="3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B000000">
            <w:pPr>
              <w:widowControl w:val="0"/>
              <w:spacing w:line="276" w:lineRule="auto"/>
              <w:ind w:firstLine="0"/>
              <w:jc w:val="lef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Предприятия, реализующие ГСМ на территории Республика Саха (Якутия)</w:t>
            </w:r>
          </w:p>
        </w:tc>
        <w:tc>
          <w:tcPr>
            <w:tcW w:type="dxa" w:w="2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C000000">
            <w:pPr>
              <w:widowControl w:val="0"/>
              <w:spacing w:line="276" w:lineRule="auto"/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30</w:t>
            </w:r>
          </w:p>
        </w:tc>
        <w:tc>
          <w:tcPr>
            <w:tcW w:type="dxa" w:w="36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D000000">
            <w:pPr>
              <w:widowControl w:val="0"/>
              <w:spacing w:line="276" w:lineRule="auto"/>
              <w:ind w:firstLine="0"/>
              <w:jc w:val="left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Единый реестр субъектов малого и среднего предпринимательства</w:t>
            </w:r>
          </w:p>
        </w:tc>
      </w:tr>
    </w:tbl>
    <w:p w14:paraId="5E000000">
      <w:pPr>
        <w:widowControl w:val="0"/>
        <w:tabs>
          <w:tab w:leader="none" w:pos="1134" w:val="left"/>
        </w:tabs>
        <w:spacing w:line="276" w:lineRule="auto"/>
        <w:ind w:firstLine="709"/>
        <w:jc w:val="both"/>
        <w:rPr>
          <w:rFonts w:ascii="PT Astra Serif" w:hAnsi="PT Astra Serif"/>
          <w:b w:val="1"/>
          <w:color w:val="000000"/>
        </w:rPr>
      </w:pPr>
      <w:r>
        <w:rPr>
          <w:rFonts w:ascii="PT Astra Serif" w:hAnsi="PT Astra Serif"/>
          <w:b w:val="1"/>
          <w:color w:val="000000"/>
        </w:rPr>
        <w:t>6</w:t>
      </w:r>
      <w:r>
        <w:rPr>
          <w:rFonts w:ascii="PT Astra Serif" w:hAnsi="PT Astra Serif"/>
          <w:b w:val="1"/>
          <w:color w:val="000000"/>
        </w:rPr>
        <w:t>.</w:t>
      </w:r>
      <w:r>
        <w:rPr>
          <w:rFonts w:ascii="PT Astra Serif" w:hAnsi="PT Astra Serif"/>
          <w:b w:val="1"/>
          <w:color w:val="000000"/>
        </w:rPr>
        <w:tab/>
      </w:r>
      <w:r>
        <w:rPr>
          <w:rFonts w:ascii="PT Astra Serif" w:hAnsi="PT Astra Serif"/>
          <w:b w:val="1"/>
          <w:color w:val="000000"/>
        </w:rPr>
        <w:t xml:space="preserve">Новые </w:t>
      </w:r>
      <w:r>
        <w:rPr>
          <w:rFonts w:ascii="PT Astra Serif" w:hAnsi="PT Astra Serif"/>
          <w:b w:val="1"/>
          <w:color w:val="000000"/>
        </w:rPr>
        <w:t>функции</w:t>
      </w:r>
      <w:r>
        <w:rPr>
          <w:rFonts w:ascii="PT Astra Serif" w:hAnsi="PT Astra Serif"/>
          <w:b w:val="1"/>
          <w:color w:val="000000"/>
        </w:rPr>
        <w:t xml:space="preserve"> (полномочий, обязанностей, прав) органов государственной власти Республики Саха (Якутия) (органов местного самоуправления), а также порядка их реализации в связи с введением предлагаемого правового регулирования</w:t>
      </w:r>
      <w:r>
        <w:rPr>
          <w:rFonts w:ascii="PT Astra Serif" w:hAnsi="PT Astra Serif"/>
          <w:b w:val="1"/>
          <w:color w:val="000000"/>
        </w:rPr>
        <w:t xml:space="preserve"> </w:t>
      </w:r>
    </w:p>
    <w:tbl>
      <w:tblPr>
        <w:tblStyle w:val="Style_2"/>
        <w:tblW w:type="auto" w:w="0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2142"/>
        <w:gridCol w:w="1842"/>
        <w:gridCol w:w="1843"/>
        <w:gridCol w:w="1985"/>
        <w:gridCol w:w="1582"/>
      </w:tblGrid>
      <w:tr>
        <w:tc>
          <w:tcPr>
            <w:tcW w:type="dxa" w:w="21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F000000">
            <w:pPr>
              <w:widowControl w:val="0"/>
              <w:spacing w:line="276" w:lineRule="auto"/>
              <w:ind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6</w:t>
            </w:r>
            <w:r>
              <w:rPr>
                <w:rFonts w:ascii="PT Astra Serif" w:hAnsi="PT Astra Serif"/>
                <w:color w:val="000000"/>
              </w:rPr>
              <w:t xml:space="preserve">.1. </w:t>
            </w:r>
            <w:r>
              <w:rPr>
                <w:rFonts w:ascii="PT Astra Serif" w:hAnsi="PT Astra Serif"/>
                <w:color w:val="000000"/>
              </w:rPr>
              <w:t>Описание новых или изменения существующи</w:t>
            </w:r>
            <w:r>
              <w:rPr>
                <w:rFonts w:ascii="PT Astra Serif" w:hAnsi="PT Astra Serif"/>
                <w:color w:val="000000"/>
              </w:rPr>
              <w:t>х</w:t>
            </w:r>
            <w:r>
              <w:rPr>
                <w:rFonts w:ascii="PT Astra Serif" w:hAnsi="PT Astra Serif"/>
                <w:color w:val="000000"/>
              </w:rPr>
              <w:t xml:space="preserve"> функций, полномочий</w:t>
            </w:r>
            <w:r>
              <w:rPr>
                <w:rFonts w:ascii="PT Astra Serif" w:hAnsi="PT Astra Serif"/>
                <w:color w:val="000000"/>
              </w:rPr>
              <w:t xml:space="preserve">, </w:t>
            </w:r>
            <w:r>
              <w:rPr>
                <w:rFonts w:ascii="PT Astra Serif" w:hAnsi="PT Astra Serif"/>
                <w:color w:val="000000"/>
              </w:rPr>
              <w:t>обязанностей или прав</w:t>
            </w:r>
          </w:p>
        </w:tc>
        <w:tc>
          <w:tcPr>
            <w:tcW w:type="dxa" w:w="1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0000000">
            <w:pPr>
              <w:widowControl w:val="0"/>
              <w:spacing w:line="276" w:lineRule="auto"/>
              <w:ind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6</w:t>
            </w:r>
            <w:r>
              <w:rPr>
                <w:rFonts w:ascii="PT Astra Serif" w:hAnsi="PT Astra Serif"/>
                <w:color w:val="000000"/>
              </w:rPr>
              <w:t>.2. Характер функции (новая / изменяемая / отменяемая)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1000000">
            <w:pPr>
              <w:widowControl w:val="0"/>
              <w:spacing w:line="276" w:lineRule="auto"/>
              <w:ind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6</w:t>
            </w:r>
            <w:r>
              <w:rPr>
                <w:rFonts w:ascii="PT Astra Serif" w:hAnsi="PT Astra Serif"/>
                <w:color w:val="000000"/>
              </w:rPr>
              <w:t>.3.</w:t>
            </w:r>
            <w:r>
              <w:rPr>
                <w:rFonts w:ascii="PT Astra Serif" w:hAnsi="PT Astra Serif"/>
                <w:color w:val="000000"/>
              </w:rPr>
              <w:t>Предполагаемый порядок реализации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2000000">
            <w:pPr>
              <w:widowControl w:val="0"/>
              <w:spacing w:line="276" w:lineRule="auto"/>
              <w:ind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6</w:t>
            </w:r>
            <w:r>
              <w:rPr>
                <w:rFonts w:ascii="PT Astra Serif" w:hAnsi="PT Astra Serif"/>
                <w:color w:val="000000"/>
              </w:rPr>
              <w:t>.4. Оценка изменения трудовых затрат (чел./час в год), изменения численности сотрудников (чел.)</w:t>
            </w:r>
          </w:p>
        </w:tc>
        <w:tc>
          <w:tcPr>
            <w:tcW w:type="dxa" w:w="1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3000000">
            <w:pPr>
              <w:widowControl w:val="0"/>
              <w:spacing w:line="276" w:lineRule="auto"/>
              <w:ind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6</w:t>
            </w:r>
            <w:r>
              <w:rPr>
                <w:rFonts w:ascii="PT Astra Serif" w:hAnsi="PT Astra Serif"/>
                <w:color w:val="000000"/>
              </w:rPr>
              <w:t>.5. Оценка изменения потребностей в других ресурсах</w:t>
            </w:r>
          </w:p>
        </w:tc>
      </w:tr>
      <w:tr>
        <w:tc>
          <w:tcPr>
            <w:tcW w:type="dxa" w:w="9394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4000000">
            <w:pPr>
              <w:widowControl w:val="0"/>
              <w:spacing w:line="276" w:lineRule="auto"/>
              <w:ind/>
              <w:jc w:val="both"/>
              <w:rPr>
                <w:b w:val="0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 xml:space="preserve">Наименование органа: административные комиссии, созданные в соответствии с </w:t>
            </w:r>
            <w:r>
              <w:rPr>
                <w:b w:val="0"/>
                <w:color w:val="000000"/>
              </w:rPr>
              <w:t>Законом Республики Саха (Якутия) от 26.05.2010 837-З N 567-IV «</w:t>
            </w:r>
            <w:r>
              <w:rPr>
                <w:b w:val="0"/>
                <w:color w:val="000000"/>
              </w:rPr>
              <w:t>О наделении органов местного самоуправления муниципальных районов и городских округов Республики Саха (Якутия) отдельными государственными полномочиями по созданию административных комиссий и определению перечня должностных лиц, уполномоченных составлять протоколы об административных правонарушениях, предусмотренных Кодексом Республики Саха (Якутия) об административных правонарушениях»</w:t>
            </w:r>
          </w:p>
        </w:tc>
      </w:tr>
      <w:tr>
        <w:tc>
          <w:tcPr>
            <w:tcW w:type="dxa" w:w="21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5000000">
            <w:pPr>
              <w:widowControl w:val="0"/>
              <w:spacing w:line="276" w:lineRule="auto"/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составление протоколов об административном правонарушении и рассмотрение дел об административном правонарушении</w:t>
            </w:r>
          </w:p>
        </w:tc>
        <w:tc>
          <w:tcPr>
            <w:tcW w:type="dxa" w:w="184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6000000">
            <w:pPr>
              <w:widowControl w:val="0"/>
              <w:spacing w:line="276" w:lineRule="auto"/>
              <w:ind w:firstLine="0"/>
              <w:jc w:val="center"/>
              <w:rPr>
                <w:rFonts w:ascii="PT Astra Serif" w:hAnsi="PT Astra Serif"/>
                <w:color w:val="000000"/>
                <w:sz w:val="24"/>
              </w:rPr>
            </w:pPr>
            <w:r>
              <w:rPr>
                <w:rFonts w:ascii="PT Astra Serif" w:hAnsi="PT Astra Serif"/>
                <w:color w:val="000000"/>
                <w:sz w:val="24"/>
              </w:rPr>
              <w:t>изменяемая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7000000">
            <w:pPr>
              <w:widowControl w:val="1"/>
              <w:spacing w:after="0" w:before="0"/>
              <w:ind w:firstLine="0" w:left="0" w:righ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в соответствии с положениями законопроекта; внесение изменений в 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Кодекс Республики Саха (Якутия) об административных правонарушениях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», в части введения нормы, предусматривающей ответственность за нарушение запрета продажи 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горюче-смазочных матери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алов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 несовершеннолетним, 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за исключением случаев продажи топлива при заправке транспортных средств лицам, достигшим шестнадцатилетнего возраста, имеющим право на управление транспортными средствами, а также определения полномочий органов и должностных лиц, уполномоченных составлять протоколы об административных правонарушениях рассматриваемой категории и рассматривать такие дела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.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8000000">
            <w:pPr>
              <w:widowControl w:val="0"/>
              <w:spacing w:line="276" w:lineRule="auto"/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изменения численности сотрудников не требуется</w:t>
            </w:r>
          </w:p>
        </w:tc>
        <w:tc>
          <w:tcPr>
            <w:tcW w:type="dxa" w:w="15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9000000">
            <w:pPr>
              <w:widowControl w:val="0"/>
              <w:spacing w:line="276" w:lineRule="auto"/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потребности в других ресурсах не имеется</w:t>
            </w:r>
          </w:p>
        </w:tc>
      </w:tr>
    </w:tbl>
    <w:p w14:paraId="6A000000">
      <w:pPr>
        <w:widowControl w:val="0"/>
        <w:tabs>
          <w:tab w:leader="none" w:pos="1134" w:val="left"/>
        </w:tabs>
        <w:spacing w:line="276" w:lineRule="auto"/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b w:val="1"/>
          <w:color w:val="000000"/>
        </w:rPr>
        <w:t xml:space="preserve">7. </w:t>
      </w:r>
      <w:r>
        <w:rPr>
          <w:rFonts w:ascii="PT Astra Serif" w:hAnsi="PT Astra Serif"/>
          <w:b w:val="1"/>
          <w:color w:val="000000"/>
        </w:rPr>
        <w:t>Оценка</w:t>
      </w:r>
      <w:r>
        <w:rPr>
          <w:rFonts w:ascii="PT Astra Serif" w:hAnsi="PT Astra Serif"/>
          <w:b w:val="1"/>
          <w:color w:val="000000"/>
        </w:rPr>
        <w:t xml:space="preserve"> </w:t>
      </w:r>
      <w:r>
        <w:rPr>
          <w:rFonts w:ascii="PT Astra Serif" w:hAnsi="PT Astra Serif"/>
          <w:b w:val="1"/>
          <w:color w:val="000000"/>
        </w:rPr>
        <w:t>соответствующи</w:t>
      </w:r>
      <w:r>
        <w:rPr>
          <w:rFonts w:ascii="PT Astra Serif" w:hAnsi="PT Astra Serif"/>
          <w:b w:val="1"/>
          <w:color w:val="000000"/>
        </w:rPr>
        <w:t>х</w:t>
      </w:r>
      <w:r>
        <w:rPr>
          <w:rFonts w:ascii="PT Astra Serif" w:hAnsi="PT Astra Serif"/>
          <w:b w:val="1"/>
          <w:color w:val="000000"/>
        </w:rPr>
        <w:t xml:space="preserve"> расходов (доходов) государственного бюджета Республики Саха (Якутия) (местных бюджетов), связанных с введением предлагаемого правового регулирования</w:t>
      </w:r>
    </w:p>
    <w:tbl>
      <w:tblPr>
        <w:tblStyle w:val="Style_2"/>
        <w:tblW w:type="auto" w:w="0"/>
        <w:tblInd w:type="dxa" w:w="-5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2835"/>
        <w:gridCol w:w="3686"/>
        <w:gridCol w:w="2845"/>
      </w:tblGrid>
      <w:tr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B000000">
            <w:pPr>
              <w:widowControl w:val="0"/>
              <w:spacing w:line="276" w:lineRule="auto"/>
              <w:ind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7</w:t>
            </w:r>
            <w:r>
              <w:rPr>
                <w:rFonts w:ascii="PT Astra Serif" w:hAnsi="PT Astra Serif"/>
                <w:color w:val="000000"/>
              </w:rPr>
              <w:t>.1. Наименование функции (полномочия, обязанности или права) (в соответствии с подпунктом 5.1)</w:t>
            </w: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C000000">
            <w:pPr>
              <w:widowControl w:val="0"/>
              <w:spacing w:line="276" w:lineRule="auto"/>
              <w:ind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7</w:t>
            </w:r>
            <w:r>
              <w:rPr>
                <w:rFonts w:ascii="PT Astra Serif" w:hAnsi="PT Astra Serif"/>
                <w:color w:val="000000"/>
              </w:rPr>
              <w:t xml:space="preserve">.2. </w:t>
            </w:r>
            <w:r>
              <w:rPr>
                <w:rFonts w:ascii="PT Astra Serif" w:hAnsi="PT Astra Serif"/>
                <w:color w:val="000000"/>
              </w:rPr>
              <w:t>Описание видов</w:t>
            </w:r>
            <w:r>
              <w:rPr>
                <w:rFonts w:ascii="PT Astra Serif" w:hAnsi="PT Astra Serif"/>
                <w:color w:val="000000"/>
              </w:rPr>
              <w:t xml:space="preserve"> расходов (возможных поступлений) бюджета Республики Саха (Якутия) (местных бюджетов)</w:t>
            </w:r>
          </w:p>
          <w:p w14:paraId="6D000000">
            <w:pPr>
              <w:widowControl w:val="0"/>
              <w:spacing w:line="276" w:lineRule="auto"/>
              <w:ind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type="dxa" w:w="28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E000000">
            <w:pPr>
              <w:widowControl w:val="0"/>
              <w:spacing w:line="276" w:lineRule="auto"/>
              <w:ind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7</w:t>
            </w:r>
            <w:r>
              <w:rPr>
                <w:rFonts w:ascii="PT Astra Serif" w:hAnsi="PT Astra Serif"/>
                <w:color w:val="000000"/>
              </w:rPr>
              <w:t>.3. Количественная оценка расходов и возможных поступлений, млн. рублей</w:t>
            </w:r>
          </w:p>
        </w:tc>
      </w:tr>
      <w:tr>
        <w:trPr>
          <w:trHeight w:hRule="atLeast" w:val="393"/>
        </w:trPr>
        <w:tc>
          <w:tcPr>
            <w:tcW w:type="dxa" w:w="9366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F000000">
            <w:pPr>
              <w:widowControl w:val="0"/>
              <w:spacing w:line="276" w:lineRule="auto"/>
              <w:ind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Наименование органа (в соответстви</w:t>
            </w:r>
            <w:r>
              <w:rPr>
                <w:rFonts w:ascii="PT Astra Serif" w:hAnsi="PT Astra Serif"/>
                <w:color w:val="000000"/>
              </w:rPr>
              <w:t>и</w:t>
            </w:r>
            <w:r>
              <w:rPr>
                <w:rFonts w:ascii="PT Astra Serif" w:hAnsi="PT Astra Serif"/>
                <w:color w:val="000000"/>
              </w:rPr>
              <w:t xml:space="preserve"> с пунктом 6</w:t>
            </w:r>
            <w:r>
              <w:rPr>
                <w:rFonts w:ascii="PT Astra Serif" w:hAnsi="PT Astra Serif"/>
                <w:color w:val="000000"/>
              </w:rPr>
              <w:t xml:space="preserve"> Сводного отчета):</w:t>
            </w:r>
          </w:p>
        </w:tc>
      </w:tr>
      <w:tr>
        <w:trPr>
          <w:trHeight w:hRule="atLeast" w:val="1380"/>
        </w:trPr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0000000">
            <w:pPr>
              <w:widowControl w:val="0"/>
              <w:spacing w:line="276" w:lineRule="auto"/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Изменения отсутствуют</w:t>
            </w:r>
          </w:p>
        </w:tc>
        <w:tc>
          <w:tcPr>
            <w:tcW w:type="dxa" w:w="36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1000000">
            <w:pPr>
              <w:widowControl w:val="1"/>
              <w:ind w:firstLine="0"/>
              <w:rPr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Изменения отсутствуют</w:t>
            </w:r>
          </w:p>
        </w:tc>
        <w:tc>
          <w:tcPr>
            <w:tcW w:type="dxa" w:w="28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2000000">
            <w:pPr>
              <w:widowControl w:val="1"/>
              <w:ind w:firstLine="0"/>
              <w:rPr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Изменения отсутствуют</w:t>
            </w:r>
          </w:p>
        </w:tc>
      </w:tr>
    </w:tbl>
    <w:p w14:paraId="73000000">
      <w:pPr>
        <w:widowControl w:val="0"/>
        <w:tabs>
          <w:tab w:leader="none" w:pos="1134" w:val="left"/>
        </w:tabs>
        <w:spacing w:line="276" w:lineRule="auto"/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  <w:u w:val="single"/>
        </w:rPr>
        <w:t>7</w:t>
      </w:r>
      <w:r>
        <w:rPr>
          <w:rFonts w:ascii="PT Astra Serif" w:hAnsi="PT Astra Serif"/>
          <w:color w:val="000000"/>
          <w:u w:val="single"/>
        </w:rPr>
        <w:t>.4.</w:t>
      </w:r>
      <w:r>
        <w:rPr>
          <w:rFonts w:ascii="PT Astra Serif" w:hAnsi="PT Astra Serif"/>
          <w:color w:val="000000"/>
          <w:u w:val="single"/>
        </w:rPr>
        <w:tab/>
      </w:r>
      <w:r>
        <w:rPr>
          <w:rFonts w:ascii="PT Astra Serif" w:hAnsi="PT Astra Serif"/>
          <w:color w:val="000000"/>
          <w:u w:val="single"/>
        </w:rPr>
        <w:t>Другие сведения о дополнительных расходах (доходах) государственного бюджета Республики Саха (Якутия) (местных бюджетов), возникающих в связи с введением предлагаемого правового регулирования</w:t>
      </w:r>
      <w:r>
        <w:rPr>
          <w:rFonts w:ascii="PT Astra Serif" w:hAnsi="PT Astra Serif"/>
          <w:color w:val="000000"/>
        </w:rPr>
        <w:t>: вступление в силу закона не потребует дополнительных расходов из бюджета РС (Я) или местных бюджетов.</w:t>
      </w:r>
    </w:p>
    <w:p w14:paraId="74000000">
      <w:pPr>
        <w:widowControl w:val="0"/>
        <w:tabs>
          <w:tab w:leader="none" w:pos="1134" w:val="left"/>
        </w:tabs>
        <w:spacing w:line="276" w:lineRule="auto"/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  <w:u w:val="single"/>
        </w:rPr>
        <w:t>7</w:t>
      </w:r>
      <w:r>
        <w:rPr>
          <w:rFonts w:ascii="PT Astra Serif" w:hAnsi="PT Astra Serif"/>
          <w:color w:val="000000"/>
          <w:u w:val="single"/>
        </w:rPr>
        <w:t>.5.</w:t>
      </w:r>
      <w:r>
        <w:rPr>
          <w:rFonts w:ascii="PT Astra Serif" w:hAnsi="PT Astra Serif"/>
          <w:color w:val="000000"/>
          <w:u w:val="single"/>
        </w:rPr>
        <w:tab/>
      </w:r>
      <w:r>
        <w:rPr>
          <w:rFonts w:ascii="PT Astra Serif" w:hAnsi="PT Astra Serif"/>
          <w:color w:val="000000"/>
          <w:u w:val="single"/>
        </w:rPr>
        <w:t>Источники данных:</w:t>
      </w:r>
      <w:r>
        <w:rPr>
          <w:rFonts w:ascii="PT Astra Serif" w:hAnsi="PT Astra Serif"/>
          <w:color w:val="000000"/>
        </w:rPr>
        <w:t xml:space="preserve"> финансово-экономическое обоснование проекта закона</w:t>
      </w:r>
    </w:p>
    <w:p w14:paraId="75000000">
      <w:pPr>
        <w:widowControl w:val="0"/>
        <w:tabs>
          <w:tab w:leader="none" w:pos="1134" w:val="left"/>
        </w:tabs>
        <w:spacing w:line="276" w:lineRule="auto"/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b w:val="1"/>
          <w:color w:val="000000"/>
        </w:rPr>
        <w:t>8.</w:t>
      </w:r>
      <w:r>
        <w:rPr>
          <w:rFonts w:ascii="PT Astra Serif" w:hAnsi="PT Astra Serif"/>
          <w:b w:val="1"/>
          <w:color w:val="000000"/>
        </w:rPr>
        <w:tab/>
      </w:r>
      <w:r>
        <w:rPr>
          <w:rFonts w:ascii="PT Astra Serif" w:hAnsi="PT Astra Serif"/>
          <w:b w:val="1"/>
          <w:color w:val="000000"/>
        </w:rPr>
        <w:t>Новые или изменяющие ранее предусмотренные нормативным правовым актом обязательные требования, обязанности и запреты для субъектов предпринимательской, инвестиционной и иной экономической деятельности, а также устанавливающие или изменяющие ответственность за нарушение нормативных правовых актов, затрагивающих вопросы субъектов предпринимательской, инвестиционной и иной экономической деятельности</w:t>
      </w:r>
      <w:r>
        <w:rPr>
          <w:rFonts w:ascii="PT Astra Serif" w:hAnsi="PT Astra Serif"/>
          <w:b w:val="1"/>
          <w:color w:val="000000"/>
        </w:rPr>
        <w:t>, оценка расходов и доходов субъектов предпринимательской, инвестиционной и иной экономической деятельности, связанных с необходимостью соблюдения установленных обязательных требований, обязанностей либо изменением содержания таких обязательных требований, обязанностей, а также связанных с введением или изменением ответственности</w:t>
      </w:r>
    </w:p>
    <w:tbl>
      <w:tblPr>
        <w:tblStyle w:val="Style_2"/>
        <w:tblW w:type="auto" w:w="0"/>
        <w:tblInd w:type="dxa" w:w="-5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2694"/>
        <w:gridCol w:w="2976"/>
        <w:gridCol w:w="1985"/>
        <w:gridCol w:w="1711"/>
      </w:tblGrid>
      <w:tr>
        <w:trPr>
          <w:trHeight w:hRule="atLeast" w:val="566"/>
        </w:trPr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6000000">
            <w:pPr>
              <w:widowControl w:val="0"/>
              <w:spacing w:line="276" w:lineRule="auto"/>
              <w:ind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8</w:t>
            </w:r>
            <w:r>
              <w:rPr>
                <w:rFonts w:ascii="PT Astra Serif" w:hAnsi="PT Astra Serif"/>
                <w:color w:val="000000"/>
              </w:rPr>
              <w:t>.1. Группы потенциальных адресатов предлагаемого правового регул</w:t>
            </w:r>
            <w:r>
              <w:rPr>
                <w:rFonts w:ascii="PT Astra Serif" w:hAnsi="PT Astra Serif"/>
                <w:color w:val="000000"/>
              </w:rPr>
              <w:t xml:space="preserve">ирования (в соответствии с </w:t>
            </w:r>
            <w:r>
              <w:rPr>
                <w:rFonts w:ascii="PT Astra Serif" w:hAnsi="PT Astra Serif"/>
                <w:color w:val="000000"/>
              </w:rPr>
              <w:t>пп</w:t>
            </w:r>
            <w:r>
              <w:rPr>
                <w:rFonts w:ascii="PT Astra Serif" w:hAnsi="PT Astra Serif"/>
                <w:color w:val="000000"/>
              </w:rPr>
              <w:t>. 5</w:t>
            </w:r>
            <w:r>
              <w:rPr>
                <w:rFonts w:ascii="PT Astra Serif" w:hAnsi="PT Astra Serif"/>
                <w:color w:val="000000"/>
              </w:rPr>
              <w:t>.1 сводного отчета)</w:t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7000000">
            <w:pPr>
              <w:widowControl w:val="0"/>
              <w:spacing w:line="276" w:lineRule="auto"/>
              <w:ind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8</w:t>
            </w:r>
            <w:r>
              <w:rPr>
                <w:rFonts w:ascii="PT Astra Serif" w:hAnsi="PT Astra Serif"/>
                <w:color w:val="000000"/>
              </w:rPr>
              <w:t xml:space="preserve">.2. </w:t>
            </w:r>
            <w:r>
              <w:rPr>
                <w:rFonts w:ascii="PT Astra Serif" w:hAnsi="PT Astra Serif"/>
                <w:color w:val="000000"/>
              </w:rPr>
              <w:t>Описание новых обязательных требований, обязанностей, запретов и ограничений или изменения содержания существующих обязательных требований, обязанностей, запретов и ограничений</w:t>
            </w:r>
            <w:r>
              <w:rPr>
                <w:rFonts w:ascii="PT Astra Serif" w:hAnsi="PT Astra Serif"/>
                <w:color w:val="000000"/>
              </w:rPr>
              <w:t xml:space="preserve"> (с указанием соответствующих </w:t>
            </w:r>
            <w:r>
              <w:rPr>
                <w:rFonts w:ascii="PT Astra Serif" w:hAnsi="PT Astra Serif"/>
                <w:color w:val="000000"/>
              </w:rPr>
              <w:t>положений проекта нормативного правового акта)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8000000">
            <w:pPr>
              <w:widowControl w:val="0"/>
              <w:spacing w:line="276" w:lineRule="auto"/>
              <w:ind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8</w:t>
            </w:r>
            <w:r>
              <w:rPr>
                <w:rFonts w:ascii="PT Astra Serif" w:hAnsi="PT Astra Serif"/>
                <w:color w:val="000000"/>
              </w:rPr>
              <w:t>.3. Порядок организации соблюдения обязательных требований, исполнения обязанностей, запретов и ограничений</w:t>
            </w:r>
          </w:p>
        </w:tc>
        <w:tc>
          <w:tcPr>
            <w:tcW w:type="dxa" w:w="17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9000000">
            <w:pPr>
              <w:widowControl w:val="0"/>
              <w:spacing w:line="276" w:lineRule="auto"/>
              <w:ind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8</w:t>
            </w:r>
            <w:r>
              <w:rPr>
                <w:rFonts w:ascii="PT Astra Serif" w:hAnsi="PT Astra Serif"/>
                <w:color w:val="000000"/>
              </w:rPr>
              <w:t>.4.</w:t>
            </w:r>
            <w:r>
              <w:rPr>
                <w:color w:val="000000"/>
              </w:rPr>
              <w:t xml:space="preserve"> </w:t>
            </w:r>
            <w:r>
              <w:rPr>
                <w:rFonts w:ascii="PT Astra Serif" w:hAnsi="PT Astra Serif"/>
                <w:color w:val="000000"/>
              </w:rPr>
              <w:t xml:space="preserve">Описание и оценка видов расходов (доходов) </w:t>
            </w:r>
          </w:p>
          <w:p w14:paraId="7A000000">
            <w:pPr>
              <w:widowControl w:val="0"/>
              <w:spacing w:line="276" w:lineRule="auto"/>
              <w:ind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(тыс. рублей)</w:t>
            </w:r>
          </w:p>
          <w:p w14:paraId="7B000000">
            <w:pPr>
              <w:widowControl w:val="0"/>
              <w:spacing w:line="276" w:lineRule="auto"/>
              <w:ind/>
              <w:jc w:val="center"/>
              <w:rPr>
                <w:rFonts w:ascii="PT Astra Serif" w:hAnsi="PT Astra Serif"/>
                <w:color w:val="000000"/>
              </w:rPr>
            </w:pPr>
          </w:p>
        </w:tc>
      </w:tr>
      <w:tr>
        <w:trPr>
          <w:trHeight w:hRule="atLeast" w:val="480"/>
        </w:trPr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C000000">
            <w:pPr>
              <w:widowControl w:val="0"/>
              <w:spacing w:line="276" w:lineRule="auto"/>
              <w:ind w:firstLine="0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Владельцы АЗС</w:t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7D000000">
            <w:pPr>
              <w:widowControl w:val="1"/>
              <w:spacing w:line="276" w:lineRule="auto"/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Запрет на продажу ГСМ несовершеннолетним (кроме заправки ТС лицами от 16 лет с правом управления). Обязанность потребовать документ, удостоверяющий личность, если возраст покупателя вызывает сомнение (перечень документов аналогичен применяемому при продаже табачной продукции, согласно Приказу Минздрава России от 20.02.2021 №130н: паспорт, водительское удостоверение, временное удостоверение личности и др.)</w:t>
            </w: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top"/>
          </w:tcPr>
          <w:p w14:paraId="7E000000">
            <w:pPr>
              <w:widowControl w:val="0"/>
              <w:spacing w:line="276" w:lineRule="auto"/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Информирование работников АЗС, размещение на видных местах информации о запрете продажи, алгоритм действий сотрудника при требовании документа.</w:t>
            </w:r>
          </w:p>
        </w:tc>
        <w:tc>
          <w:tcPr>
            <w:tcW w:type="dxa" w:w="17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top"/>
          </w:tcPr>
          <w:p w14:paraId="7F000000">
            <w:pPr>
              <w:widowControl w:val="0"/>
              <w:spacing w:line="276" w:lineRule="auto"/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Разовые затраты на обновление должностных инструкций и печать информационных уголков. 10 тыс. руб. на одну АЗС.</w:t>
            </w:r>
          </w:p>
        </w:tc>
      </w:tr>
      <w:tr>
        <w:trPr>
          <w:trHeight w:hRule="atLeast" w:val="480"/>
        </w:trPr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0000000">
            <w:pPr>
              <w:widowControl w:val="0"/>
              <w:spacing w:line="276" w:lineRule="auto"/>
              <w:ind w:firstLine="0"/>
              <w:rPr>
                <w:rFonts w:ascii="PT Astra Serif" w:hAnsi="PT Astra Serif"/>
                <w:color w:val="000000"/>
              </w:rPr>
            </w:pP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81000000">
            <w:pPr>
              <w:widowControl w:val="1"/>
              <w:spacing w:line="276" w:lineRule="auto"/>
              <w:ind w:firstLine="0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82000000">
            <w:pPr>
              <w:widowControl w:val="0"/>
              <w:spacing w:line="276" w:lineRule="auto"/>
              <w:ind w:firstLine="0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type="dxa" w:w="17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83000000">
            <w:pPr>
              <w:widowControl w:val="0"/>
              <w:spacing w:line="276" w:lineRule="auto"/>
              <w:ind w:firstLine="0"/>
              <w:jc w:val="center"/>
              <w:rPr>
                <w:rFonts w:ascii="PT Astra Serif" w:hAnsi="PT Astra Serif"/>
                <w:color w:val="000000"/>
              </w:rPr>
            </w:pPr>
          </w:p>
        </w:tc>
      </w:tr>
    </w:tbl>
    <w:p w14:paraId="84000000">
      <w:pPr>
        <w:widowControl w:val="0"/>
        <w:tabs>
          <w:tab w:leader="none" w:pos="1134" w:val="left"/>
        </w:tabs>
        <w:spacing w:line="276" w:lineRule="auto"/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  <w:u w:val="single"/>
        </w:rPr>
        <w:t>8</w:t>
      </w:r>
      <w:r>
        <w:rPr>
          <w:rFonts w:ascii="PT Astra Serif" w:hAnsi="PT Astra Serif"/>
          <w:color w:val="000000"/>
          <w:u w:val="single"/>
        </w:rPr>
        <w:t>.5.</w:t>
      </w:r>
      <w:r>
        <w:rPr>
          <w:rFonts w:ascii="PT Astra Serif" w:hAnsi="PT Astra Serif"/>
          <w:color w:val="000000"/>
          <w:u w:val="single"/>
        </w:rPr>
        <w:tab/>
      </w:r>
      <w:r>
        <w:rPr>
          <w:rFonts w:ascii="PT Astra Serif" w:hAnsi="PT Astra Serif"/>
          <w:color w:val="000000"/>
          <w:u w:val="single"/>
        </w:rPr>
        <w:t>Издержки и выгоды адресатов предлагаемого правового регулирования, не поддающиеся количественной оценке: Выгода – минимизация рисков причинения вреда жизни и здоровью детей, снижение репутационных рисков для бизнеса. Издержки – незначительные временные затраты персонала на проверку документов.</w:t>
      </w:r>
    </w:p>
    <w:p w14:paraId="85000000">
      <w:pPr>
        <w:widowControl w:val="0"/>
        <w:tabs>
          <w:tab w:leader="none" w:pos="1134" w:val="left"/>
        </w:tabs>
        <w:spacing w:line="276" w:lineRule="auto"/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  <w:u w:val="single"/>
        </w:rPr>
        <w:t>8</w:t>
      </w:r>
      <w:r>
        <w:rPr>
          <w:rFonts w:ascii="PT Astra Serif" w:hAnsi="PT Astra Serif"/>
          <w:color w:val="000000"/>
          <w:u w:val="single"/>
        </w:rPr>
        <w:t>.6.</w:t>
      </w:r>
      <w:r>
        <w:rPr>
          <w:rFonts w:ascii="PT Astra Serif" w:hAnsi="PT Astra Serif"/>
          <w:color w:val="000000"/>
          <w:u w:val="single"/>
        </w:rPr>
        <w:tab/>
      </w:r>
      <w:r>
        <w:rPr>
          <w:rFonts w:ascii="PT Astra Serif" w:hAnsi="PT Astra Serif"/>
          <w:color w:val="000000"/>
          <w:u w:val="single"/>
        </w:rPr>
        <w:t>Источники данных:  пояснительная записка к проекту закона</w:t>
      </w:r>
    </w:p>
    <w:p w14:paraId="86000000">
      <w:pPr>
        <w:widowControl w:val="0"/>
        <w:tabs>
          <w:tab w:leader="none" w:pos="1134" w:val="left"/>
        </w:tabs>
        <w:spacing w:line="276" w:lineRule="auto"/>
        <w:ind w:firstLine="709"/>
        <w:jc w:val="both"/>
        <w:rPr>
          <w:rFonts w:ascii="PT Astra Serif" w:hAnsi="PT Astra Serif"/>
          <w:b w:val="1"/>
          <w:color w:val="000000"/>
        </w:rPr>
      </w:pPr>
      <w:r>
        <w:rPr>
          <w:rFonts w:ascii="PT Astra Serif" w:hAnsi="PT Astra Serif"/>
          <w:b w:val="1"/>
          <w:color w:val="000000"/>
        </w:rPr>
        <w:t xml:space="preserve">9. </w:t>
      </w:r>
      <w:r>
        <w:rPr>
          <w:rFonts w:ascii="PT Astra Serif" w:hAnsi="PT Astra Serif"/>
          <w:b w:val="1"/>
          <w:color w:val="000000"/>
        </w:rPr>
        <w:t>Риски решения проблемы предложенным способом регулирования и риски негативных последствий, а также описание методов контроля эффективности избранного способа достижения цели регулирования</w:t>
      </w:r>
    </w:p>
    <w:tbl>
      <w:tblPr>
        <w:tblStyle w:val="Style_2"/>
        <w:tblW w:type="auto" w:w="0"/>
        <w:tblInd w:type="dxa" w:w="-5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2268"/>
        <w:gridCol w:w="3119"/>
        <w:gridCol w:w="1843"/>
        <w:gridCol w:w="2691"/>
      </w:tblGrid>
      <w:tr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7000000">
            <w:pPr>
              <w:widowControl w:val="0"/>
              <w:spacing w:line="276" w:lineRule="auto"/>
              <w:ind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9</w:t>
            </w:r>
            <w:r>
              <w:rPr>
                <w:rFonts w:ascii="PT Astra Serif" w:hAnsi="PT Astra Serif"/>
                <w:color w:val="000000"/>
              </w:rPr>
              <w:t>.1. Виды рисков</w:t>
            </w:r>
            <w:r>
              <w:rPr>
                <w:rFonts w:ascii="PT Astra Serif" w:hAnsi="PT Astra Serif"/>
                <w:color w:val="000000"/>
              </w:rPr>
              <w:t xml:space="preserve"> решения проблем предложенным способом и риски негативных последствий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8000000">
            <w:pPr>
              <w:widowControl w:val="0"/>
              <w:spacing w:line="276" w:lineRule="auto"/>
              <w:ind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9</w:t>
            </w:r>
            <w:r>
              <w:rPr>
                <w:rFonts w:ascii="PT Astra Serif" w:hAnsi="PT Astra Serif"/>
                <w:color w:val="000000"/>
              </w:rPr>
              <w:t xml:space="preserve">.2. Оценка вероятности наступления </w:t>
            </w:r>
            <w:r>
              <w:rPr>
                <w:rFonts w:ascii="PT Astra Serif" w:hAnsi="PT Astra Serif"/>
                <w:color w:val="000000"/>
              </w:rPr>
              <w:t>рисков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9000000">
            <w:pPr>
              <w:widowControl w:val="0"/>
              <w:spacing w:line="276" w:lineRule="auto"/>
              <w:ind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9</w:t>
            </w:r>
            <w:r>
              <w:rPr>
                <w:rFonts w:ascii="PT Astra Serif" w:hAnsi="PT Astra Serif"/>
                <w:color w:val="000000"/>
              </w:rPr>
              <w:t>.3. Методы контроля эффективности избранного способа достижения целей регулирования</w:t>
            </w:r>
          </w:p>
        </w:tc>
        <w:tc>
          <w:tcPr>
            <w:tcW w:type="dxa" w:w="26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A000000">
            <w:pPr>
              <w:widowControl w:val="0"/>
              <w:spacing w:line="276" w:lineRule="auto"/>
              <w:ind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9</w:t>
            </w:r>
            <w:r>
              <w:rPr>
                <w:rFonts w:ascii="PT Astra Serif" w:hAnsi="PT Astra Serif"/>
                <w:color w:val="000000"/>
              </w:rPr>
              <w:t>.4. Степень контроля рисков (полный/частичный/отсутствует)</w:t>
            </w:r>
          </w:p>
        </w:tc>
      </w:tr>
      <w:tr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B000000">
            <w:pPr>
              <w:widowControl w:val="0"/>
              <w:spacing w:line="276" w:lineRule="auto"/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отсутствуют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C000000">
            <w:pPr>
              <w:widowControl w:val="0"/>
              <w:spacing w:line="276" w:lineRule="auto"/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 xml:space="preserve">минимальная </w:t>
            </w:r>
          </w:p>
        </w:tc>
        <w:tc>
          <w:tcPr>
            <w:tcW w:type="dxa" w:w="18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D000000">
            <w:pPr>
              <w:widowControl w:val="0"/>
              <w:spacing w:line="276" w:lineRule="auto"/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сравнение с АППГ</w:t>
            </w:r>
          </w:p>
        </w:tc>
        <w:tc>
          <w:tcPr>
            <w:tcW w:type="dxa" w:w="26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E000000">
            <w:pPr>
              <w:widowControl w:val="0"/>
              <w:spacing w:line="276" w:lineRule="auto"/>
              <w:ind w:firstLine="0"/>
              <w:jc w:val="center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отсутствует</w:t>
            </w:r>
          </w:p>
        </w:tc>
      </w:tr>
    </w:tbl>
    <w:p w14:paraId="8F000000">
      <w:pPr>
        <w:widowControl w:val="0"/>
        <w:tabs>
          <w:tab w:leader="none" w:pos="1134" w:val="left"/>
        </w:tabs>
        <w:spacing w:line="276" w:lineRule="auto"/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  <w:u w:val="single"/>
        </w:rPr>
        <w:t>9</w:t>
      </w:r>
      <w:r>
        <w:rPr>
          <w:rFonts w:ascii="PT Astra Serif" w:hAnsi="PT Astra Serif"/>
          <w:color w:val="000000"/>
          <w:u w:val="single"/>
        </w:rPr>
        <w:t>.5.</w:t>
      </w:r>
      <w:r>
        <w:rPr>
          <w:rFonts w:ascii="PT Astra Serif" w:hAnsi="PT Astra Serif"/>
          <w:color w:val="000000"/>
          <w:u w:val="single"/>
        </w:rPr>
        <w:tab/>
      </w:r>
      <w:r>
        <w:rPr>
          <w:rFonts w:ascii="PT Astra Serif" w:hAnsi="PT Astra Serif"/>
          <w:color w:val="000000"/>
          <w:u w:val="single"/>
        </w:rPr>
        <w:t>Источники данных:</w:t>
      </w:r>
      <w:r>
        <w:rPr>
          <w:rFonts w:ascii="PT Astra Serif" w:hAnsi="PT Astra Serif"/>
          <w:color w:val="000000"/>
        </w:rPr>
        <w:t xml:space="preserve"> отсутствуют</w:t>
      </w:r>
    </w:p>
    <w:p w14:paraId="90000000">
      <w:pPr>
        <w:widowControl w:val="0"/>
        <w:tabs>
          <w:tab w:leader="none" w:pos="1134" w:val="left"/>
        </w:tabs>
        <w:spacing w:line="276" w:lineRule="auto"/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</w:rPr>
        <w:t xml:space="preserve">10. </w:t>
      </w:r>
      <w:r>
        <w:rPr>
          <w:rFonts w:ascii="PT Astra Serif" w:hAnsi="PT Astra Serif"/>
          <w:color w:val="000000"/>
        </w:rPr>
        <w:t>Индикативные показатели, программы мониторинга и иные способы (методы) оценки достижения заявленных целей регулирования</w:t>
      </w:r>
    </w:p>
    <w:tbl>
      <w:tblPr>
        <w:tblStyle w:val="Style_2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29"/>
        <w:gridCol w:w="1612"/>
        <w:gridCol w:w="2284"/>
        <w:gridCol w:w="1626"/>
        <w:gridCol w:w="1086"/>
        <w:gridCol w:w="2484"/>
      </w:tblGrid>
      <w:tr>
        <w:tc>
          <w:tcPr>
            <w:tcW w:type="dxa" w:w="244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00000">
            <w:pPr>
              <w:widowControl w:val="1"/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  <w:r>
              <w:rPr>
                <w:color w:val="000000"/>
              </w:rPr>
              <w:t>.1.</w:t>
            </w:r>
          </w:p>
          <w:p w14:paraId="92000000">
            <w:pPr>
              <w:widowControl w:val="1"/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Цели предлагаемого регулирования</w:t>
            </w:r>
            <w:r>
              <w:rPr>
                <w:color w:val="000000"/>
                <w:vertAlign w:val="superscript"/>
              </w:rPr>
              <w:footnoteReference w:id="1"/>
            </w:r>
          </w:p>
        </w:tc>
        <w:tc>
          <w:tcPr>
            <w:tcW w:type="dxa" w:w="2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00000">
            <w:pPr>
              <w:widowControl w:val="1"/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  <w:r>
              <w:rPr>
                <w:color w:val="000000"/>
              </w:rPr>
              <w:t>.2.</w:t>
            </w:r>
          </w:p>
          <w:p w14:paraId="94000000">
            <w:pPr>
              <w:widowControl w:val="1"/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Индикативные показатели</w:t>
            </w:r>
          </w:p>
          <w:p w14:paraId="95000000">
            <w:pPr>
              <w:widowControl w:val="1"/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(по годам)</w:t>
            </w:r>
          </w:p>
        </w:tc>
        <w:tc>
          <w:tcPr>
            <w:tcW w:type="dxa" w:w="27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00000">
            <w:pPr>
              <w:widowControl w:val="1"/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  <w:r>
              <w:rPr>
                <w:color w:val="000000"/>
              </w:rPr>
              <w:t>.3.</w:t>
            </w:r>
          </w:p>
          <w:p w14:paraId="97000000">
            <w:pPr>
              <w:widowControl w:val="1"/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Единицы измерения индикативных показателей</w:t>
            </w:r>
          </w:p>
        </w:tc>
        <w:tc>
          <w:tcPr>
            <w:tcW w:type="dxa" w:w="2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00000">
            <w:pPr>
              <w:widowControl w:val="1"/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  <w:r>
              <w:rPr>
                <w:color w:val="000000"/>
              </w:rPr>
              <w:t>.4.</w:t>
            </w:r>
          </w:p>
          <w:p w14:paraId="99000000">
            <w:pPr>
              <w:widowControl w:val="1"/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Способы расчета индикативных показателей</w:t>
            </w:r>
          </w:p>
        </w:tc>
      </w:tr>
      <w:tr>
        <w:trPr>
          <w:trHeight w:hRule="atLeast" w:val="330"/>
        </w:trPr>
        <w:tc>
          <w:tcPr>
            <w:tcW w:type="dxa" w:w="244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00000">
            <w:pPr>
              <w:widowControl w:val="0"/>
              <w:tabs>
                <w:tab w:leader="none" w:pos="1134" w:val="left"/>
              </w:tabs>
              <w:spacing w:line="276" w:lineRule="auto"/>
              <w:ind w:firstLine="0"/>
              <w:jc w:val="both"/>
              <w:rPr>
                <w:color w:val="000000"/>
                <w:u w:val="single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Принятие законопроекта позволит в будущем ограничить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свободное приобретение несовершеннолетними моторного топлива (ГСМ) для заправки транспортных средств, что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позволит исключить их из участия в дорожном движении, минимизируя случаи травмирования и смерти в результате ДТП.</w:t>
            </w:r>
          </w:p>
          <w:p w14:paraId="9B000000">
            <w:pPr>
              <w:widowControl w:val="1"/>
              <w:ind/>
              <w:jc w:val="center"/>
              <w:rPr>
                <w:color w:val="000000"/>
              </w:rPr>
            </w:pPr>
          </w:p>
        </w:tc>
        <w:tc>
          <w:tcPr>
            <w:tcW w:type="dxa" w:w="2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9C000000">
            <w:pPr>
              <w:widowControl w:val="1"/>
              <w:ind/>
              <w:jc w:val="center"/>
              <w:rPr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Уменьшение количества дорожно-транспортных происшествий с участием несовершеннолетних лиц</w:t>
            </w:r>
          </w:p>
        </w:tc>
        <w:tc>
          <w:tcPr>
            <w:tcW w:type="dxa" w:w="271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9D000000">
            <w:pPr>
              <w:widowControl w:val="1"/>
              <w:ind/>
              <w:jc w:val="center"/>
              <w:rPr>
                <w:color w:val="000000"/>
              </w:rPr>
            </w:pPr>
            <w:r>
              <w:rPr>
                <w:color w:val="000000"/>
              </w:rPr>
              <w:t>количество ДТП/ погибших (пострадавших) граждан</w:t>
            </w:r>
          </w:p>
        </w:tc>
        <w:tc>
          <w:tcPr>
            <w:tcW w:type="dxa" w:w="24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00000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>
        <w:tc>
          <w:tcPr>
            <w:tcW w:type="dxa" w:w="8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00000">
            <w:pPr>
              <w:rPr>
                <w:color w:val="000000"/>
              </w:rPr>
            </w:pPr>
            <w:r>
              <w:rPr>
                <w:color w:val="000000"/>
              </w:rPr>
              <w:t>10</w:t>
            </w:r>
            <w:r>
              <w:rPr>
                <w:color w:val="000000"/>
              </w:rPr>
              <w:t>.5.</w:t>
            </w:r>
          </w:p>
        </w:tc>
        <w:tc>
          <w:tcPr>
            <w:tcW w:type="dxa" w:w="909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00000">
            <w:pPr>
              <w:widowControl w:val="1"/>
              <w:pBdr>
                <w:bottom w:color="000000" w:space="1" w:sz="4" w:val="single"/>
              </w:pBdr>
              <w:ind/>
              <w:rPr>
                <w:color w:val="000000"/>
              </w:rPr>
            </w:pPr>
            <w:r>
              <w:rPr>
                <w:color w:val="000000"/>
              </w:rPr>
              <w:t>Информация о программах мониторинга и иных способах (методах) оценки достижения заявленных целей регулирования: отсутствуют</w:t>
            </w:r>
          </w:p>
          <w:p w14:paraId="A1000000">
            <w:pPr>
              <w:widowControl w:val="1"/>
              <w:pBdr>
                <w:bottom w:color="000000" w:space="1" w:sz="4" w:val="single"/>
              </w:pBdr>
              <w:ind/>
              <w:jc w:val="center"/>
              <w:rPr>
                <w:color w:val="000000"/>
              </w:rPr>
            </w:pPr>
          </w:p>
          <w:p w14:paraId="A2000000">
            <w:pPr>
              <w:widowControl w:val="1"/>
              <w:ind/>
              <w:jc w:val="center"/>
              <w:rPr>
                <w:color w:val="000000"/>
              </w:rPr>
            </w:pPr>
            <w:r>
              <w:rPr>
                <w:i w:val="1"/>
                <w:color w:val="000000"/>
              </w:rPr>
              <w:t xml:space="preserve"> (место для текстового описания)</w:t>
            </w:r>
          </w:p>
        </w:tc>
      </w:tr>
      <w:tr>
        <w:tc>
          <w:tcPr>
            <w:tcW w:type="dxa" w:w="8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00000">
            <w:pPr>
              <w:rPr>
                <w:color w:val="000000"/>
              </w:rPr>
            </w:pPr>
            <w:r>
              <w:rPr>
                <w:color w:val="000000"/>
              </w:rPr>
              <w:t>10</w:t>
            </w:r>
            <w:r>
              <w:rPr>
                <w:color w:val="000000"/>
              </w:rPr>
              <w:t>.6.</w:t>
            </w:r>
          </w:p>
        </w:tc>
        <w:tc>
          <w:tcPr>
            <w:tcW w:type="dxa" w:w="552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00000">
            <w:pPr>
              <w:rPr>
                <w:color w:val="000000"/>
              </w:rPr>
            </w:pPr>
            <w:r>
              <w:rPr>
                <w:color w:val="000000"/>
              </w:rPr>
              <w:t>Оценка затрат на осуществление мониторинга (в среднем в год):</w:t>
            </w:r>
          </w:p>
        </w:tc>
        <w:tc>
          <w:tcPr>
            <w:tcW w:type="dxa" w:w="357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00000">
            <w:pPr>
              <w:rPr>
                <w:color w:val="000000"/>
              </w:rPr>
            </w:pPr>
          </w:p>
          <w:p w14:paraId="A6000000">
            <w:pPr>
              <w:rPr>
                <w:color w:val="000000"/>
              </w:rPr>
            </w:pPr>
            <w:r>
              <w:rPr>
                <w:color w:val="000000"/>
              </w:rPr>
              <w:t>0, 0 (тыс. рублей)</w:t>
            </w:r>
          </w:p>
          <w:p w14:paraId="A7000000">
            <w:pPr>
              <w:rPr>
                <w:color w:val="000000"/>
              </w:rPr>
            </w:pPr>
          </w:p>
        </w:tc>
      </w:tr>
      <w:tr>
        <w:tc>
          <w:tcPr>
            <w:tcW w:type="dxa" w:w="8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00000">
            <w:pPr>
              <w:rPr>
                <w:color w:val="000000"/>
              </w:rPr>
            </w:pPr>
            <w:r>
              <w:rPr>
                <w:color w:val="000000"/>
              </w:rPr>
              <w:t>10</w:t>
            </w:r>
            <w:r>
              <w:rPr>
                <w:color w:val="000000"/>
              </w:rPr>
              <w:t>.7.</w:t>
            </w:r>
          </w:p>
        </w:tc>
        <w:tc>
          <w:tcPr>
            <w:tcW w:type="dxa" w:w="909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00000">
            <w:pPr>
              <w:widowControl w:val="1"/>
              <w:pBdr>
                <w:bottom w:color="000000" w:space="1" w:sz="4" w:val="single"/>
              </w:pBdr>
              <w:ind/>
              <w:rPr>
                <w:color w:val="000000"/>
              </w:rPr>
            </w:pPr>
            <w:r>
              <w:rPr>
                <w:color w:val="000000"/>
              </w:rPr>
              <w:t>Описание источников информации для расчета показателей (индикаторов): отсутствуют</w:t>
            </w:r>
          </w:p>
          <w:p w14:paraId="AA000000">
            <w:pPr>
              <w:widowControl w:val="1"/>
              <w:pBdr>
                <w:bottom w:color="000000" w:space="1" w:sz="4" w:val="single"/>
              </w:pBdr>
              <w:ind/>
              <w:jc w:val="center"/>
              <w:rPr>
                <w:color w:val="000000"/>
              </w:rPr>
            </w:pPr>
          </w:p>
          <w:p w14:paraId="AB000000">
            <w:pPr>
              <w:widowControl w:val="1"/>
              <w:ind/>
              <w:jc w:val="center"/>
              <w:rPr>
                <w:color w:val="000000"/>
              </w:rPr>
            </w:pPr>
            <w:r>
              <w:rPr>
                <w:i w:val="1"/>
                <w:color w:val="000000"/>
              </w:rPr>
              <w:t xml:space="preserve"> (место для текстового описания)</w:t>
            </w:r>
          </w:p>
        </w:tc>
      </w:tr>
      <w:tr>
        <w:tc>
          <w:tcPr>
            <w:tcW w:type="dxa" w:w="82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00000">
            <w:pPr>
              <w:rPr>
                <w:color w:val="000000"/>
              </w:rPr>
            </w:pPr>
            <w:r>
              <w:rPr>
                <w:color w:val="000000"/>
              </w:rPr>
              <w:t>10</w:t>
            </w:r>
            <w:r>
              <w:rPr>
                <w:color w:val="000000"/>
              </w:rPr>
              <w:t>.8.</w:t>
            </w:r>
          </w:p>
        </w:tc>
        <w:tc>
          <w:tcPr>
            <w:tcW w:type="dxa" w:w="9092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00000">
            <w:pPr>
              <w:widowControl w:val="1"/>
              <w:pBdr>
                <w:bottom w:color="000000" w:space="1" w:sz="4" w:val="single"/>
              </w:pBdr>
              <w:ind/>
              <w:rPr>
                <w:color w:val="000000"/>
              </w:rPr>
            </w:pPr>
            <w:r>
              <w:rPr>
                <w:color w:val="000000"/>
              </w:rPr>
              <w:t>Организационно-технические, методологические, информационные и иные мероприятия, необходимые для достижения заявленных целей регулирования</w:t>
            </w:r>
          </w:p>
          <w:p w14:paraId="AE000000">
            <w:pPr>
              <w:widowControl w:val="1"/>
              <w:ind/>
              <w:jc w:val="both"/>
            </w:pPr>
            <w:r>
              <w:t xml:space="preserve">Размещение информации в СМИ о принятии </w:t>
            </w:r>
            <w:r>
              <w:t xml:space="preserve">закона, </w:t>
            </w:r>
            <w:r>
              <w:t xml:space="preserve">о </w:t>
            </w:r>
            <w:r>
              <w:t xml:space="preserve">привлечении к  ответственности лиц за его неисполнение </w:t>
            </w:r>
          </w:p>
        </w:tc>
      </w:tr>
    </w:tbl>
    <w:p w14:paraId="AF000000">
      <w:pPr>
        <w:widowControl w:val="0"/>
        <w:tabs>
          <w:tab w:leader="none" w:pos="1134" w:val="left"/>
        </w:tabs>
        <w:spacing w:line="276" w:lineRule="auto"/>
        <w:ind w:firstLine="709"/>
        <w:jc w:val="both"/>
        <w:rPr>
          <w:rFonts w:ascii="PT Astra Serif" w:hAnsi="PT Astra Serif"/>
        </w:rPr>
      </w:pPr>
    </w:p>
    <w:p w14:paraId="B0000000">
      <w:pPr>
        <w:widowControl w:val="0"/>
        <w:tabs>
          <w:tab w:leader="none" w:pos="1134" w:val="left"/>
        </w:tabs>
        <w:spacing w:line="276" w:lineRule="auto"/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b w:val="1"/>
          <w:color w:val="000000"/>
        </w:rPr>
        <w:t>11</w:t>
      </w:r>
      <w:r>
        <w:rPr>
          <w:rFonts w:ascii="PT Astra Serif" w:hAnsi="PT Astra Serif"/>
          <w:b w:val="1"/>
          <w:color w:val="000000"/>
        </w:rPr>
        <w:t>.</w:t>
      </w:r>
      <w:r>
        <w:rPr>
          <w:rFonts w:ascii="PT Astra Serif" w:hAnsi="PT Astra Serif"/>
          <w:b w:val="1"/>
          <w:color w:val="000000"/>
        </w:rPr>
        <w:tab/>
      </w:r>
      <w:r>
        <w:rPr>
          <w:rFonts w:ascii="PT Astra Serif" w:hAnsi="PT Astra Serif"/>
          <w:color w:val="000000"/>
        </w:rPr>
        <w:t>Сравнение возможных вариантов решения проблемы</w:t>
      </w:r>
      <w:r>
        <w:rPr>
          <w:rFonts w:ascii="PT Astra Serif" w:hAnsi="PT Astra Serif"/>
          <w:color w:val="000000"/>
        </w:rPr>
        <w:t xml:space="preserve"> </w:t>
      </w:r>
    </w:p>
    <w:tbl>
      <w:tblPr>
        <w:tblStyle w:val="Style_2"/>
        <w:tblW w:type="auto" w:w="0"/>
        <w:tblInd w:type="dxa" w:w="-5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4962"/>
        <w:gridCol w:w="2268"/>
        <w:gridCol w:w="2136"/>
      </w:tblGrid>
      <w:t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1000000">
            <w:pPr>
              <w:widowControl w:val="0"/>
              <w:spacing w:line="276" w:lineRule="auto"/>
              <w:ind w:firstLine="709"/>
              <w:rPr>
                <w:rFonts w:ascii="PT Astra Serif" w:hAnsi="PT Astra Serif"/>
                <w:strike w:val="1"/>
                <w:color w:val="000000"/>
              </w:rPr>
            </w:pP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2000000">
            <w:pPr>
              <w:widowControl w:val="0"/>
              <w:spacing w:line="276" w:lineRule="auto"/>
              <w:ind w:firstLine="709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 xml:space="preserve">Вариант 1 </w:t>
            </w:r>
          </w:p>
        </w:tc>
        <w:tc>
          <w:tcPr>
            <w:tcW w:type="dxa" w:w="21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3000000">
            <w:pPr>
              <w:widowControl w:val="0"/>
              <w:spacing w:line="276" w:lineRule="auto"/>
              <w:ind w:firstLine="709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 xml:space="preserve">Вариант 2 </w:t>
            </w:r>
          </w:p>
        </w:tc>
      </w:tr>
      <w:tr>
        <w:trPr>
          <w:trHeight w:hRule="atLeast" w:val="503"/>
        </w:trP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4000000">
            <w:pPr>
              <w:widowControl w:val="0"/>
              <w:spacing w:line="276" w:lineRule="auto"/>
              <w:ind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Содержание варианта решения проблемы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5000000">
            <w:pPr>
              <w:widowControl w:val="0"/>
              <w:spacing w:line="276" w:lineRule="auto"/>
              <w:ind/>
              <w:jc w:val="both"/>
              <w:rPr>
                <w:rFonts w:ascii="PT Astra Serif" w:hAnsi="PT Astra Serif"/>
                <w:i w:val="0"/>
                <w:color w:val="000000"/>
              </w:rPr>
            </w:pPr>
            <w:r>
              <w:rPr>
                <w:rFonts w:ascii="PT Astra Serif" w:hAnsi="PT Astra Serif"/>
                <w:i w:val="0"/>
                <w:color w:val="000000"/>
              </w:rPr>
              <w:t xml:space="preserve">Принятие Закона </w:t>
            </w:r>
            <w:r>
              <w:rPr>
                <w:i w:val="0"/>
                <w:color w:val="000000"/>
                <w:sz w:val="24"/>
              </w:rPr>
              <w:t>Республики Саха (Якутия) «</w:t>
            </w:r>
            <w:r>
              <w:rPr>
                <w:rFonts w:ascii="Times New Roman" w:hAnsi="Times New Roman"/>
                <w:i w:val="0"/>
                <w:color w:val="000000"/>
                <w:sz w:val="24"/>
              </w:rPr>
              <w:t xml:space="preserve">Об ограничении продажи несовершеннолетним горюче-смазочных материалов на территории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Республики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Саха (Якутия)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», р</w:t>
            </w:r>
            <w:r>
              <w:rPr>
                <w:i w:val="0"/>
                <w:color w:val="000000"/>
              </w:rPr>
              <w:t>еализация  предусмотренного им правового регулирования</w:t>
            </w:r>
          </w:p>
        </w:tc>
        <w:tc>
          <w:tcPr>
            <w:tcW w:type="dxa" w:w="21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6000000">
            <w:pPr>
              <w:widowControl w:val="0"/>
              <w:spacing w:line="276" w:lineRule="auto"/>
              <w:ind w:firstLine="0"/>
              <w:rPr>
                <w:rFonts w:ascii="PT Astra Serif" w:hAnsi="PT Astra Serif"/>
                <w:color w:val="000000"/>
              </w:rPr>
            </w:pPr>
            <w:r>
              <w:rPr>
                <w:i w:val="0"/>
                <w:color w:val="000000"/>
              </w:rPr>
              <w:t xml:space="preserve">Отказ от принятия </w:t>
            </w:r>
            <w:r>
              <w:rPr>
                <w:rFonts w:ascii="PT Astra Serif" w:hAnsi="PT Astra Serif"/>
                <w:color w:val="000000"/>
              </w:rPr>
              <w:t xml:space="preserve">Закона </w:t>
            </w:r>
            <w:r>
              <w:rPr>
                <w:color w:val="000000"/>
                <w:sz w:val="24"/>
              </w:rPr>
              <w:t>Республики Саха (Якутия) «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 ограничении продажи несовершеннолетним горюче-смазочных материалов на территории 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Республики 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Саха (Якутия)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»</w:t>
            </w:r>
          </w:p>
          <w:p w14:paraId="B7000000">
            <w:pPr>
              <w:widowControl w:val="0"/>
              <w:spacing w:line="276" w:lineRule="auto"/>
              <w:ind w:firstLine="709"/>
              <w:rPr>
                <w:i w:val="1"/>
                <w:color w:val="000000"/>
              </w:rPr>
            </w:pPr>
          </w:p>
        </w:tc>
      </w:tr>
      <w:tr>
        <w:trPr>
          <w:trHeight w:hRule="atLeast" w:val="1493"/>
        </w:trP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8000000">
            <w:pPr>
              <w:widowControl w:val="0"/>
              <w:spacing w:line="276" w:lineRule="auto"/>
              <w:ind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B9000000">
            <w:pPr>
              <w:widowControl w:val="1"/>
              <w:spacing w:afterAutospacing="on" w:beforeAutospacing="on" w:line="240" w:lineRule="auto"/>
              <w:ind/>
              <w:jc w:val="center"/>
              <w:rPr>
                <w:rFonts w:ascii="Times New Roman" w:hAnsi="Times New Roman"/>
                <w:color w:val="000000"/>
                <w:sz w:val="2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Адресаты:</w:t>
            </w:r>
          </w:p>
          <w:p w14:paraId="BA000000">
            <w:pPr>
              <w:widowControl w:val="1"/>
              <w:spacing w:afterAutospacing="on" w:beforeAutospacing="on" w:line="240" w:lineRule="auto"/>
              <w:ind/>
              <w:jc w:val="center"/>
              <w:rPr>
                <w:rFonts w:ascii="Times New Roman" w:hAnsi="Times New Roman"/>
                <w:color w:val="000000"/>
                <w:sz w:val="2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Несовершеннолетние, за исключением лиц, достигших шестнадцатилетнего возраста и имеющих право на управление транспортным средством.</w:t>
            </w:r>
          </w:p>
          <w:p w14:paraId="BB000000">
            <w:pPr>
              <w:widowControl w:val="1"/>
              <w:spacing w:afterAutospacing="on" w:beforeAutospacing="on" w:line="240" w:lineRule="auto"/>
              <w:ind/>
              <w:jc w:val="center"/>
              <w:rPr>
                <w:rFonts w:ascii="Times New Roman" w:hAnsi="Times New Roman"/>
                <w:color w:val="000000"/>
                <w:sz w:val="2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Юридические лица</w:t>
            </w:r>
            <w:r>
              <w:rPr>
                <w:rFonts w:ascii="Times New Roman" w:hAnsi="Times New Roman"/>
                <w:color w:val="000000"/>
                <w:sz w:val="21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>и индивидуальные предприниматели, осуществляющие розничную продажу моторного топлива на территории республики (АЗС).</w:t>
            </w:r>
          </w:p>
          <w:p w14:paraId="BC000000">
            <w:pPr>
              <w:widowControl w:val="1"/>
              <w:spacing w:afterAutospacing="on" w:beforeAutospacing="on" w:line="240" w:lineRule="auto"/>
              <w:ind/>
              <w:jc w:val="center"/>
              <w:rPr>
                <w:rFonts w:ascii="Times New Roman" w:hAnsi="Times New Roman"/>
                <w:color w:val="000000"/>
                <w:sz w:val="2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Законопроект не содержит барьеров для входа на рынок новых хозяйствующих субъектов или функционирования действующих.</w:t>
            </w:r>
          </w:p>
          <w:p w14:paraId="BD000000">
            <w:pPr>
              <w:widowControl w:val="0"/>
              <w:spacing w:line="276" w:lineRule="auto"/>
              <w:ind/>
              <w:rPr>
                <w:i w:val="1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Количество и территориальное распределение АЗС в регионе останутся неизменными, так как экономическая целесообразность и деятельность объектов не зависят от вводимого запрета на розничную продажу моторного топлива несовершеннолетним лицам без водительских прав.</w:t>
            </w:r>
          </w:p>
        </w:tc>
        <w:tc>
          <w:tcPr>
            <w:tcW w:type="dxa" w:w="21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BE000000">
            <w:pPr>
              <w:widowControl w:val="1"/>
              <w:spacing w:afterAutospacing="on" w:beforeAutospacing="on" w:line="240" w:lineRule="auto"/>
              <w:ind/>
              <w:jc w:val="center"/>
              <w:rPr>
                <w:rFonts w:ascii="Times New Roman" w:hAnsi="Times New Roman"/>
                <w:color w:val="000000"/>
                <w:sz w:val="2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Адресаты:</w:t>
            </w:r>
          </w:p>
          <w:p w14:paraId="BF000000">
            <w:pPr>
              <w:widowControl w:val="1"/>
              <w:spacing w:afterAutospacing="on" w:beforeAutospacing="on" w:line="240" w:lineRule="auto"/>
              <w:ind/>
              <w:jc w:val="center"/>
              <w:rPr>
                <w:rFonts w:ascii="Times New Roman" w:hAnsi="Times New Roman"/>
                <w:color w:val="000000"/>
                <w:sz w:val="2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Несовершеннолетние, за исключением лиц, достигших шестнадцатилетнего возраста и имеющих право на управление транспортным средством.</w:t>
            </w:r>
          </w:p>
          <w:p w14:paraId="C0000000">
            <w:pPr>
              <w:widowControl w:val="1"/>
              <w:spacing w:afterAutospacing="on" w:beforeAutospacing="on" w:line="240" w:lineRule="auto"/>
              <w:ind/>
              <w:jc w:val="center"/>
              <w:rPr>
                <w:rFonts w:ascii="Times New Roman" w:hAnsi="Times New Roman"/>
                <w:color w:val="000000"/>
                <w:sz w:val="2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Юридические лица и индивидуальные предприниматели, осуществляющие розничную продажу моторного топлива на территории республики.</w:t>
            </w:r>
          </w:p>
          <w:p w14:paraId="C1000000">
            <w:pPr>
              <w:widowControl w:val="1"/>
              <w:spacing w:afterAutospacing="on" w:beforeAutospacing="on" w:line="240" w:lineRule="auto"/>
              <w:ind/>
              <w:jc w:val="center"/>
              <w:rPr>
                <w:rFonts w:ascii="Times New Roman" w:hAnsi="Times New Roman"/>
                <w:color w:val="000000"/>
                <w:sz w:val="2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Не изменится</w:t>
            </w:r>
          </w:p>
        </w:tc>
      </w:tr>
      <w:t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2000000">
            <w:pPr>
              <w:widowControl w:val="0"/>
              <w:spacing w:line="276" w:lineRule="auto"/>
              <w:ind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C3000000">
            <w:pPr>
              <w:widowControl w:val="1"/>
              <w:spacing w:afterAutospacing="on" w:beforeAutospacing="on" w:line="240" w:lineRule="auto"/>
              <w:ind/>
              <w:jc w:val="center"/>
              <w:rPr>
                <w:rFonts w:ascii="Times New Roman" w:hAnsi="Times New Roman"/>
                <w:color w:val="000000"/>
                <w:sz w:val="2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Принятие закона не приведет  к снижению доходов (упущенной выгоде) добросовестных участников рынка. Несовершеннолетние лица, не имеющие водительского удостоверения, не являются целевой аудиторией легального потребления моторного топлива и не формируют значимой доли в торговом обороте АЗС. Спрос со стороны лиц в возрасте 16-17 лет, имеющих законное право управления транспортом, полностью сохраняется при предъявлении водительского удостоверения.</w:t>
            </w:r>
          </w:p>
          <w:p w14:paraId="C4000000">
            <w:pPr>
              <w:widowControl w:val="1"/>
              <w:spacing w:afterAutospacing="on" w:beforeAutospacing="on" w:line="240" w:lineRule="auto"/>
              <w:ind/>
              <w:jc w:val="center"/>
              <w:rPr>
                <w:rFonts w:ascii="Times New Roman" w:hAnsi="Times New Roman"/>
                <w:color w:val="000000"/>
                <w:sz w:val="2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Затраты юридических лиц и индивидуальных предпринимателей, осуществляющих розничную продажу моторного топлива на территории республики (АЗС), носят малозначительный (несущественный) характер и ограничиваются затратами на изготовление и размещение на кассовых местах (и информационных стендах) АЗС наглядных текстовых материалов (табличек, наклеек) с предупреждением о запрете отпуска топлива </w:t>
            </w:r>
            <w:r>
              <w:rPr>
                <w:rFonts w:ascii="Times New Roman" w:hAnsi="Times New Roman"/>
                <w:color w:val="000000"/>
                <w:sz w:val="24"/>
              </w:rPr>
              <w:t>лицам  до 18 лет.</w:t>
            </w:r>
          </w:p>
          <w:p w14:paraId="C5000000">
            <w:pPr>
              <w:widowControl w:val="1"/>
              <w:spacing w:afterAutospacing="on" w:beforeAutospacing="on" w:line="240" w:lineRule="auto"/>
              <w:ind/>
              <w:jc w:val="center"/>
              <w:rPr>
                <w:rFonts w:ascii="Times New Roman" w:hAnsi="Times New Roman"/>
                <w:color w:val="000000"/>
                <w:sz w:val="2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нового регулирования не потребует от бизнеса дополнительных организационно-штатных изменений, закупки специального оборудования или внедрения новых программных комплексов.</w:t>
            </w:r>
          </w:p>
          <w:p w14:paraId="C6000000">
            <w:pPr>
              <w:widowControl w:val="1"/>
              <w:spacing w:afterAutospacing="on" w:beforeAutospacing="on" w:line="240" w:lineRule="auto"/>
              <w:ind/>
              <w:jc w:val="center"/>
              <w:rPr>
                <w:rFonts w:ascii="Times New Roman" w:hAnsi="Times New Roman"/>
                <w:color w:val="000000"/>
                <w:sz w:val="2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связи с принятием  закона отдельные хозяйствующие субъекты (потенциальные нарушители) могут понести расходы в виде административных штрафов и возможных судебных издержек в случае обжалования постановлений.</w:t>
            </w:r>
          </w:p>
        </w:tc>
        <w:tc>
          <w:tcPr>
            <w:tcW w:type="dxa" w:w="21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C700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1"/>
              </w:rPr>
            </w:pPr>
            <w:r>
              <w:rPr>
                <w:b w:val="0"/>
                <w:i w:val="0"/>
                <w:color w:val="000000"/>
              </w:rPr>
              <w:t>Дополнительных расходов и доходов не ожидается</w:t>
            </w:r>
            <w:r>
              <w:rPr>
                <w:rFonts w:ascii="Times New Roman" w:hAnsi="Times New Roman"/>
                <w:color w:val="000000"/>
                <w:sz w:val="24"/>
              </w:rPr>
              <w:t>, однако сохраняются косвенные потери от дорожно-транспортных нарушений</w:t>
            </w:r>
            <w:r>
              <w:rPr>
                <w:rFonts w:ascii="Times New Roman" w:hAnsi="Times New Roman"/>
                <w:color w:val="000000"/>
                <w:sz w:val="21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>и причинения вреда жизни и здоровью несовершеннолетних.</w:t>
            </w:r>
          </w:p>
          <w:p w14:paraId="C8000000">
            <w:pPr>
              <w:widowControl w:val="0"/>
              <w:spacing w:line="276" w:lineRule="auto"/>
              <w:ind/>
              <w:rPr>
                <w:i w:val="1"/>
                <w:color w:val="000000"/>
              </w:rPr>
            </w:pPr>
          </w:p>
        </w:tc>
      </w:tr>
      <w:t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9000000">
            <w:pPr>
              <w:widowControl w:val="0"/>
              <w:spacing w:line="276" w:lineRule="auto"/>
              <w:ind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Оценка расходов (доходов) государственного бюджета Республики Саха (Якутия), связанных с введением предлагаемого правового регулирования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CA000000">
            <w:pPr>
              <w:widowControl w:val="1"/>
              <w:spacing w:afterAutospacing="on" w:beforeAutospacing="on" w:line="240" w:lineRule="auto"/>
              <w:ind/>
              <w:jc w:val="center"/>
              <w:rPr>
                <w:rFonts w:ascii="Times New Roman" w:hAnsi="Times New Roman"/>
                <w:color w:val="000000"/>
                <w:sz w:val="2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Реализация предлагаемого правового регулирования и осуществление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контроля</w:t>
            </w:r>
            <w:r>
              <w:rPr>
                <w:rFonts w:ascii="Times New Roman" w:hAnsi="Times New Roman"/>
                <w:color w:val="000000"/>
                <w:sz w:val="21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соблюдением вводимых норм может повлечь за собой дополнительные расходы со стороны административных комиссий органов местного самоуправления муниципальных образований, уполномоченных</w:t>
            </w:r>
            <w:r>
              <w:rPr>
                <w:rFonts w:ascii="Times New Roman" w:hAnsi="Times New Roman"/>
                <w:color w:val="000000"/>
                <w:sz w:val="21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 составление протоколов и проведение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проверочных мероприятий.</w:t>
            </w:r>
          </w:p>
          <w:p w14:paraId="CB000000">
            <w:pPr>
              <w:widowControl w:val="1"/>
              <w:spacing w:afterAutospacing="on" w:beforeAutospacing="on" w:line="240" w:lineRule="auto"/>
              <w:ind/>
              <w:jc w:val="center"/>
              <w:rPr>
                <w:rFonts w:ascii="Times New Roman" w:hAnsi="Times New Roman"/>
                <w:color w:val="000000"/>
                <w:sz w:val="2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Дополнительные расходы могут состоять из следующего:</w:t>
            </w:r>
          </w:p>
          <w:p w14:paraId="CC000000">
            <w:pPr>
              <w:widowControl w:val="1"/>
              <w:spacing w:afterAutospacing="on" w:beforeAutospacing="on" w:line="240" w:lineRule="auto"/>
              <w:ind/>
              <w:jc w:val="center"/>
              <w:rPr>
                <w:rFonts w:ascii="Times New Roman" w:hAnsi="Times New Roman"/>
                <w:color w:val="000000"/>
                <w:sz w:val="2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оплаты труда и «человеко-часы»;</w:t>
            </w:r>
          </w:p>
          <w:p w14:paraId="CD000000">
            <w:pPr>
              <w:widowControl w:val="1"/>
              <w:spacing w:afterAutospacing="on" w:beforeAutospacing="on" w:line="240" w:lineRule="auto"/>
              <w:ind/>
              <w:jc w:val="center"/>
              <w:rPr>
                <w:rFonts w:ascii="Times New Roman" w:hAnsi="Times New Roman"/>
                <w:color w:val="000000"/>
                <w:sz w:val="2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транспортных расходов (покупки бензина для служебных автомобилей);</w:t>
            </w:r>
          </w:p>
          <w:p w14:paraId="CE000000">
            <w:pPr>
              <w:widowControl w:val="1"/>
              <w:spacing w:afterAutospacing="on" w:beforeAutospacing="on" w:line="240" w:lineRule="auto"/>
              <w:ind/>
              <w:jc w:val="center"/>
              <w:rPr>
                <w:rFonts w:ascii="Times New Roman" w:hAnsi="Times New Roman"/>
                <w:color w:val="000000"/>
                <w:sz w:val="2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канцелярии и связи.</w:t>
            </w:r>
          </w:p>
          <w:p w14:paraId="CF000000">
            <w:pPr>
              <w:widowControl w:val="0"/>
              <w:spacing w:line="276" w:lineRule="auto"/>
              <w:ind/>
              <w:rPr>
                <w:i w:val="1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Ожидаются дополнительные доходы в виде возможных поступлений от уплаты административных штрафов за совершение административных правонарушений.</w:t>
            </w:r>
          </w:p>
        </w:tc>
        <w:tc>
          <w:tcPr>
            <w:tcW w:type="dxa" w:w="21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D0000000">
            <w:pPr>
              <w:widowControl w:val="0"/>
              <w:spacing w:line="276" w:lineRule="auto"/>
              <w:ind/>
              <w:rPr>
                <w:i w:val="0"/>
                <w:color w:val="000000"/>
              </w:rPr>
            </w:pPr>
            <w:r>
              <w:rPr>
                <w:i w:val="0"/>
                <w:color w:val="000000"/>
              </w:rPr>
              <w:t>Дополнительных расходов и доходов не ожидается</w:t>
            </w:r>
          </w:p>
        </w:tc>
      </w:tr>
      <w:t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1000000">
            <w:pPr>
              <w:widowControl w:val="0"/>
              <w:spacing w:line="276" w:lineRule="auto"/>
              <w:ind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Оценка возможности достижения заявленн</w:t>
            </w:r>
            <w:r>
              <w:rPr>
                <w:rFonts w:ascii="PT Astra Serif" w:hAnsi="PT Astra Serif"/>
                <w:color w:val="000000"/>
              </w:rPr>
              <w:t>ых целей регулирования (раздел 4</w:t>
            </w:r>
            <w:r>
              <w:rPr>
                <w:rFonts w:ascii="PT Astra Serif" w:hAnsi="PT Astra Serif"/>
                <w:color w:val="000000"/>
              </w:rPr>
              <w:t xml:space="preserve"> сводного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D2000000">
            <w:pPr>
              <w:widowControl w:val="1"/>
              <w:spacing w:afterAutospacing="on" w:beforeAutospacing="on" w:line="240" w:lineRule="auto"/>
              <w:ind/>
              <w:jc w:val="center"/>
              <w:rPr>
                <w:rFonts w:ascii="Times New Roman" w:hAnsi="Times New Roman"/>
                <w:color w:val="000000"/>
                <w:sz w:val="2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Высокая: законопроектом  обеспечивается достижение цели, реализация государственной политики в области обеспечения безопасности дорожного движения; осуществится повышение мотивации граждан к законопослушному и безопасному поведению в условиях дорожного движения.</w:t>
            </w:r>
          </w:p>
          <w:p w14:paraId="D3000000">
            <w:pPr>
              <w:widowControl w:val="0"/>
              <w:spacing w:line="276" w:lineRule="auto"/>
              <w:ind w:firstLine="709"/>
              <w:rPr>
                <w:i w:val="1"/>
                <w:color w:val="000000"/>
              </w:rPr>
            </w:pPr>
          </w:p>
        </w:tc>
        <w:tc>
          <w:tcPr>
            <w:tcW w:type="dxa" w:w="21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D4000000">
            <w:pPr>
              <w:widowControl w:val="1"/>
              <w:spacing w:afterAutospacing="on" w:beforeAutospacing="on" w:line="240" w:lineRule="auto"/>
              <w:ind/>
              <w:jc w:val="center"/>
              <w:rPr>
                <w:rFonts w:ascii="Times New Roman" w:hAnsi="Times New Roman"/>
                <w:color w:val="000000"/>
                <w:sz w:val="2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Низкая</w:t>
            </w:r>
            <w:r>
              <w:rPr>
                <w:rFonts w:ascii="Times New Roman" w:hAnsi="Times New Roman"/>
                <w:color w:val="000000"/>
                <w:sz w:val="24"/>
              </w:rPr>
              <w:t>: цели недостижимы.</w:t>
            </w:r>
          </w:p>
          <w:p w14:paraId="D5000000">
            <w:pPr>
              <w:widowControl w:val="0"/>
              <w:spacing w:line="276" w:lineRule="auto"/>
              <w:ind w:firstLine="709"/>
              <w:rPr>
                <w:i w:val="1"/>
                <w:color w:val="000000"/>
              </w:rPr>
            </w:pPr>
          </w:p>
        </w:tc>
      </w:tr>
      <w:tr>
        <w:tc>
          <w:tcPr>
            <w:tcW w:type="dxa" w:w="49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6000000">
            <w:pPr>
              <w:widowControl w:val="0"/>
              <w:spacing w:line="276" w:lineRule="auto"/>
              <w:ind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 xml:space="preserve">Оценка рисков неблагоприятных последствий 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D7000000">
            <w:pPr>
              <w:widowControl w:val="0"/>
              <w:spacing w:line="276" w:lineRule="auto"/>
              <w:ind/>
              <w:rPr>
                <w:i w:val="1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Риск нагрузки на юридических лиц и индивидуальных </w:t>
            </w:r>
            <w:r>
              <w:rPr>
                <w:rFonts w:ascii="Times New Roman" w:hAnsi="Times New Roman"/>
                <w:color w:val="000000"/>
                <w:sz w:val="24"/>
              </w:rPr>
              <w:t>предпринимателей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осуществляющих розничную продажу моторного топлива на территории республики, оценивается как умеренный.</w:t>
            </w:r>
          </w:p>
        </w:tc>
        <w:tc>
          <w:tcPr>
            <w:tcW w:type="dxa" w:w="21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D8000000">
            <w:pPr>
              <w:widowControl w:val="1"/>
              <w:spacing w:afterAutospacing="on" w:beforeAutospacing="on" w:line="240" w:lineRule="auto"/>
              <w:ind/>
              <w:jc w:val="center"/>
              <w:rPr>
                <w:rFonts w:ascii="Times New Roman" w:hAnsi="Times New Roman"/>
                <w:color w:val="000000"/>
                <w:sz w:val="2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Непринятие закона повлечет за собой риск сохранения текущих проблем и </w:t>
            </w:r>
            <w:r>
              <w:rPr>
                <w:rFonts w:ascii="Times New Roman" w:hAnsi="Times New Roman"/>
                <w:color w:val="000000"/>
                <w:sz w:val="24"/>
              </w:rPr>
              <w:t>увеличения количества дорожно-транспортных происшествий с участием несовершеннолетних, а также увеличения количества травмированных несовершеннолетних граждан.</w:t>
            </w:r>
          </w:p>
          <w:p w14:paraId="D9000000">
            <w:pPr>
              <w:widowControl w:val="1"/>
              <w:spacing w:afterAutospacing="on" w:beforeAutospacing="on" w:line="240" w:lineRule="auto"/>
              <w:ind/>
              <w:jc w:val="center"/>
              <w:rPr>
                <w:rFonts w:ascii="Times New Roman" w:hAnsi="Times New Roman"/>
                <w:color w:val="000000"/>
                <w:sz w:val="21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Рост числа происшествий повлечет за собой дополнительные непрямые издержки государственного бюджета республики в виде повышенной нагрузки на учреждения здравоохранения (оказание экстренной медицинской помощи, реабилитация травмированных детей) и органы правопорядка.</w:t>
            </w:r>
          </w:p>
          <w:p w14:paraId="DA000000">
            <w:pPr>
              <w:widowControl w:val="0"/>
              <w:spacing w:line="276" w:lineRule="auto"/>
              <w:ind/>
              <w:rPr>
                <w:i w:val="1"/>
                <w:color w:val="000000"/>
              </w:rPr>
            </w:pPr>
          </w:p>
        </w:tc>
      </w:tr>
    </w:tbl>
    <w:p w14:paraId="DB000000">
      <w:pPr>
        <w:widowControl w:val="0"/>
        <w:tabs>
          <w:tab w:leader="none" w:pos="1134" w:val="left"/>
        </w:tabs>
        <w:spacing w:line="276" w:lineRule="auto"/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  <w:u w:val="single"/>
        </w:rPr>
        <w:t>11.1</w:t>
      </w:r>
      <w:r>
        <w:rPr>
          <w:rFonts w:ascii="PT Astra Serif" w:hAnsi="PT Astra Serif"/>
          <w:color w:val="000000"/>
          <w:u w:val="single"/>
        </w:rPr>
        <w:t>.</w:t>
      </w:r>
      <w:r>
        <w:rPr>
          <w:rFonts w:ascii="PT Astra Serif" w:hAnsi="PT Astra Serif"/>
          <w:color w:val="000000"/>
          <w:u w:val="single"/>
        </w:rPr>
        <w:tab/>
      </w:r>
      <w:r>
        <w:rPr>
          <w:rFonts w:ascii="PT Astra Serif" w:hAnsi="PT Astra Serif"/>
          <w:color w:val="000000"/>
          <w:u w:val="single"/>
        </w:rPr>
        <w:t>Обоснование выбора предпочтительного варианта решения выявленной проблемы</w:t>
      </w:r>
      <w:r>
        <w:rPr>
          <w:rFonts w:ascii="PT Astra Serif" w:hAnsi="PT Astra Serif"/>
          <w:color w:val="000000"/>
        </w:rPr>
        <w:t>: п</w:t>
      </w:r>
      <w:r>
        <w:rPr>
          <w:rFonts w:ascii="Times New Roman" w:hAnsi="Times New Roman"/>
          <w:color w:val="000000"/>
          <w:sz w:val="24"/>
        </w:rPr>
        <w:t>ринятие закона позволит снизить аварийность и травматизм среди несовершеннолетних водителей, а также реализовать государственную политику в области обеспечения безопасности дорожного движения, сохранение населения, направленную на сбережение здоровья граждан и создание комфортной среды для жизни людей.</w:t>
      </w:r>
    </w:p>
    <w:p w14:paraId="DC000000">
      <w:pPr>
        <w:widowControl w:val="1"/>
        <w:tabs>
          <w:tab w:leader="none" w:pos="1134" w:val="left"/>
        </w:tabs>
        <w:spacing w:line="276" w:lineRule="auto"/>
        <w:ind w:firstLine="709"/>
        <w:jc w:val="both"/>
        <w:rPr>
          <w:rFonts w:ascii="PT Astra Serif" w:hAnsi="PT Astra Serif"/>
          <w:b w:val="1"/>
          <w:color w:val="000000"/>
        </w:rPr>
      </w:pPr>
    </w:p>
    <w:p w14:paraId="DD000000">
      <w:pPr>
        <w:widowControl w:val="1"/>
        <w:tabs>
          <w:tab w:leader="none" w:pos="1134" w:val="left"/>
        </w:tabs>
        <w:spacing w:line="276" w:lineRule="auto"/>
        <w:ind w:firstLine="709"/>
        <w:jc w:val="both"/>
        <w:rPr>
          <w:rFonts w:ascii="PT Astra Serif" w:hAnsi="PT Astra Serif"/>
          <w:b w:val="1"/>
          <w:color w:val="000000"/>
        </w:rPr>
      </w:pPr>
      <w:r>
        <w:rPr>
          <w:rFonts w:ascii="PT Astra Serif" w:hAnsi="PT Astra Serif"/>
          <w:b w:val="1"/>
          <w:color w:val="000000"/>
        </w:rPr>
        <w:t>12. Анализ воздействия предлагаемого регулирования на состояние конкуренции в Республике Саха (Якутия) в регулируемой сфере деятельности</w:t>
      </w:r>
    </w:p>
    <w:p w14:paraId="DE000000">
      <w:pPr>
        <w:widowControl w:val="1"/>
        <w:tabs>
          <w:tab w:leader="none" w:pos="1134" w:val="left"/>
        </w:tabs>
        <w:spacing w:line="276" w:lineRule="auto"/>
        <w:ind w:firstLine="709"/>
        <w:jc w:val="both"/>
        <w:rPr>
          <w:rFonts w:ascii="PT Astra Serif" w:hAnsi="PT Astra Serif"/>
          <w:b w:val="1"/>
          <w:color w:val="000000"/>
        </w:rPr>
      </w:pPr>
      <w:r>
        <w:rPr>
          <w:rFonts w:ascii="PT Astra Serif" w:hAnsi="PT Astra Serif"/>
          <w:b w:val="1"/>
          <w:color w:val="000000"/>
        </w:rPr>
        <w:t>12.1. Наличие в проекте акта положений, которые могут отрицательно воздействовать на состояние конкуренции:</w:t>
      </w:r>
    </w:p>
    <w:p w14:paraId="DF000000">
      <w:pPr>
        <w:widowControl w:val="1"/>
        <w:tabs>
          <w:tab w:leader="none" w:pos="1134" w:val="left"/>
        </w:tabs>
        <w:spacing w:line="276" w:lineRule="auto"/>
        <w:ind w:firstLine="709"/>
        <w:jc w:val="both"/>
        <w:rPr>
          <w:rFonts w:ascii="PT Astra Serif" w:hAnsi="PT Astra Serif"/>
          <w:b w:val="1"/>
          <w:color w:val="000000"/>
        </w:rPr>
      </w:pPr>
    </w:p>
    <w:tbl>
      <w:tblPr>
        <w:tblStyle w:val="Style_2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4"/>
        <w:gridCol w:w="4961"/>
        <w:gridCol w:w="1276"/>
        <w:gridCol w:w="2970"/>
      </w:tblGrid>
      <w:tr>
        <w:tc>
          <w:tcPr>
            <w:tcW w:type="dxa" w:w="70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0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both"/>
              <w:rPr>
                <w:rFonts w:ascii="PT Astra Serif" w:hAnsi="PT Astra Serif"/>
                <w:b w:val="1"/>
                <w:color w:val="000000"/>
              </w:rPr>
            </w:pPr>
            <w:r>
              <w:rPr>
                <w:rFonts w:ascii="PT Astra Serif" w:hAnsi="PT Astra Serif"/>
                <w:b w:val="1"/>
                <w:color w:val="000000"/>
              </w:rPr>
              <w:t>№</w:t>
            </w:r>
          </w:p>
        </w:tc>
        <w:tc>
          <w:tcPr>
            <w:tcW w:type="dxa" w:w="49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0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both"/>
              <w:rPr>
                <w:rFonts w:ascii="PT Astra Serif" w:hAnsi="PT Astra Serif"/>
                <w:b w:val="1"/>
                <w:color w:val="000000"/>
              </w:rPr>
            </w:pPr>
            <w:r>
              <w:rPr>
                <w:rFonts w:ascii="PT Astra Serif" w:hAnsi="PT Astra Serif"/>
                <w:b w:val="1"/>
                <w:color w:val="000000"/>
              </w:rPr>
              <w:t>Положение, которое может отрицательно воздействовать на состояние конкуренции</w:t>
            </w:r>
          </w:p>
        </w:tc>
        <w:tc>
          <w:tcPr>
            <w:tcW w:type="dxa" w:w="424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0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both"/>
              <w:rPr>
                <w:rFonts w:ascii="PT Astra Serif" w:hAnsi="PT Astra Serif"/>
                <w:b w:val="1"/>
                <w:color w:val="000000"/>
              </w:rPr>
            </w:pPr>
            <w:r>
              <w:rPr>
                <w:rFonts w:ascii="PT Astra Serif" w:hAnsi="PT Astra Serif"/>
                <w:b w:val="1"/>
                <w:color w:val="000000"/>
              </w:rPr>
              <w:t>Наличие положения в проекте акта</w:t>
            </w:r>
          </w:p>
        </w:tc>
      </w:tr>
      <w:tr>
        <w:tc>
          <w:tcPr>
            <w:tcW w:type="dxa" w:w="7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49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0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center"/>
              <w:rPr>
                <w:rFonts w:ascii="PT Astra Serif" w:hAnsi="PT Astra Serif"/>
                <w:b w:val="1"/>
                <w:color w:val="000000"/>
              </w:rPr>
            </w:pPr>
            <w:r>
              <w:rPr>
                <w:rFonts w:ascii="PT Astra Serif" w:hAnsi="PT Astra Serif"/>
                <w:b w:val="1"/>
                <w:color w:val="000000"/>
              </w:rPr>
              <w:t>Есть</w:t>
            </w:r>
            <w:r>
              <w:rPr>
                <w:rFonts w:ascii="PT Astra Serif" w:hAnsi="PT Astra Serif"/>
                <w:b w:val="1"/>
                <w:color w:val="000000"/>
              </w:rPr>
              <w:t>/</w:t>
            </w:r>
            <w:r>
              <w:rPr>
                <w:rFonts w:ascii="PT Astra Serif" w:hAnsi="PT Astra Serif"/>
                <w:b w:val="1"/>
                <w:color w:val="000000"/>
              </w:rPr>
              <w:t>нет</w:t>
            </w:r>
          </w:p>
        </w:tc>
        <w:tc>
          <w:tcPr>
            <w:tcW w:type="dxa" w:w="29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0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center"/>
              <w:rPr>
                <w:rFonts w:ascii="PT Astra Serif" w:hAnsi="PT Astra Serif"/>
                <w:b w:val="1"/>
                <w:color w:val="000000"/>
              </w:rPr>
            </w:pPr>
            <w:r>
              <w:rPr>
                <w:rFonts w:ascii="PT Astra Serif" w:hAnsi="PT Astra Serif"/>
                <w:b w:val="1"/>
                <w:color w:val="000000"/>
              </w:rPr>
              <w:t>С</w:t>
            </w:r>
            <w:r>
              <w:rPr>
                <w:rFonts w:ascii="PT Astra Serif" w:hAnsi="PT Astra Serif"/>
                <w:b w:val="1"/>
                <w:color w:val="000000"/>
              </w:rPr>
              <w:t>сылка на положение</w:t>
            </w: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0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both"/>
              <w:rPr>
                <w:rFonts w:ascii="PT Astra Serif" w:hAnsi="PT Astra Serif"/>
                <w:b w:val="1"/>
                <w:color w:val="000000"/>
              </w:rPr>
            </w:pPr>
            <w:r>
              <w:rPr>
                <w:rFonts w:ascii="PT Astra Serif" w:hAnsi="PT Astra Serif"/>
                <w:b w:val="1"/>
                <w:color w:val="000000"/>
              </w:rPr>
              <w:t>1.</w:t>
            </w:r>
          </w:p>
        </w:tc>
        <w:tc>
          <w:tcPr>
            <w:tcW w:type="dxa" w:w="920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0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both"/>
              <w:rPr>
                <w:rFonts w:ascii="PT Astra Serif" w:hAnsi="PT Astra Serif"/>
                <w:b w:val="1"/>
                <w:color w:val="000000"/>
              </w:rPr>
            </w:pPr>
            <w:r>
              <w:rPr>
                <w:rFonts w:ascii="PT Astra Serif" w:hAnsi="PT Astra Serif"/>
                <w:b w:val="1"/>
                <w:color w:val="000000"/>
              </w:rPr>
              <w:t>Ограничение количества или круга субъектов предпринимательской и иной экономической деятельности</w:t>
            </w: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0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1.1.</w:t>
            </w:r>
          </w:p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0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Предоставляет преимущество по продаже товаров, выполнению работ,</w:t>
            </w:r>
          </w:p>
          <w:p w14:paraId="E900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оказанию услуг субъекту (группе субъектов) предпринимательской и</w:t>
            </w:r>
          </w:p>
          <w:p w14:paraId="EA00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иной экономической деятельности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0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both"/>
              <w:rPr>
                <w:rFonts w:ascii="PT Astra Serif" w:hAnsi="PT Astra Serif"/>
                <w:b w:val="1"/>
                <w:color w:val="000000"/>
              </w:rPr>
            </w:pPr>
            <w:r>
              <w:rPr>
                <w:rFonts w:ascii="PT Astra Serif" w:hAnsi="PT Astra Serif"/>
                <w:b w:val="1"/>
                <w:color w:val="000000"/>
              </w:rPr>
              <w:t>Нет</w:t>
            </w:r>
          </w:p>
        </w:tc>
        <w:tc>
          <w:tcPr>
            <w:tcW w:type="dxa" w:w="29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0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both"/>
              <w:rPr>
                <w:rFonts w:ascii="PT Astra Serif" w:hAnsi="PT Astra Serif"/>
                <w:b w:val="1"/>
                <w:color w:val="000000"/>
              </w:rPr>
            </w:pP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0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1.2.</w:t>
            </w:r>
          </w:p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0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Ограничивает возможность субъектов предпринимательской и иной</w:t>
            </w:r>
          </w:p>
          <w:p w14:paraId="EF00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экономической деятельности продавать товары, выполнять работы,</w:t>
            </w:r>
          </w:p>
          <w:p w14:paraId="F000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оказывать услуги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0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both"/>
              <w:rPr>
                <w:rFonts w:ascii="PT Astra Serif" w:hAnsi="PT Astra Serif"/>
                <w:b w:val="1"/>
                <w:color w:val="000000"/>
              </w:rPr>
            </w:pPr>
            <w:r>
              <w:rPr>
                <w:rFonts w:ascii="PT Astra Serif" w:hAnsi="PT Astra Serif"/>
                <w:b w:val="1"/>
                <w:color w:val="000000"/>
              </w:rPr>
              <w:t>Нет</w:t>
            </w:r>
          </w:p>
        </w:tc>
        <w:tc>
          <w:tcPr>
            <w:tcW w:type="dxa" w:w="29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0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both"/>
              <w:rPr>
                <w:rFonts w:ascii="PT Astra Serif" w:hAnsi="PT Astra Serif"/>
                <w:b w:val="1"/>
                <w:color w:val="000000"/>
              </w:rPr>
            </w:pP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0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1.3.</w:t>
            </w:r>
          </w:p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0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Вводит требование по получению разрешения или согласования в</w:t>
            </w:r>
          </w:p>
          <w:p w14:paraId="F500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качестве условия для начала или продолжения деятельности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0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both"/>
              <w:rPr>
                <w:rFonts w:ascii="PT Astra Serif" w:hAnsi="PT Astra Serif"/>
                <w:b w:val="1"/>
                <w:color w:val="000000"/>
              </w:rPr>
            </w:pPr>
            <w:r>
              <w:rPr>
                <w:rFonts w:ascii="PT Astra Serif" w:hAnsi="PT Astra Serif"/>
                <w:b w:val="1"/>
                <w:color w:val="000000"/>
              </w:rPr>
              <w:t>Нет</w:t>
            </w:r>
          </w:p>
        </w:tc>
        <w:tc>
          <w:tcPr>
            <w:tcW w:type="dxa" w:w="29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0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both"/>
              <w:rPr>
                <w:rFonts w:ascii="PT Astra Serif" w:hAnsi="PT Astra Serif"/>
                <w:b w:val="1"/>
                <w:color w:val="000000"/>
              </w:rPr>
            </w:pP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0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1.4.</w:t>
            </w:r>
          </w:p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0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Создает географический барьер, ограничивающий возможность</w:t>
            </w:r>
          </w:p>
          <w:p w14:paraId="FA00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субъектов предпринимательской и иной экономической деятельности</w:t>
            </w:r>
          </w:p>
          <w:p w14:paraId="FB00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продавать товары, выполнять работы, оказывать услуги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0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both"/>
              <w:rPr>
                <w:rFonts w:ascii="PT Astra Serif" w:hAnsi="PT Astra Serif"/>
                <w:b w:val="1"/>
                <w:color w:val="000000"/>
              </w:rPr>
            </w:pPr>
            <w:r>
              <w:rPr>
                <w:rFonts w:ascii="PT Astra Serif" w:hAnsi="PT Astra Serif"/>
                <w:b w:val="1"/>
                <w:color w:val="000000"/>
              </w:rPr>
              <w:t>Нет</w:t>
            </w:r>
          </w:p>
        </w:tc>
        <w:tc>
          <w:tcPr>
            <w:tcW w:type="dxa" w:w="29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0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both"/>
              <w:rPr>
                <w:rFonts w:ascii="PT Astra Serif" w:hAnsi="PT Astra Serif"/>
                <w:b w:val="1"/>
                <w:color w:val="000000"/>
              </w:rPr>
            </w:pP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E00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both"/>
              <w:rPr>
                <w:rFonts w:ascii="PT Astra Serif" w:hAnsi="PT Astra Serif"/>
                <w:b w:val="1"/>
                <w:color w:val="000000"/>
              </w:rPr>
            </w:pPr>
            <w:r>
              <w:rPr>
                <w:rFonts w:ascii="PT Astra Serif" w:hAnsi="PT Astra Serif"/>
                <w:b w:val="1"/>
                <w:color w:val="000000"/>
              </w:rPr>
              <w:t>2.</w:t>
            </w:r>
          </w:p>
        </w:tc>
        <w:tc>
          <w:tcPr>
            <w:tcW w:type="dxa" w:w="920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F00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both"/>
              <w:rPr>
                <w:rFonts w:ascii="PT Astra Serif" w:hAnsi="PT Astra Serif"/>
                <w:b w:val="1"/>
                <w:color w:val="000000"/>
              </w:rPr>
            </w:pPr>
            <w:r>
              <w:rPr>
                <w:rFonts w:ascii="PT Astra Serif" w:hAnsi="PT Astra Serif"/>
                <w:b w:val="1"/>
                <w:color w:val="000000"/>
              </w:rPr>
              <w:t>Ограничение способности субъектов предпринимательской и иной экономической деятельности вести конкуренцию</w:t>
            </w: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1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2.1.</w:t>
            </w:r>
          </w:p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1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Ограничивает возможность субъектов предпринимательской и иной</w:t>
            </w:r>
          </w:p>
          <w:p w14:paraId="0201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экономической деятельности устанавливать цены на товары, работы или</w:t>
            </w:r>
          </w:p>
          <w:p w14:paraId="0301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услуги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1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both"/>
              <w:rPr>
                <w:rFonts w:ascii="PT Astra Serif" w:hAnsi="PT Astra Serif"/>
                <w:b w:val="1"/>
                <w:color w:val="000000"/>
              </w:rPr>
            </w:pPr>
            <w:r>
              <w:rPr>
                <w:rFonts w:ascii="PT Astra Serif" w:hAnsi="PT Astra Serif"/>
                <w:b w:val="1"/>
                <w:color w:val="000000"/>
              </w:rPr>
              <w:t>Нет</w:t>
            </w:r>
          </w:p>
        </w:tc>
        <w:tc>
          <w:tcPr>
            <w:tcW w:type="dxa" w:w="29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1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both"/>
              <w:rPr>
                <w:rFonts w:ascii="PT Astra Serif" w:hAnsi="PT Astra Serif"/>
                <w:b w:val="1"/>
                <w:color w:val="000000"/>
              </w:rPr>
            </w:pP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1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2.2.</w:t>
            </w:r>
          </w:p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1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Ограничивает свободу субъектов предпринимательской и иной</w:t>
            </w:r>
          </w:p>
          <w:p w14:paraId="0801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both"/>
              <w:rPr>
                <w:rFonts w:ascii="PT Astra Serif" w:hAnsi="PT Astra Serif"/>
                <w:color w:val="000000"/>
              </w:rPr>
            </w:pPr>
            <w:r>
              <w:rPr>
                <w:rFonts w:ascii="PT Astra Serif" w:hAnsi="PT Astra Serif"/>
                <w:color w:val="000000"/>
              </w:rPr>
              <w:t>экономической деятельности осуществлять рекламу или маркетинг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1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both"/>
              <w:rPr>
                <w:rFonts w:ascii="PT Astra Serif" w:hAnsi="PT Astra Serif"/>
                <w:b w:val="1"/>
                <w:color w:val="000000"/>
              </w:rPr>
            </w:pPr>
            <w:r>
              <w:rPr>
                <w:rFonts w:ascii="PT Astra Serif" w:hAnsi="PT Astra Serif"/>
                <w:b w:val="1"/>
                <w:color w:val="000000"/>
              </w:rPr>
              <w:t>Нет</w:t>
            </w:r>
          </w:p>
        </w:tc>
        <w:tc>
          <w:tcPr>
            <w:tcW w:type="dxa" w:w="29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1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both"/>
              <w:rPr>
                <w:rFonts w:ascii="PT Astra Serif" w:hAnsi="PT Astra Serif"/>
                <w:b w:val="1"/>
                <w:color w:val="000000"/>
              </w:rPr>
            </w:pPr>
          </w:p>
        </w:tc>
      </w:tr>
    </w:tbl>
    <w:p w14:paraId="0B010000">
      <w:pPr>
        <w:widowControl w:val="1"/>
        <w:tabs>
          <w:tab w:leader="none" w:pos="1134" w:val="left"/>
        </w:tabs>
        <w:spacing w:line="276" w:lineRule="auto"/>
        <w:ind w:firstLine="709"/>
        <w:jc w:val="both"/>
        <w:rPr>
          <w:rFonts w:ascii="PT Astra Serif" w:hAnsi="PT Astra Serif"/>
          <w:b w:val="1"/>
          <w:color w:val="000000"/>
        </w:rPr>
      </w:pPr>
      <w:r>
        <w:rPr>
          <w:rFonts w:ascii="PT Astra Serif" w:hAnsi="PT Astra Serif"/>
          <w:b w:val="1"/>
          <w:color w:val="000000"/>
        </w:rPr>
        <w:t xml:space="preserve">12.2. Обоснование необходимости введения указанных разработчиком положений (при наличии): </w:t>
      </w:r>
      <w:r>
        <w:rPr>
          <w:rFonts w:ascii="PT Astra Serif" w:hAnsi="PT Astra Serif"/>
          <w:b w:val="0"/>
          <w:color w:val="000000"/>
        </w:rPr>
        <w:t>не требуется.</w:t>
      </w:r>
    </w:p>
    <w:p w14:paraId="0C010000">
      <w:pPr>
        <w:widowControl w:val="1"/>
        <w:tabs>
          <w:tab w:leader="none" w:pos="1134" w:val="left"/>
        </w:tabs>
        <w:spacing w:line="276" w:lineRule="auto"/>
        <w:ind w:firstLine="709"/>
        <w:jc w:val="both"/>
        <w:rPr>
          <w:rFonts w:ascii="PT Astra Serif" w:hAnsi="PT Astra Serif"/>
          <w:b w:val="1"/>
          <w:color w:val="000000"/>
        </w:rPr>
      </w:pPr>
      <w:r>
        <w:rPr>
          <w:rFonts w:ascii="PT Astra Serif" w:hAnsi="PT Astra Serif"/>
          <w:b w:val="1"/>
          <w:color w:val="000000"/>
        </w:rPr>
        <w:t>12.3. Расчет риска отрицательного воздействия на состояние конкуренции:</w:t>
      </w:r>
    </w:p>
    <w:p w14:paraId="0D010000">
      <w:pPr>
        <w:widowControl w:val="1"/>
        <w:tabs>
          <w:tab w:leader="none" w:pos="1134" w:val="left"/>
        </w:tabs>
        <w:spacing w:line="276" w:lineRule="auto"/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</w:rPr>
        <w:t xml:space="preserve">Количество лиц, осуществляющих предпринимательскую и иную экономическую деятельность в регулируемой сфере, составляет 30 (источник: </w:t>
      </w:r>
      <w:r>
        <w:rPr>
          <w:color w:val="000000"/>
        </w:rPr>
        <w:t>Единый реестр субъектов малого и среднего предпринимательства</w:t>
      </w:r>
      <w:r>
        <w:rPr>
          <w:rFonts w:ascii="PT Astra Serif" w:hAnsi="PT Astra Serif"/>
          <w:color w:val="000000"/>
        </w:rPr>
        <w:t>). Из них соответствуют требованиям предлагаемого регулирования либо имеют возможность соответствовать им 30 (100% от указанного количества, доля).</w:t>
      </w:r>
    </w:p>
    <w:p w14:paraId="0E010000">
      <w:pPr>
        <w:widowControl w:val="1"/>
        <w:tabs>
          <w:tab w:leader="none" w:pos="1134" w:val="left"/>
        </w:tabs>
        <w:spacing w:line="276" w:lineRule="auto"/>
        <w:ind w:firstLine="709"/>
        <w:jc w:val="both"/>
        <w:rPr>
          <w:rFonts w:ascii="PT Astra Serif" w:hAnsi="PT Astra Serif"/>
          <w:b w:val="1"/>
          <w:color w:val="000000"/>
        </w:rPr>
      </w:pPr>
      <w:r>
        <w:rPr>
          <w:rFonts w:ascii="PT Astra Serif" w:hAnsi="PT Astra Serif"/>
          <w:b w:val="1"/>
          <w:color w:val="000000"/>
        </w:rPr>
        <w:t xml:space="preserve">Вводимое регулирование, </w:t>
      </w:r>
      <w:r>
        <w:rPr>
          <w:rFonts w:ascii="PT Astra Serif" w:hAnsi="PT Astra Serif"/>
          <w:b w:val="1"/>
          <w:color w:val="000000"/>
        </w:rPr>
        <w:t>в соответствии с таблице</w:t>
      </w:r>
      <w:r>
        <w:rPr>
          <w:rFonts w:ascii="PT Astra Serif" w:hAnsi="PT Astra Serif"/>
          <w:b w:val="1"/>
          <w:color w:val="000000"/>
        </w:rPr>
        <w:t>й</w:t>
      </w:r>
      <w:r>
        <w:rPr>
          <w:rFonts w:ascii="PT Astra Serif" w:hAnsi="PT Astra Serif"/>
          <w:b w:val="1"/>
          <w:color w:val="000000"/>
        </w:rPr>
        <w:t xml:space="preserve"> № </w:t>
      </w:r>
      <w:r>
        <w:rPr>
          <w:rFonts w:ascii="PT Astra Serif" w:hAnsi="PT Astra Serif"/>
          <w:b w:val="1"/>
          <w:color w:val="000000"/>
        </w:rPr>
        <w:t>1</w:t>
      </w:r>
      <w:r>
        <w:rPr>
          <w:rFonts w:ascii="PT Astra Serif" w:hAnsi="PT Astra Serif"/>
          <w:b w:val="1"/>
          <w:color w:val="000000"/>
        </w:rPr>
        <w:t>, обладает низкой степенью риска отрицательного воздействия на состояние конкуренции.</w:t>
      </w:r>
    </w:p>
    <w:p w14:paraId="0F010000">
      <w:pPr>
        <w:widowControl w:val="1"/>
        <w:tabs>
          <w:tab w:leader="none" w:pos="1134" w:val="left"/>
        </w:tabs>
        <w:spacing w:line="276" w:lineRule="auto"/>
        <w:ind w:firstLine="709"/>
        <w:jc w:val="right"/>
        <w:rPr>
          <w:rFonts w:ascii="PT Astra Serif" w:hAnsi="PT Astra Serif"/>
          <w:b w:val="1"/>
          <w:color w:val="000000"/>
        </w:rPr>
      </w:pPr>
      <w:r>
        <w:rPr>
          <w:rFonts w:ascii="PT Astra Serif" w:hAnsi="PT Astra Serif"/>
          <w:b w:val="1"/>
          <w:color w:val="000000"/>
        </w:rPr>
        <w:t>Таблица №1</w:t>
      </w:r>
    </w:p>
    <w:tbl>
      <w:tblPr>
        <w:tblStyle w:val="Style_2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382"/>
        <w:gridCol w:w="1559"/>
        <w:gridCol w:w="1418"/>
        <w:gridCol w:w="1552"/>
      </w:tblGrid>
      <w:tr>
        <w:tc>
          <w:tcPr>
            <w:tcW w:type="dxa" w:w="538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1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both"/>
              <w:rPr>
                <w:rFonts w:ascii="PT Astra Serif" w:hAnsi="PT Astra Serif"/>
                <w:b w:val="1"/>
                <w:color w:val="000000"/>
              </w:rPr>
            </w:pPr>
            <w:r>
              <w:rPr>
                <w:rFonts w:ascii="PT Astra Serif" w:hAnsi="PT Astra Serif"/>
                <w:b w:val="1"/>
                <w:color w:val="000000"/>
              </w:rPr>
              <w:t>Доля лиц, указанных в разделе 5 сводного отчета</w:t>
            </w:r>
          </w:p>
        </w:tc>
        <w:tc>
          <w:tcPr>
            <w:tcW w:type="dxa" w:w="4529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10000">
            <w:pPr>
              <w:widowControl w:val="1"/>
              <w:tabs>
                <w:tab w:leader="none" w:pos="1134" w:val="left"/>
              </w:tabs>
              <w:spacing w:line="276" w:lineRule="auto"/>
              <w:ind w:left="-33"/>
              <w:jc w:val="both"/>
              <w:rPr>
                <w:rFonts w:ascii="PT Astra Serif" w:hAnsi="PT Astra Serif"/>
                <w:b w:val="1"/>
                <w:color w:val="000000"/>
              </w:rPr>
            </w:pPr>
            <w:r>
              <w:rPr>
                <w:rFonts w:ascii="PT Astra Serif" w:hAnsi="PT Astra Serif"/>
                <w:b w:val="1"/>
                <w:color w:val="000000"/>
              </w:rPr>
              <w:t>Степень риска отрицательного воздействия</w:t>
            </w:r>
          </w:p>
        </w:tc>
      </w:tr>
      <w:tr>
        <w:tc>
          <w:tcPr>
            <w:tcW w:type="dxa" w:w="538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1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both"/>
              <w:rPr>
                <w:rFonts w:ascii="PT Astra Serif" w:hAnsi="PT Astra Serif"/>
                <w:b w:val="1"/>
                <w:color w:val="000000"/>
              </w:rPr>
            </w:pPr>
            <w:r>
              <w:rPr>
                <w:rFonts w:ascii="PT Astra Serif" w:hAnsi="PT Astra Serif"/>
                <w:b w:val="1"/>
                <w:color w:val="000000"/>
              </w:rPr>
              <w:t>высокая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1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both"/>
              <w:rPr>
                <w:rFonts w:ascii="PT Astra Serif" w:hAnsi="PT Astra Serif"/>
                <w:b w:val="1"/>
                <w:color w:val="000000"/>
              </w:rPr>
            </w:pPr>
            <w:r>
              <w:rPr>
                <w:rFonts w:ascii="PT Astra Serif" w:hAnsi="PT Astra Serif"/>
                <w:b w:val="1"/>
                <w:color w:val="000000"/>
              </w:rPr>
              <w:t>средняя</w:t>
            </w:r>
          </w:p>
        </w:tc>
        <w:tc>
          <w:tcPr>
            <w:tcW w:type="dxa" w:w="1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10000">
            <w:pPr>
              <w:widowControl w:val="1"/>
              <w:tabs>
                <w:tab w:leader="none" w:pos="1134" w:val="left"/>
              </w:tabs>
              <w:spacing w:line="276" w:lineRule="auto"/>
              <w:ind w:left="-33"/>
              <w:jc w:val="both"/>
              <w:rPr>
                <w:rFonts w:ascii="PT Astra Serif" w:hAnsi="PT Astra Serif"/>
                <w:b w:val="1"/>
                <w:color w:val="000000"/>
              </w:rPr>
            </w:pPr>
            <w:r>
              <w:rPr>
                <w:rFonts w:ascii="PT Astra Serif" w:hAnsi="PT Astra Serif"/>
                <w:b w:val="1"/>
                <w:color w:val="000000"/>
              </w:rPr>
              <w:t>низкая</w:t>
            </w:r>
          </w:p>
        </w:tc>
      </w:tr>
      <w:tr>
        <w:tc>
          <w:tcPr>
            <w:tcW w:type="dxa" w:w="5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1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center"/>
              <w:rPr>
                <w:rFonts w:ascii="PT Astra Serif" w:hAnsi="PT Astra Serif"/>
                <w:b w:val="1"/>
                <w:color w:val="000000"/>
              </w:rPr>
            </w:pPr>
            <w:r>
              <w:rPr>
                <w:rFonts w:ascii="PT Astra Serif" w:hAnsi="PT Astra Serif"/>
                <w:b w:val="1"/>
                <w:color w:val="000000"/>
              </w:rPr>
              <w:t>м</w:t>
            </w:r>
            <w:r>
              <w:rPr>
                <w:rFonts w:ascii="PT Astra Serif" w:hAnsi="PT Astra Serif"/>
                <w:b w:val="1"/>
                <w:color w:val="000000"/>
              </w:rPr>
              <w:t>енее 50%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10000">
            <w:pPr>
              <w:rPr>
                <w:color w:val="000000"/>
              </w:rPr>
            </w:pP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1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center"/>
              <w:rPr>
                <w:rFonts w:ascii="PT Astra Serif" w:hAnsi="PT Astra Serif"/>
                <w:b w:val="1"/>
                <w:color w:val="000000"/>
              </w:rPr>
            </w:pPr>
          </w:p>
        </w:tc>
        <w:tc>
          <w:tcPr>
            <w:tcW w:type="dxa" w:w="1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1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center"/>
              <w:rPr>
                <w:rFonts w:ascii="PT Astra Serif" w:hAnsi="PT Astra Serif"/>
                <w:b w:val="1"/>
                <w:color w:val="000000"/>
              </w:rPr>
            </w:pPr>
            <w:r>
              <w:rPr>
                <w:rFonts w:ascii="PT Astra Serif" w:hAnsi="PT Astra Serif"/>
                <w:b w:val="1"/>
                <w:color w:val="000000"/>
              </w:rPr>
              <w:t>+</w:t>
            </w:r>
          </w:p>
        </w:tc>
      </w:tr>
      <w:tr>
        <w:tc>
          <w:tcPr>
            <w:tcW w:type="dxa" w:w="5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1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center"/>
              <w:rPr>
                <w:rFonts w:ascii="PT Astra Serif" w:hAnsi="PT Astra Serif"/>
                <w:b w:val="1"/>
                <w:color w:val="000000"/>
              </w:rPr>
            </w:pPr>
            <w:r>
              <w:rPr>
                <w:rFonts w:ascii="PT Astra Serif" w:hAnsi="PT Astra Serif"/>
                <w:b w:val="1"/>
                <w:color w:val="000000"/>
              </w:rPr>
              <w:t>о</w:t>
            </w:r>
            <w:r>
              <w:rPr>
                <w:rFonts w:ascii="PT Astra Serif" w:hAnsi="PT Astra Serif"/>
                <w:b w:val="1"/>
                <w:color w:val="000000"/>
              </w:rPr>
              <w:t>т 50 до 80%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1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center"/>
              <w:rPr>
                <w:rFonts w:ascii="PT Astra Serif" w:hAnsi="PT Astra Serif"/>
                <w:b w:val="1"/>
                <w:color w:val="000000"/>
              </w:rPr>
            </w:pP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10000">
            <w:pPr>
              <w:rPr>
                <w:color w:val="000000"/>
              </w:rPr>
            </w:pPr>
          </w:p>
        </w:tc>
        <w:tc>
          <w:tcPr>
            <w:tcW w:type="dxa" w:w="1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1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center"/>
              <w:rPr>
                <w:rFonts w:ascii="PT Astra Serif" w:hAnsi="PT Astra Serif"/>
                <w:b w:val="1"/>
                <w:color w:val="000000"/>
              </w:rPr>
            </w:pPr>
            <w:r>
              <w:rPr>
                <w:rFonts w:ascii="PT Astra Serif" w:hAnsi="PT Astra Serif"/>
                <w:b w:val="1"/>
                <w:color w:val="000000"/>
              </w:rPr>
              <w:t>+</w:t>
            </w:r>
          </w:p>
        </w:tc>
      </w:tr>
      <w:tr>
        <w:tc>
          <w:tcPr>
            <w:tcW w:type="dxa" w:w="53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1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center"/>
              <w:rPr>
                <w:rFonts w:ascii="PT Astra Serif" w:hAnsi="PT Astra Serif"/>
                <w:b w:val="1"/>
                <w:color w:val="000000"/>
              </w:rPr>
            </w:pPr>
            <w:r>
              <w:rPr>
                <w:rFonts w:ascii="PT Astra Serif" w:hAnsi="PT Astra Serif"/>
                <w:b w:val="1"/>
                <w:color w:val="000000"/>
              </w:rPr>
              <w:t>б</w:t>
            </w:r>
            <w:r>
              <w:rPr>
                <w:rFonts w:ascii="PT Astra Serif" w:hAnsi="PT Astra Serif"/>
                <w:b w:val="1"/>
                <w:color w:val="000000"/>
              </w:rPr>
              <w:t>олее 80%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1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center"/>
              <w:rPr>
                <w:rFonts w:ascii="PT Astra Serif" w:hAnsi="PT Astra Serif"/>
                <w:b w:val="1"/>
                <w:color w:val="000000"/>
              </w:rPr>
            </w:pP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1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center"/>
              <w:rPr>
                <w:rFonts w:ascii="PT Astra Serif" w:hAnsi="PT Astra Serif"/>
                <w:b w:val="1"/>
                <w:color w:val="000000"/>
              </w:rPr>
            </w:pPr>
          </w:p>
        </w:tc>
        <w:tc>
          <w:tcPr>
            <w:tcW w:type="dxa" w:w="15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10000">
            <w:pPr>
              <w:widowControl w:val="1"/>
              <w:tabs>
                <w:tab w:leader="none" w:pos="1134" w:val="left"/>
              </w:tabs>
              <w:spacing w:line="276" w:lineRule="auto"/>
              <w:ind/>
              <w:jc w:val="center"/>
              <w:rPr>
                <w:rFonts w:ascii="PT Astra Serif" w:hAnsi="PT Astra Serif"/>
                <w:b w:val="1"/>
                <w:color w:val="000000"/>
              </w:rPr>
            </w:pPr>
            <w:r>
              <w:rPr>
                <w:rFonts w:ascii="PT Astra Serif" w:hAnsi="PT Astra Serif"/>
                <w:b w:val="1"/>
                <w:color w:val="000000"/>
              </w:rPr>
              <w:t>+</w:t>
            </w:r>
          </w:p>
        </w:tc>
      </w:tr>
    </w:tbl>
    <w:p w14:paraId="21010000">
      <w:pPr>
        <w:widowControl w:val="1"/>
        <w:tabs>
          <w:tab w:leader="none" w:pos="1134" w:val="left"/>
        </w:tabs>
        <w:spacing w:line="276" w:lineRule="auto"/>
        <w:ind/>
        <w:jc w:val="both"/>
        <w:rPr>
          <w:rFonts w:ascii="PT Astra Serif" w:hAnsi="PT Astra Serif"/>
          <w:b w:val="1"/>
          <w:color w:val="000000"/>
        </w:rPr>
      </w:pPr>
    </w:p>
    <w:p w14:paraId="22010000">
      <w:pPr>
        <w:widowControl w:val="1"/>
        <w:tabs>
          <w:tab w:leader="none" w:pos="1134" w:val="left"/>
        </w:tabs>
        <w:spacing w:line="276" w:lineRule="auto"/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b w:val="1"/>
          <w:color w:val="000000"/>
        </w:rPr>
        <w:t>13</w:t>
      </w:r>
      <w:r>
        <w:rPr>
          <w:rFonts w:ascii="PT Astra Serif" w:hAnsi="PT Astra Serif"/>
          <w:b w:val="1"/>
          <w:color w:val="000000"/>
        </w:rPr>
        <w:t>.</w:t>
      </w:r>
      <w:r>
        <w:rPr>
          <w:rFonts w:ascii="PT Astra Serif" w:hAnsi="PT Astra Serif"/>
          <w:b w:val="1"/>
          <w:color w:val="000000"/>
        </w:rPr>
        <w:tab/>
      </w:r>
      <w:r>
        <w:rPr>
          <w:rFonts w:ascii="PT Astra Serif" w:hAnsi="PT Astra Serif"/>
          <w:b w:val="1"/>
          <w:color w:val="000000"/>
        </w:rPr>
        <w:t>Оценка необходимости установления переходного периода и (или) отсрочки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отношения:</w:t>
      </w:r>
    </w:p>
    <w:p w14:paraId="23010000">
      <w:pPr>
        <w:widowControl w:val="0"/>
        <w:tabs>
          <w:tab w:leader="none" w:pos="1134" w:val="left"/>
        </w:tabs>
        <w:spacing w:line="276" w:lineRule="auto"/>
        <w:ind w:firstLine="709"/>
        <w:jc w:val="both"/>
        <w:rPr>
          <w:rFonts w:ascii="PT Astra Serif" w:hAnsi="PT Astra Serif"/>
          <w:color w:val="000000"/>
          <w:u w:val="single"/>
        </w:rPr>
      </w:pPr>
      <w:r>
        <w:rPr>
          <w:rFonts w:ascii="PT Astra Serif" w:hAnsi="PT Astra Serif"/>
          <w:color w:val="000000"/>
          <w:u w:val="single"/>
        </w:rPr>
        <w:t>13</w:t>
      </w:r>
      <w:r>
        <w:rPr>
          <w:rFonts w:ascii="PT Astra Serif" w:hAnsi="PT Astra Serif"/>
          <w:color w:val="000000"/>
          <w:u w:val="single"/>
        </w:rPr>
        <w:t>.1.</w:t>
      </w:r>
      <w:r>
        <w:rPr>
          <w:rFonts w:ascii="PT Astra Serif" w:hAnsi="PT Astra Serif"/>
          <w:color w:val="000000"/>
          <w:u w:val="single"/>
        </w:rPr>
        <w:tab/>
      </w:r>
      <w:r>
        <w:rPr>
          <w:rFonts w:ascii="PT Astra Serif" w:hAnsi="PT Astra Serif"/>
          <w:color w:val="000000"/>
          <w:u w:val="single"/>
        </w:rPr>
        <w:t>Предполагаемая дата вступления в силу нормативного правового акта:</w:t>
      </w:r>
    </w:p>
    <w:p w14:paraId="24010000">
      <w:pPr>
        <w:widowControl w:val="0"/>
        <w:tabs>
          <w:tab w:leader="none" w:pos="1134" w:val="left"/>
        </w:tabs>
        <w:spacing w:line="276" w:lineRule="auto"/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  <w:u w:val="single"/>
        </w:rPr>
        <w:t>«01 »</w:t>
      </w:r>
      <w:r>
        <w:rPr>
          <w:rFonts w:ascii="PT Astra Serif" w:hAnsi="PT Astra Serif"/>
          <w:color w:val="000000"/>
          <w:u w:val="single"/>
        </w:rPr>
        <w:t xml:space="preserve"> марта </w:t>
      </w:r>
      <w:r>
        <w:rPr>
          <w:rFonts w:ascii="PT Astra Serif" w:hAnsi="PT Astra Serif"/>
          <w:color w:val="000000"/>
        </w:rPr>
        <w:t xml:space="preserve"> </w:t>
      </w:r>
      <w:r>
        <w:rPr>
          <w:rFonts w:ascii="PT Astra Serif" w:hAnsi="PT Astra Serif"/>
          <w:color w:val="000000"/>
          <w:u w:val="single"/>
        </w:rPr>
        <w:t xml:space="preserve">2027 г. </w:t>
      </w:r>
    </w:p>
    <w:p w14:paraId="25010000">
      <w:pPr>
        <w:widowControl w:val="0"/>
        <w:tabs>
          <w:tab w:leader="none" w:pos="1134" w:val="left"/>
        </w:tabs>
        <w:spacing w:line="276" w:lineRule="auto"/>
        <w:ind w:firstLine="709"/>
        <w:jc w:val="both"/>
        <w:rPr>
          <w:rFonts w:ascii="Times New Roman" w:hAnsi="Times New Roman"/>
          <w:b w:val="0"/>
          <w:color w:val="000000"/>
          <w:sz w:val="24"/>
        </w:rPr>
      </w:pPr>
      <w:r>
        <w:rPr>
          <w:rFonts w:ascii="PT Astra Serif" w:hAnsi="PT Astra Serif"/>
          <w:color w:val="000000"/>
          <w:u w:val="single"/>
        </w:rPr>
        <w:t>13</w:t>
      </w:r>
      <w:r>
        <w:rPr>
          <w:rFonts w:ascii="PT Astra Serif" w:hAnsi="PT Astra Serif"/>
          <w:color w:val="000000"/>
          <w:u w:val="single"/>
        </w:rPr>
        <w:t>.2.</w:t>
      </w:r>
      <w:r>
        <w:rPr>
          <w:rFonts w:ascii="PT Astra Serif" w:hAnsi="PT Astra Serif"/>
          <w:color w:val="000000"/>
          <w:u w:val="single"/>
        </w:rPr>
        <w:tab/>
      </w:r>
      <w:r>
        <w:rPr>
          <w:rFonts w:ascii="PT Astra Serif" w:hAnsi="PT Astra Serif"/>
          <w:color w:val="000000"/>
          <w:u w:val="single"/>
        </w:rPr>
        <w:t>Необходимость установления переходного периода и (или) отсрочки введения предлагаемого правового регулирования:</w:t>
      </w:r>
      <w:r>
        <w:rPr>
          <w:rFonts w:ascii="PT Astra Serif" w:hAnsi="PT Astra Serif"/>
          <w:color w:val="000000"/>
        </w:rPr>
        <w:t xml:space="preserve"> с</w:t>
      </w:r>
      <w:r>
        <w:rPr>
          <w:rFonts w:ascii="Times New Roman" w:hAnsi="Times New Roman"/>
          <w:b w:val="0"/>
          <w:color w:val="000000"/>
          <w:sz w:val="24"/>
        </w:rPr>
        <w:t xml:space="preserve"> учетом положен</w:t>
      </w:r>
      <w:r>
        <w:rPr>
          <w:rFonts w:ascii="Times New Roman" w:hAnsi="Times New Roman"/>
          <w:b w:val="0"/>
          <w:color w:val="000000"/>
          <w:sz w:val="24"/>
        </w:rPr>
        <w:t xml:space="preserve">ий </w:t>
      </w:r>
      <w:r>
        <w:rPr>
          <w:rFonts w:ascii="Times New Roman" w:hAnsi="Times New Roman"/>
          <w:b w:val="0"/>
          <w:color w:val="000000"/>
          <w:sz w:val="24"/>
        </w:rPr>
        <w:t>Федерального закона от 31.07.2020 № 247-ФЗ «</w:t>
      </w:r>
      <w:r>
        <w:rPr>
          <w:rFonts w:ascii="Times New Roman" w:hAnsi="Times New Roman"/>
          <w:b w:val="0"/>
          <w:color w:val="000000"/>
          <w:sz w:val="24"/>
        </w:rPr>
        <w:t>Об обязательных требованиях в Российской Федерации» предлагается следующий п</w:t>
      </w:r>
      <w:r>
        <w:rPr>
          <w:rFonts w:ascii="Times New Roman" w:hAnsi="Times New Roman"/>
          <w:b w:val="0"/>
          <w:color w:val="000000"/>
          <w:sz w:val="24"/>
        </w:rPr>
        <w:t xml:space="preserve">орядок вступления в силу законодательного акта - </w:t>
      </w:r>
      <w:r>
        <w:rPr>
          <w:rFonts w:ascii="Times New Roman" w:hAnsi="Times New Roman"/>
          <w:b w:val="0"/>
          <w:color w:val="000000"/>
          <w:sz w:val="24"/>
        </w:rPr>
        <w:t>с 01 марта 2027 года, но не ранее чем по истечении девяноста дней после дня его официального опубликования.</w:t>
      </w:r>
    </w:p>
    <w:p w14:paraId="26010000">
      <w:pPr>
        <w:widowControl w:val="0"/>
        <w:tabs>
          <w:tab w:leader="none" w:pos="1134" w:val="left"/>
        </w:tabs>
        <w:spacing w:line="276" w:lineRule="auto"/>
        <w:ind w:firstLine="709"/>
        <w:jc w:val="both"/>
        <w:rPr>
          <w:rFonts w:ascii="PT Astra Serif" w:hAnsi="PT Astra Serif"/>
          <w:color w:val="000000"/>
          <w:u w:val="single"/>
        </w:rPr>
      </w:pPr>
      <w:r>
        <w:rPr>
          <w:rFonts w:ascii="PT Astra Serif" w:hAnsi="PT Astra Serif"/>
          <w:color w:val="000000"/>
          <w:u w:val="single"/>
        </w:rPr>
        <w:t>13</w:t>
      </w:r>
      <w:r>
        <w:rPr>
          <w:rFonts w:ascii="PT Astra Serif" w:hAnsi="PT Astra Serif"/>
          <w:color w:val="000000"/>
          <w:u w:val="single"/>
        </w:rPr>
        <w:t>.3.</w:t>
      </w:r>
      <w:r>
        <w:rPr>
          <w:rFonts w:ascii="PT Astra Serif" w:hAnsi="PT Astra Serif"/>
          <w:color w:val="000000"/>
          <w:u w:val="single"/>
        </w:rPr>
        <w:tab/>
      </w:r>
      <w:r>
        <w:rPr>
          <w:rFonts w:ascii="PT Astra Serif" w:hAnsi="PT Astra Serif"/>
          <w:color w:val="000000"/>
          <w:u w:val="single"/>
        </w:rPr>
        <w:t xml:space="preserve">Необходимость </w:t>
      </w:r>
      <w:r>
        <w:rPr>
          <w:rFonts w:ascii="PT Astra Serif" w:hAnsi="PT Astra Serif"/>
          <w:color w:val="000000"/>
          <w:u w:val="single"/>
        </w:rPr>
        <w:t xml:space="preserve">внесения изменений в действующие нормативные акты Республики Саха (Якутия): </w:t>
      </w:r>
    </w:p>
    <w:p w14:paraId="27010000">
      <w:pPr>
        <w:widowControl w:val="1"/>
        <w:ind w:firstLine="708"/>
        <w:jc w:val="both"/>
        <w:rPr>
          <w:rFonts w:ascii="Times New Roman" w:hAnsi="Times New Roman"/>
          <w:b w:val="0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Принятие </w:t>
      </w:r>
      <w:r>
        <w:rPr>
          <w:rFonts w:ascii="Times New Roman" w:hAnsi="Times New Roman"/>
          <w:color w:val="000000"/>
          <w:sz w:val="24"/>
        </w:rPr>
        <w:t>законопроекта</w:t>
      </w:r>
      <w:r>
        <w:rPr>
          <w:rFonts w:ascii="Times New Roman" w:hAnsi="Times New Roman"/>
          <w:b w:val="0"/>
          <w:color w:val="000000"/>
          <w:sz w:val="24"/>
        </w:rPr>
        <w:t xml:space="preserve"> потребует внесения изменений в </w:t>
      </w:r>
      <w:r>
        <w:rPr>
          <w:rFonts w:ascii="Times New Roman" w:hAnsi="Times New Roman"/>
          <w:b w:val="0"/>
          <w:color w:val="000000"/>
          <w:sz w:val="24"/>
        </w:rPr>
        <w:t>Кодекс Республики Саха (Якутия) об административных правонарушениях</w:t>
      </w:r>
      <w:r>
        <w:rPr>
          <w:rFonts w:ascii="Times New Roman" w:hAnsi="Times New Roman"/>
          <w:color w:val="000000"/>
          <w:sz w:val="24"/>
        </w:rPr>
        <w:t xml:space="preserve">», </w:t>
      </w:r>
      <w:r>
        <w:rPr>
          <w:b w:val="0"/>
          <w:color w:val="000000"/>
        </w:rPr>
        <w:t>Закон Республики Саха (Якутия) от 26.05.2010 837-З N 567-IV «</w:t>
      </w:r>
      <w:r>
        <w:rPr>
          <w:b w:val="0"/>
          <w:color w:val="000000"/>
        </w:rPr>
        <w:t>О наделении органов местного самоуправления муниципальных районов и городских округов Республики Саха (Якутия) отдельными государственными полномочиями по созданию административных комиссий и определению перечня должностных лиц, уполномоченных составлять протоколы об административных правонарушениях, предусмотренных Кодексом Республики Саха (Якутия) об административных правонарушениях»</w:t>
      </w:r>
      <w:r>
        <w:rPr>
          <w:rFonts w:ascii="Times New Roman" w:hAnsi="Times New Roman"/>
          <w:color w:val="000000"/>
          <w:sz w:val="24"/>
        </w:rPr>
        <w:t xml:space="preserve"> в части введения нормы, предусматривающей ответственность за нарушение запрета продажи </w:t>
      </w:r>
      <w:r>
        <w:rPr>
          <w:rFonts w:ascii="Times New Roman" w:hAnsi="Times New Roman"/>
          <w:b w:val="0"/>
          <w:color w:val="000000"/>
          <w:sz w:val="24"/>
        </w:rPr>
        <w:t>горюче-смазочных матери</w:t>
      </w:r>
      <w:r>
        <w:rPr>
          <w:rFonts w:ascii="Times New Roman" w:hAnsi="Times New Roman"/>
          <w:b w:val="0"/>
          <w:color w:val="000000"/>
          <w:sz w:val="24"/>
        </w:rPr>
        <w:t>алов</w:t>
      </w:r>
      <w:r>
        <w:rPr>
          <w:rFonts w:ascii="Times New Roman" w:hAnsi="Times New Roman"/>
          <w:b w:val="0"/>
          <w:color w:val="000000"/>
          <w:sz w:val="24"/>
        </w:rPr>
        <w:t xml:space="preserve"> несовершеннолетним, </w:t>
      </w:r>
      <w:r>
        <w:rPr>
          <w:rFonts w:ascii="Times New Roman" w:hAnsi="Times New Roman"/>
          <w:b w:val="0"/>
          <w:color w:val="000000"/>
          <w:sz w:val="24"/>
        </w:rPr>
        <w:t>за исключением случаев продажи топлива при заправке транспортных средств лицам, достигшим шестнадцатилетнего возраста, имеющим право на управление транспортными средствами, а также определения полномочий органов и должностных лиц, уполномоченных составлять протоколы об административных правонарушениях рассматриваемой категории, и рассматривать такие дела</w:t>
      </w:r>
      <w:r>
        <w:rPr>
          <w:rFonts w:ascii="Times New Roman" w:hAnsi="Times New Roman"/>
          <w:b w:val="0"/>
          <w:color w:val="000000"/>
          <w:sz w:val="24"/>
        </w:rPr>
        <w:t>.</w:t>
      </w:r>
    </w:p>
    <w:p w14:paraId="28010000">
      <w:pPr>
        <w:widowControl w:val="0"/>
        <w:tabs>
          <w:tab w:leader="none" w:pos="1134" w:val="left"/>
        </w:tabs>
        <w:spacing w:line="276" w:lineRule="auto"/>
        <w:ind w:firstLine="709"/>
        <w:jc w:val="both"/>
        <w:rPr>
          <w:rFonts w:ascii="PT Astra Serif" w:hAnsi="PT Astra Serif"/>
          <w:color w:val="000000"/>
        </w:rPr>
      </w:pPr>
      <w:r>
        <w:rPr>
          <w:rFonts w:ascii="PT Astra Serif" w:hAnsi="PT Astra Serif"/>
          <w:color w:val="000000"/>
          <w:u w:val="single"/>
        </w:rPr>
        <w:t>13</w:t>
      </w:r>
      <w:r>
        <w:rPr>
          <w:rFonts w:ascii="PT Astra Serif" w:hAnsi="PT Astra Serif"/>
          <w:color w:val="000000"/>
          <w:u w:val="single"/>
        </w:rPr>
        <w:t>.3.1.</w:t>
      </w:r>
      <w:r>
        <w:rPr>
          <w:rFonts w:ascii="PT Astra Serif" w:hAnsi="PT Astra Serif"/>
          <w:color w:val="000000"/>
          <w:u w:val="single"/>
        </w:rPr>
        <w:tab/>
      </w:r>
      <w:r>
        <w:rPr>
          <w:rFonts w:ascii="PT Astra Serif" w:hAnsi="PT Astra Serif"/>
          <w:color w:val="000000"/>
          <w:u w:val="single"/>
        </w:rPr>
        <w:t>Период распространения на ранее возникшие отношения:</w:t>
      </w:r>
      <w:r>
        <w:rPr>
          <w:rFonts w:ascii="PT Astra Serif" w:hAnsi="PT Astra Serif"/>
          <w:color w:val="000000"/>
        </w:rPr>
        <w:t xml:space="preserve"> </w:t>
      </w:r>
      <w:r>
        <w:rPr>
          <w:rFonts w:ascii="PT Astra Serif" w:hAnsi="PT Astra Serif"/>
          <w:color w:val="000000"/>
        </w:rPr>
        <w:t>нет</w:t>
      </w:r>
      <w:r>
        <w:rPr>
          <w:rFonts w:ascii="PT Astra Serif" w:hAnsi="PT Astra Serif"/>
          <w:color w:val="000000"/>
        </w:rPr>
        <w:t xml:space="preserve"> </w:t>
      </w:r>
    </w:p>
    <w:p w14:paraId="29010000">
      <w:pPr>
        <w:widowControl w:val="0"/>
        <w:tabs>
          <w:tab w:leader="none" w:pos="1134" w:val="left"/>
        </w:tabs>
        <w:spacing w:line="276" w:lineRule="auto"/>
        <w:ind w:firstLine="709"/>
        <w:jc w:val="both"/>
        <w:rPr>
          <w:rFonts w:ascii="Times New Roman" w:hAnsi="Times New Roman"/>
          <w:b w:val="0"/>
          <w:color w:val="000000"/>
          <w:sz w:val="24"/>
        </w:rPr>
      </w:pPr>
      <w:r>
        <w:rPr>
          <w:rFonts w:ascii="PT Astra Serif" w:hAnsi="PT Astra Serif"/>
          <w:color w:val="000000"/>
          <w:u w:val="single"/>
        </w:rPr>
        <w:t>13</w:t>
      </w:r>
      <w:r>
        <w:rPr>
          <w:rFonts w:ascii="PT Astra Serif" w:hAnsi="PT Astra Serif"/>
          <w:color w:val="000000"/>
          <w:u w:val="single"/>
        </w:rPr>
        <w:t>.4.</w:t>
      </w:r>
      <w:r>
        <w:rPr>
          <w:rFonts w:ascii="PT Astra Serif" w:hAnsi="PT Astra Serif"/>
          <w:color w:val="000000"/>
          <w:u w:val="single"/>
        </w:rPr>
        <w:tab/>
      </w:r>
      <w:r>
        <w:rPr>
          <w:rFonts w:ascii="PT Astra Serif" w:hAnsi="PT Astra Serif"/>
          <w:color w:val="000000"/>
          <w:u w:val="single"/>
        </w:rPr>
        <w:t>Обоснование необходимости установления переходного периода и (или) отсрочки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отношения:</w:t>
      </w:r>
      <w:r>
        <w:rPr>
          <w:rFonts w:ascii="PT Astra Serif" w:hAnsi="PT Astra Serif"/>
          <w:color w:val="000000"/>
          <w:sz w:val="24"/>
          <w:u w:val="single"/>
        </w:rPr>
        <w:t xml:space="preserve"> с</w:t>
      </w:r>
      <w:r>
        <w:rPr>
          <w:rFonts w:ascii="Times New Roman" w:hAnsi="Times New Roman"/>
          <w:b w:val="0"/>
          <w:color w:val="000000"/>
          <w:sz w:val="24"/>
        </w:rPr>
        <w:t xml:space="preserve"> учетом положен</w:t>
      </w:r>
      <w:r>
        <w:rPr>
          <w:rFonts w:ascii="Times New Roman" w:hAnsi="Times New Roman"/>
          <w:b w:val="0"/>
          <w:color w:val="000000"/>
          <w:sz w:val="24"/>
        </w:rPr>
        <w:t xml:space="preserve">ий </w:t>
      </w:r>
      <w:r>
        <w:rPr>
          <w:rFonts w:ascii="Times New Roman" w:hAnsi="Times New Roman"/>
          <w:b w:val="0"/>
          <w:color w:val="000000"/>
          <w:sz w:val="24"/>
        </w:rPr>
        <w:t>Федерального закона от 31.07.2020 № 247-ФЗ «</w:t>
      </w:r>
      <w:r>
        <w:rPr>
          <w:rFonts w:ascii="Times New Roman" w:hAnsi="Times New Roman"/>
          <w:b w:val="0"/>
          <w:color w:val="000000"/>
          <w:sz w:val="24"/>
        </w:rPr>
        <w:t>Об обязательных требованиях в Российской Федерации» предлагается следующий п</w:t>
      </w:r>
      <w:r>
        <w:rPr>
          <w:rFonts w:ascii="Times New Roman" w:hAnsi="Times New Roman"/>
          <w:b w:val="0"/>
          <w:color w:val="000000"/>
          <w:sz w:val="24"/>
        </w:rPr>
        <w:t xml:space="preserve">орядок вступления в силу законодательного акта - </w:t>
      </w:r>
      <w:r>
        <w:rPr>
          <w:rFonts w:ascii="Times New Roman" w:hAnsi="Times New Roman"/>
          <w:b w:val="0"/>
          <w:color w:val="000000"/>
          <w:sz w:val="24"/>
        </w:rPr>
        <w:t>с 01 марта 2027 года, но не ранее чем по истечении девяноста дней после дня его официального опубликования.</w:t>
      </w:r>
    </w:p>
    <w:p w14:paraId="2A010000">
      <w:pPr>
        <w:widowControl w:val="0"/>
        <w:tabs>
          <w:tab w:leader="none" w:pos="1134" w:val="left"/>
        </w:tabs>
        <w:spacing w:line="276" w:lineRule="auto"/>
        <w:ind w:firstLine="709"/>
        <w:jc w:val="both"/>
        <w:rPr>
          <w:rFonts w:ascii="PT Astra Serif" w:hAnsi="PT Astra Serif"/>
          <w:color w:val="000000"/>
        </w:rPr>
      </w:pPr>
    </w:p>
    <w:p w14:paraId="2B010000">
      <w:pPr>
        <w:widowControl w:val="0"/>
        <w:spacing w:line="276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b w:val="1"/>
        </w:rPr>
        <w:t>Заполняется по итогам проведения публичных консультаций по проекту нормативного правового акта и сводного отчета:</w:t>
      </w:r>
    </w:p>
    <w:p w14:paraId="2C010000">
      <w:pPr>
        <w:widowControl w:val="0"/>
        <w:spacing w:line="276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14</w:t>
      </w:r>
      <w:r>
        <w:rPr>
          <w:rFonts w:ascii="PT Astra Serif" w:hAnsi="PT Astra Serif"/>
        </w:rPr>
        <w:t>.</w:t>
      </w:r>
      <w:r>
        <w:rPr>
          <w:rFonts w:ascii="PT Astra Serif" w:hAnsi="PT Astra Serif"/>
        </w:rPr>
        <w:tab/>
      </w:r>
      <w:r>
        <w:rPr>
          <w:rFonts w:ascii="PT Astra Serif" w:hAnsi="PT Astra Serif"/>
        </w:rPr>
        <w:t xml:space="preserve">Информация о сроках проведения публичных консультаций по проекту нормативного правового акта и сводному отчету: </w:t>
      </w:r>
    </w:p>
    <w:p w14:paraId="2D010000">
      <w:pPr>
        <w:widowControl w:val="0"/>
        <w:spacing w:line="276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14</w:t>
      </w:r>
      <w:r>
        <w:rPr>
          <w:rFonts w:ascii="PT Astra Serif" w:hAnsi="PT Astra Serif"/>
        </w:rPr>
        <w:t>.1. Срок, в течение которого принимались предложения в связи с публичными консультациями по проекту нормативного правового акта и сводному отчету об оценке регулирующего воздействия:</w:t>
      </w:r>
    </w:p>
    <w:p w14:paraId="2E010000">
      <w:pPr>
        <w:widowControl w:val="0"/>
        <w:spacing w:line="276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начало: 01.10.2026</w:t>
      </w:r>
    </w:p>
    <w:p w14:paraId="2F010000">
      <w:pPr>
        <w:widowControl w:val="0"/>
        <w:spacing w:line="276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окончание:</w:t>
      </w:r>
      <w:r>
        <w:rPr>
          <w:rFonts w:ascii="PT Astra Serif" w:hAnsi="PT Astra Serif"/>
        </w:rPr>
        <w:t xml:space="preserve"> 28.10.2026</w:t>
      </w:r>
    </w:p>
    <w:p w14:paraId="30010000">
      <w:pPr>
        <w:widowControl w:val="0"/>
        <w:spacing w:line="276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14</w:t>
      </w:r>
      <w:r>
        <w:rPr>
          <w:rFonts w:ascii="PT Astra Serif" w:hAnsi="PT Astra Serif"/>
        </w:rPr>
        <w:t>.2. Сведения о количестве замечаний и предложений, полученных в ходе публичных консультаций по проекту нормативного правового акта:</w:t>
      </w:r>
    </w:p>
    <w:p w14:paraId="31010000">
      <w:pPr>
        <w:widowControl w:val="0"/>
        <w:spacing w:line="276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Всего замечаний и предложений:</w:t>
      </w:r>
      <w:r>
        <w:rPr>
          <w:rFonts w:ascii="PT Astra Serif" w:hAnsi="PT Astra Serif"/>
        </w:rPr>
        <w:t xml:space="preserve"> </w:t>
      </w:r>
    </w:p>
    <w:p w14:paraId="32010000">
      <w:pPr>
        <w:widowControl w:val="0"/>
        <w:spacing w:line="276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полностью: , учтено частично: </w:t>
      </w:r>
    </w:p>
    <w:p w14:paraId="33010000">
      <w:pPr>
        <w:widowControl w:val="0"/>
        <w:spacing w:line="276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14</w:t>
      </w:r>
      <w:r>
        <w:rPr>
          <w:rFonts w:ascii="PT Astra Serif" w:hAnsi="PT Astra Serif"/>
        </w:rPr>
        <w:t>.3. Полный электронный адрес размещения сводки предложений, поступивших по итогам проведения публичных консультаций по проекту нормативного правового акта:</w:t>
      </w:r>
      <w:r>
        <w:t xml:space="preserve"> </w:t>
      </w:r>
      <w:r>
        <w:rPr>
          <w:rStyle w:val="Style_4_ch"/>
          <w:rFonts w:ascii="PT Astra Serif" w:hAnsi="PT Astra Serif"/>
        </w:rPr>
        <w:fldChar w:fldCharType="begin"/>
      </w:r>
      <w:r>
        <w:rPr>
          <w:rStyle w:val="Style_4_ch"/>
          <w:rFonts w:ascii="PT Astra Serif" w:hAnsi="PT Astra Serif"/>
        </w:rPr>
        <w:instrText>HYPERLINK "https://xn--14-9kcqjffxnf3b.xn--p1ai/orv/"</w:instrText>
      </w:r>
      <w:r>
        <w:rPr>
          <w:rStyle w:val="Style_4_ch"/>
          <w:rFonts w:ascii="PT Astra Serif" w:hAnsi="PT Astra Serif"/>
        </w:rPr>
        <w:fldChar w:fldCharType="separate"/>
      </w:r>
      <w:r>
        <w:rPr>
          <w:rStyle w:val="Style_4_ch"/>
          <w:rFonts w:ascii="PT Astra Serif" w:hAnsi="PT Astra Serif"/>
        </w:rPr>
        <w:t>https://xn--14-9kcqjffxnf3b.xn--p1ai/orv/</w:t>
      </w:r>
      <w:r>
        <w:rPr>
          <w:rStyle w:val="Style_4_ch"/>
          <w:rFonts w:ascii="PT Astra Serif" w:hAnsi="PT Astra Serif"/>
        </w:rPr>
        <w:fldChar w:fldCharType="end"/>
      </w:r>
      <w:r>
        <w:rPr>
          <w:rFonts w:ascii="PT Astra Serif" w:hAnsi="PT Astra Serif"/>
        </w:rPr>
        <w:t xml:space="preserve"> </w:t>
      </w:r>
    </w:p>
    <w:p w14:paraId="34010000">
      <w:pPr>
        <w:widowControl w:val="0"/>
        <w:spacing w:line="276" w:lineRule="auto"/>
        <w:ind w:firstLine="709"/>
        <w:jc w:val="both"/>
        <w:rPr>
          <w:rFonts w:ascii="PT Astra Serif" w:hAnsi="PT Astra Serif"/>
        </w:rPr>
      </w:pPr>
    </w:p>
    <w:tbl>
      <w:tblPr>
        <w:tblStyle w:val="Style_2"/>
        <w:tblW w:type="auto" w:w="0"/>
        <w:tblLayout w:type="fixed"/>
        <w:tblCellMar>
          <w:left w:type="dxa" w:w="28"/>
          <w:right w:type="dxa" w:w="28"/>
        </w:tblCellMar>
      </w:tblPr>
      <w:tblGrid>
        <w:gridCol w:w="3455"/>
        <w:gridCol w:w="2020"/>
        <w:gridCol w:w="1861"/>
        <w:gridCol w:w="159"/>
        <w:gridCol w:w="1861"/>
      </w:tblGrid>
      <w:tr>
        <w:tc>
          <w:tcPr>
            <w:tcW w:type="dxa" w:w="3455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bottom"/>
          </w:tcPr>
          <w:p/>
        </w:tc>
        <w:tc>
          <w:tcPr>
            <w:tcW w:type="dxa" w:w="202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bottom"/>
          </w:tcPr>
          <w:p/>
        </w:tc>
        <w:tc>
          <w:tcPr>
            <w:tcW w:type="dxa" w:w="1861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bottom"/>
          </w:tcPr>
          <w:p/>
        </w:tc>
        <w:tc>
          <w:tcPr>
            <w:tcW w:type="dxa" w:w="15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bottom"/>
          </w:tcPr>
          <w:p/>
        </w:tc>
        <w:tc>
          <w:tcPr>
            <w:tcW w:type="dxa" w:w="1861"/>
            <w:tcBorders>
              <w:top w:sz="4" w:val="nil"/>
              <w:left w:sz="4" w:val="nil"/>
              <w:bottom w:color="000000" w:sz="4" w:val="single"/>
              <w:right w:sz="4" w:val="nil"/>
            </w:tcBorders>
            <w:tcMar>
              <w:top w:type="dxa" w:w="0"/>
              <w:left w:type="dxa" w:w="28"/>
              <w:bottom w:type="dxa" w:w="0"/>
              <w:right w:type="dxa" w:w="28"/>
            </w:tcMar>
            <w:vAlign w:val="bottom"/>
          </w:tcPr>
          <w:p/>
        </w:tc>
      </w:tr>
      <w:tr>
        <w:tc>
          <w:tcPr>
            <w:tcW w:type="dxa" w:w="345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28"/>
              <w:bottom w:type="dxa" w:w="0"/>
              <w:right w:type="dxa" w:w="28"/>
            </w:tcMar>
          </w:tcPr>
          <w:p w14:paraId="35010000">
            <w:pPr>
              <w:widowControl w:val="1"/>
              <w:ind/>
              <w:jc w:val="center"/>
            </w:pPr>
            <w:r>
              <w:t>(инициалы, фамилия)</w:t>
            </w:r>
          </w:p>
        </w:tc>
        <w:tc>
          <w:tcPr>
            <w:tcW w:type="dxa" w:w="202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61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28"/>
              <w:bottom w:type="dxa" w:w="0"/>
              <w:right w:type="dxa" w:w="28"/>
            </w:tcMar>
          </w:tcPr>
          <w:p w14:paraId="36010000">
            <w:pPr>
              <w:widowControl w:val="1"/>
              <w:ind/>
              <w:jc w:val="center"/>
            </w:pPr>
            <w:r>
              <w:t>Дата</w:t>
            </w:r>
          </w:p>
        </w:tc>
        <w:tc>
          <w:tcPr>
            <w:tcW w:type="dxa" w:w="159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28"/>
              <w:bottom w:type="dxa" w:w="0"/>
              <w:right w:type="dxa" w:w="28"/>
            </w:tcMar>
          </w:tcPr>
          <w:p/>
        </w:tc>
        <w:tc>
          <w:tcPr>
            <w:tcW w:type="dxa" w:w="1861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28"/>
              <w:bottom w:type="dxa" w:w="0"/>
              <w:right w:type="dxa" w:w="28"/>
            </w:tcMar>
          </w:tcPr>
          <w:p w14:paraId="37010000">
            <w:pPr>
              <w:widowControl w:val="1"/>
              <w:ind/>
              <w:jc w:val="center"/>
            </w:pPr>
            <w:r>
              <w:t>Подпись</w:t>
            </w:r>
          </w:p>
        </w:tc>
      </w:tr>
    </w:tbl>
    <w:p w14:paraId="38010000">
      <w:pPr>
        <w:widowControl w:val="0"/>
        <w:spacing w:line="23" w:lineRule="atLeast"/>
        <w:ind/>
        <w:jc w:val="both"/>
        <w:rPr>
          <w:sz w:val="28"/>
        </w:rPr>
      </w:pPr>
    </w:p>
    <w:sectPr>
      <w:pgSz w:h="16838" w:orient="portrait" w:w="11906"/>
      <w:pgMar w:bottom="1134" w:footer="709" w:gutter="0" w:header="709" w:left="1418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 w14:paraId="3C010000">
      <w:r>
        <w:separator/>
      </w:r>
    </w:p>
  </w:endnote>
  <w:endnote w:id="0" w:type="continuationSeparator">
    <w:p w14:paraId="3D010000"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 w14:paraId="39010000">
      <w:r>
        <w:separator/>
      </w:r>
    </w:p>
  </w:footnote>
  <w:footnote w:id="0" w:type="continuationSeparator">
    <w:p w14:paraId="3A010000">
      <w:r>
        <w:continuationSeparator/>
      </w:r>
    </w:p>
  </w:footnote>
  <w:footnote w:id="1">
    <w:p w14:paraId="3B010000">
      <w:pPr>
        <w:pStyle w:val="Style_17"/>
        <w:widowControl w:val="1"/>
        <w:spacing w:line="240" w:lineRule="auto"/>
        <w:ind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footnoteRef/>
      </w:r>
      <w:r>
        <w:rPr>
          <w:rFonts w:ascii="Times New Roman" w:hAnsi="Times New Roman"/>
          <w:sz w:val="18"/>
        </w:rPr>
        <w:t> </w:t>
      </w:r>
      <w:r>
        <w:rPr>
          <w:rFonts w:ascii="Times New Roman" w:hAnsi="Times New Roman"/>
          <w:sz w:val="18"/>
        </w:rPr>
        <w:t>Указываются данные из раздела 4</w:t>
      </w:r>
      <w:r>
        <w:rPr>
          <w:rFonts w:ascii="Times New Roman" w:hAnsi="Times New Roman"/>
          <w:sz w:val="18"/>
        </w:rPr>
        <w:t xml:space="preserve"> сводного отчета.</w:t>
      </w:r>
    </w:p>
  </w:footnote>
</w:footnote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default="1" w:styleId="Style_3_ch" w:type="character">
    <w:name w:val="Normal"/>
    <w:link w:val="Style_3"/>
    <w:rPr>
      <w:rFonts w:ascii="Times New Roman" w:hAnsi="Times New Roman"/>
      <w:sz w:val="24"/>
    </w:rPr>
  </w:style>
  <w:style w:styleId="Style_5" w:type="paragraph">
    <w:name w:val="toc 2"/>
    <w:next w:val="Style_3"/>
    <w:link w:val="Style_5_ch"/>
    <w:uiPriority w:val="39"/>
    <w:pPr>
      <w:widowControl w:val="1"/>
      <w:ind w:left="200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3"/>
    <w:link w:val="Style_6_ch"/>
    <w:uiPriority w:val="39"/>
    <w:pPr>
      <w:widowControl w:val="1"/>
      <w:ind w:left="600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3"/>
    <w:link w:val="Style_7_ch"/>
    <w:uiPriority w:val="39"/>
    <w:pPr>
      <w:widowControl w:val="1"/>
      <w:ind w:left="1000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3"/>
    <w:link w:val="Style_8_ch"/>
    <w:uiPriority w:val="39"/>
    <w:pPr>
      <w:widowControl w:val="1"/>
      <w:ind w:left="1200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caption"/>
    <w:basedOn w:val="Style_3"/>
    <w:next w:val="Style_3"/>
    <w:link w:val="Style_9_ch"/>
    <w:pPr>
      <w:widowControl w:val="1"/>
      <w:spacing w:after="200"/>
      <w:ind/>
    </w:pPr>
    <w:rPr>
      <w:rFonts w:ascii="Calibri" w:hAnsi="Calibri"/>
      <w:i w:val="1"/>
      <w:color w:val="1F497D"/>
      <w:sz w:val="18"/>
    </w:rPr>
  </w:style>
  <w:style w:styleId="Style_9_ch" w:type="character">
    <w:name w:val="caption"/>
    <w:basedOn w:val="Style_3_ch"/>
    <w:link w:val="Style_9"/>
    <w:rPr>
      <w:rFonts w:ascii="Calibri" w:hAnsi="Calibri"/>
      <w:i w:val="1"/>
      <w:color w:val="1F497D"/>
      <w:sz w:val="18"/>
    </w:rPr>
  </w:style>
  <w:style w:styleId="Style_10" w:type="paragraph">
    <w:name w:val="Endnote"/>
    <w:link w:val="Style_1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3"/>
    <w:link w:val="Style_11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Обычный1"/>
    <w:link w:val="Style_12_ch"/>
    <w:rPr>
      <w:rFonts w:ascii="Times New Roman" w:hAnsi="Times New Roman"/>
      <w:sz w:val="24"/>
    </w:rPr>
  </w:style>
  <w:style w:styleId="Style_12_ch" w:type="character">
    <w:name w:val="Обычный1"/>
    <w:link w:val="Style_12"/>
    <w:rPr>
      <w:rFonts w:ascii="Times New Roman" w:hAnsi="Times New Roman"/>
      <w:sz w:val="24"/>
    </w:rPr>
  </w:style>
  <w:style w:styleId="Style_13" w:type="paragraph">
    <w:name w:val="Подраздел"/>
    <w:basedOn w:val="Style_3"/>
    <w:link w:val="Style_13_ch"/>
    <w:pPr>
      <w:widowControl w:val="0"/>
      <w:ind/>
      <w:jc w:val="center"/>
    </w:pPr>
    <w:rPr>
      <w:b w:val="1"/>
    </w:rPr>
  </w:style>
  <w:style w:styleId="Style_13_ch" w:type="character">
    <w:name w:val="Подраздел"/>
    <w:basedOn w:val="Style_3_ch"/>
    <w:link w:val="Style_13"/>
    <w:rPr>
      <w:b w:val="1"/>
    </w:rPr>
  </w:style>
  <w:style w:styleId="Style_14" w:type="paragraph">
    <w:name w:val="annotation text"/>
    <w:basedOn w:val="Style_3"/>
    <w:link w:val="Style_14_ch"/>
    <w:rPr>
      <w:sz w:val="20"/>
    </w:rPr>
  </w:style>
  <w:style w:styleId="Style_14_ch" w:type="character">
    <w:name w:val="annotation text"/>
    <w:basedOn w:val="Style_3_ch"/>
    <w:link w:val="Style_14"/>
    <w:rPr>
      <w:sz w:val="20"/>
    </w:rPr>
  </w:style>
  <w:style w:styleId="Style_15" w:type="paragraph">
    <w:name w:val="annotation subject"/>
    <w:basedOn w:val="Style_14"/>
    <w:next w:val="Style_14"/>
    <w:link w:val="Style_15_ch"/>
    <w:rPr>
      <w:b w:val="1"/>
    </w:rPr>
  </w:style>
  <w:style w:styleId="Style_15_ch" w:type="character">
    <w:name w:val="annotation subject"/>
    <w:basedOn w:val="Style_14_ch"/>
    <w:link w:val="Style_15"/>
    <w:rPr>
      <w:b w:val="1"/>
    </w:rPr>
  </w:style>
  <w:style w:styleId="Style_16" w:type="paragraph">
    <w:name w:val="toc 3"/>
    <w:next w:val="Style_3"/>
    <w:link w:val="Style_16_ch"/>
    <w:uiPriority w:val="39"/>
    <w:pPr>
      <w:widowControl w:val="1"/>
      <w:ind w:left="400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Footnote"/>
    <w:basedOn w:val="Style_3"/>
    <w:link w:val="Style_17_ch"/>
    <w:pPr>
      <w:widowControl w:val="0"/>
      <w:spacing w:line="360" w:lineRule="atLeast"/>
      <w:ind/>
      <w:jc w:val="both"/>
    </w:pPr>
    <w:rPr>
      <w:rFonts w:ascii="Calibri" w:hAnsi="Calibri"/>
      <w:color w:val="000000"/>
      <w:sz w:val="20"/>
    </w:rPr>
  </w:style>
  <w:style w:styleId="Style_17_ch" w:type="character">
    <w:name w:val="Footnote"/>
    <w:basedOn w:val="Style_3_ch"/>
    <w:link w:val="Style_17"/>
    <w:rPr>
      <w:rFonts w:ascii="Calibri" w:hAnsi="Calibri"/>
      <w:color w:val="000000"/>
      <w:sz w:val="20"/>
    </w:rPr>
  </w:style>
  <w:style w:styleId="Style_18" w:type="paragraph">
    <w:name w:val="heading 5"/>
    <w:next w:val="Style_3"/>
    <w:link w:val="Style_18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8_ch" w:type="character">
    <w:name w:val="heading 5"/>
    <w:link w:val="Style_18"/>
    <w:rPr>
      <w:rFonts w:ascii="XO Thames" w:hAnsi="XO Thames"/>
      <w:b w:val="1"/>
    </w:rPr>
  </w:style>
  <w:style w:styleId="Style_19" w:type="paragraph">
    <w:name w:val="Balloon Text"/>
    <w:basedOn w:val="Style_3"/>
    <w:link w:val="Style_19_ch"/>
    <w:rPr>
      <w:rFonts w:ascii="Tahoma" w:hAnsi="Tahoma"/>
      <w:sz w:val="16"/>
    </w:rPr>
  </w:style>
  <w:style w:styleId="Style_19_ch" w:type="character">
    <w:name w:val="Balloon Text"/>
    <w:basedOn w:val="Style_3_ch"/>
    <w:link w:val="Style_19"/>
    <w:rPr>
      <w:rFonts w:ascii="Tahoma" w:hAnsi="Tahoma"/>
      <w:sz w:val="16"/>
    </w:rPr>
  </w:style>
  <w:style w:styleId="Style_20" w:type="paragraph">
    <w:name w:val="heading 1"/>
    <w:next w:val="Style_3"/>
    <w:link w:val="Style_2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0_ch" w:type="character">
    <w:name w:val="heading 1"/>
    <w:link w:val="Style_20"/>
    <w:rPr>
      <w:rFonts w:ascii="XO Thames" w:hAnsi="XO Thames"/>
      <w:b w:val="1"/>
      <w:sz w:val="32"/>
    </w:rPr>
  </w:style>
  <w:style w:styleId="Style_21" w:type="paragraph">
    <w:name w:val="Hyperlink"/>
    <w:link w:val="Style_21_ch"/>
    <w:rPr>
      <w:color w:val="0000FF"/>
      <w:u w:val="single"/>
    </w:rPr>
  </w:style>
  <w:style w:styleId="Style_21_ch" w:type="character">
    <w:name w:val="Hyperlink"/>
    <w:link w:val="Style_21"/>
    <w:rPr>
      <w:color w:val="0000FF"/>
      <w:u w:val="single"/>
    </w:rPr>
  </w:style>
  <w:style w:styleId="Style_22" w:type="paragraph">
    <w:name w:val="Footnote"/>
    <w:link w:val="Style_22_ch"/>
    <w:pPr>
      <w:widowControl w:val="1"/>
      <w:ind w:firstLine="851"/>
      <w:jc w:val="both"/>
    </w:pPr>
    <w:rPr>
      <w:rFonts w:ascii="XO Thames" w:hAnsi="XO Thames"/>
    </w:rPr>
  </w:style>
  <w:style w:styleId="Style_22_ch" w:type="character">
    <w:name w:val="Footnote"/>
    <w:link w:val="Style_22"/>
    <w:rPr>
      <w:rFonts w:ascii="XO Thames" w:hAnsi="XO Thames"/>
    </w:rPr>
  </w:style>
  <w:style w:styleId="Style_23" w:type="paragraph">
    <w:name w:val="toc 1"/>
    <w:next w:val="Style_3"/>
    <w:link w:val="Style_23_ch"/>
    <w:uiPriority w:val="39"/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24" w:type="paragraph">
    <w:name w:val="Normal (Web)"/>
    <w:basedOn w:val="Style_3"/>
    <w:link w:val="Style_24_ch"/>
    <w:pPr>
      <w:widowControl w:val="1"/>
      <w:spacing w:afterAutospacing="on" w:beforeAutospacing="on"/>
      <w:ind/>
    </w:pPr>
    <w:rPr>
      <w:color w:val="000000"/>
    </w:rPr>
  </w:style>
  <w:style w:styleId="Style_24_ch" w:type="character">
    <w:name w:val="Normal (Web)"/>
    <w:basedOn w:val="Style_3_ch"/>
    <w:link w:val="Style_24"/>
    <w:rPr>
      <w:color w:val="000000"/>
    </w:rPr>
  </w:style>
  <w:style w:styleId="Style_25" w:type="paragraph">
    <w:name w:val="annotation reference"/>
    <w:basedOn w:val="Style_26"/>
    <w:link w:val="Style_25_ch"/>
    <w:rPr>
      <w:sz w:val="16"/>
    </w:rPr>
  </w:style>
  <w:style w:styleId="Style_25_ch" w:type="character">
    <w:name w:val="annotation reference"/>
    <w:basedOn w:val="Style_26_ch"/>
    <w:link w:val="Style_25"/>
    <w:rPr>
      <w:sz w:val="16"/>
    </w:rPr>
  </w:style>
  <w:style w:styleId="Style_27" w:type="paragraph">
    <w:name w:val="Header and Footer"/>
    <w:link w:val="Style_27_ch"/>
    <w:pPr>
      <w:widowControl w:val="1"/>
      <w:spacing w:line="240" w:lineRule="auto"/>
      <w:ind/>
      <w:jc w:val="both"/>
    </w:pPr>
    <w:rPr>
      <w:rFonts w:ascii="XO Thames" w:hAnsi="XO Thames"/>
      <w:sz w:val="20"/>
    </w:rPr>
  </w:style>
  <w:style w:styleId="Style_27_ch" w:type="character">
    <w:name w:val="Header and Footer"/>
    <w:link w:val="Style_27"/>
    <w:rPr>
      <w:rFonts w:ascii="XO Thames" w:hAnsi="XO Thames"/>
      <w:sz w:val="20"/>
    </w:rPr>
  </w:style>
  <w:style w:styleId="Style_28" w:type="paragraph">
    <w:name w:val="toc 9"/>
    <w:next w:val="Style_3"/>
    <w:link w:val="Style_28_ch"/>
    <w:uiPriority w:val="39"/>
    <w:pPr>
      <w:widowControl w:val="1"/>
      <w:ind w:left="1600"/>
    </w:pPr>
    <w:rPr>
      <w:rFonts w:ascii="XO Thames" w:hAnsi="XO Thames"/>
      <w:sz w:val="28"/>
    </w:rPr>
  </w:style>
  <w:style w:styleId="Style_28_ch" w:type="character">
    <w:name w:val="toc 9"/>
    <w:link w:val="Style_28"/>
    <w:rPr>
      <w:rFonts w:ascii="XO Thames" w:hAnsi="XO Thames"/>
      <w:sz w:val="28"/>
    </w:rPr>
  </w:style>
  <w:style w:styleId="Style_26" w:type="paragraph">
    <w:name w:val="Default Paragraph Font"/>
    <w:link w:val="Style_26_ch"/>
  </w:style>
  <w:style w:styleId="Style_26_ch" w:type="character">
    <w:name w:val="Default Paragraph Font"/>
    <w:link w:val="Style_26"/>
  </w:style>
  <w:style w:styleId="Style_29" w:type="paragraph">
    <w:name w:val="toc 8"/>
    <w:next w:val="Style_3"/>
    <w:link w:val="Style_29_ch"/>
    <w:uiPriority w:val="39"/>
    <w:pPr>
      <w:widowControl w:val="1"/>
      <w:ind w:left="1400"/>
    </w:pPr>
    <w:rPr>
      <w:rFonts w:ascii="XO Thames" w:hAnsi="XO Thames"/>
      <w:sz w:val="28"/>
    </w:rPr>
  </w:style>
  <w:style w:styleId="Style_29_ch" w:type="character">
    <w:name w:val="toc 8"/>
    <w:link w:val="Style_29"/>
    <w:rPr>
      <w:rFonts w:ascii="XO Thames" w:hAnsi="XO Thames"/>
      <w:sz w:val="28"/>
    </w:rPr>
  </w:style>
  <w:style w:styleId="Style_30" w:type="paragraph">
    <w:name w:val="footnote reference"/>
    <w:link w:val="Style_30_ch"/>
    <w:rPr>
      <w:vertAlign w:val="superscript"/>
    </w:rPr>
  </w:style>
  <w:style w:styleId="Style_30_ch" w:type="character">
    <w:name w:val="footnote reference"/>
    <w:link w:val="Style_30"/>
    <w:rPr>
      <w:vertAlign w:val="superscript"/>
    </w:rPr>
  </w:style>
  <w:style w:styleId="Style_31" w:type="paragraph">
    <w:name w:val="toc 5"/>
    <w:next w:val="Style_3"/>
    <w:link w:val="Style_31_ch"/>
    <w:uiPriority w:val="39"/>
    <w:pPr>
      <w:widowControl w:val="1"/>
      <w:ind w:left="800"/>
    </w:pPr>
    <w:rPr>
      <w:rFonts w:ascii="XO Thames" w:hAnsi="XO Thames"/>
      <w:sz w:val="28"/>
    </w:rPr>
  </w:style>
  <w:style w:styleId="Style_31_ch" w:type="character">
    <w:name w:val="toc 5"/>
    <w:link w:val="Style_31"/>
    <w:rPr>
      <w:rFonts w:ascii="XO Thames" w:hAnsi="XO Thames"/>
      <w:sz w:val="28"/>
    </w:rPr>
  </w:style>
  <w:style w:styleId="Style_4" w:type="paragraph">
    <w:name w:val="Гиперссылка1"/>
    <w:link w:val="Style_4_ch"/>
    <w:rPr>
      <w:color w:val="0000FF"/>
      <w:u w:val="single"/>
    </w:rPr>
  </w:style>
  <w:style w:styleId="Style_4_ch" w:type="character">
    <w:name w:val="Гиперссылка1"/>
    <w:link w:val="Style_4"/>
    <w:rPr>
      <w:color w:val="0000FF"/>
      <w:u w:val="single"/>
    </w:rPr>
  </w:style>
  <w:style w:styleId="Style_32" w:type="paragraph">
    <w:name w:val="Subtitle"/>
    <w:next w:val="Style_3"/>
    <w:link w:val="Style_32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2_ch" w:type="character">
    <w:name w:val="Subtitle"/>
    <w:link w:val="Style_32"/>
    <w:rPr>
      <w:rFonts w:ascii="XO Thames" w:hAnsi="XO Thames"/>
      <w:i w:val="1"/>
      <w:sz w:val="24"/>
    </w:rPr>
  </w:style>
  <w:style w:styleId="Style_33" w:type="paragraph">
    <w:name w:val="Title"/>
    <w:next w:val="Style_3"/>
    <w:link w:val="Style_33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_ch" w:type="character">
    <w:name w:val="Title"/>
    <w:link w:val="Style_33"/>
    <w:rPr>
      <w:rFonts w:ascii="XO Thames" w:hAnsi="XO Thames"/>
      <w:b w:val="1"/>
      <w:caps w:val="1"/>
      <w:sz w:val="40"/>
    </w:rPr>
  </w:style>
  <w:style w:styleId="Style_34" w:type="paragraph">
    <w:name w:val="heading 4"/>
    <w:next w:val="Style_3"/>
    <w:link w:val="Style_34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4_ch" w:type="character">
    <w:name w:val="heading 4"/>
    <w:link w:val="Style_34"/>
    <w:rPr>
      <w:rFonts w:ascii="XO Thames" w:hAnsi="XO Thames"/>
      <w:b w:val="1"/>
      <w:sz w:val="24"/>
    </w:rPr>
  </w:style>
  <w:style w:styleId="Style_1" w:type="paragraph">
    <w:name w:val="List Paragraph"/>
    <w:basedOn w:val="Style_3"/>
    <w:link w:val="Style_1_ch"/>
    <w:pPr>
      <w:widowControl w:val="1"/>
      <w:ind w:left="720"/>
      <w:contextualSpacing w:val="1"/>
    </w:pPr>
  </w:style>
  <w:style w:styleId="Style_1_ch" w:type="character">
    <w:name w:val="List Paragraph"/>
    <w:basedOn w:val="Style_3_ch"/>
    <w:link w:val="Style_1"/>
  </w:style>
  <w:style w:styleId="Style_35" w:type="paragraph">
    <w:name w:val="Основной шрифт абзаца1"/>
    <w:link w:val="Style_35_ch"/>
  </w:style>
  <w:style w:styleId="Style_35_ch" w:type="character">
    <w:name w:val="Основной шрифт абзаца1"/>
    <w:link w:val="Style_35"/>
  </w:style>
  <w:style w:styleId="Style_36" w:type="paragraph">
    <w:name w:val="heading 2"/>
    <w:next w:val="Style_3"/>
    <w:link w:val="Style_36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6_ch" w:type="character">
    <w:name w:val="heading 2"/>
    <w:link w:val="Style_36"/>
    <w:rPr>
      <w:rFonts w:ascii="XO Thames" w:hAnsi="XO Thames"/>
      <w:b w:val="1"/>
      <w:sz w:val="28"/>
    </w:rPr>
  </w:style>
  <w:style w:styleId="Style_37" w:type="table">
    <w:name w:val="Table Grid"/>
    <w:basedOn w:val="Style_2"/>
    <w:pPr>
      <w:widowControl w:val="1"/>
      <w:spacing w:after="0" w:line="240" w:lineRule="auto"/>
      <w:ind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8" Target="endnotes.xml" Type="http://schemas.openxmlformats.org/officeDocument/2006/relationships/endnotes"/>
  <Relationship Id="rId4" Target="stylesWithEffects.xml" Type="http://schemas.microsoft.com/office/2007/relationships/stylesWithEffects"/>
  <Relationship Id="rId7" Target="footnotes.xml" Type="http://schemas.openxmlformats.org/officeDocument/2006/relationships/footnote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MyOffice-CoreFramework-Linux/36-1319.1058.9942.953.1@46b7dcda34ec2e7b641d33cb1d2b32a264be336a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2026-09-30T02:11:55Z</dcterms:created>
  <dcterms:modified xsi:type="dcterms:W3CDTF">2026-09-30T02:11:55Z</dcterms:modified>
</cp:coreProperties>
</file>