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auto"/>
        <w:ind w:firstLine="0"/>
        <w:jc w:val="center"/>
        <w:rPr>
          <w:b w:val="1"/>
        </w:rPr>
      </w:pPr>
      <w:r>
        <w:rPr>
          <w:b w:val="1"/>
        </w:rPr>
        <w:t>СВОДНЫЙ ОТЧЕТ</w:t>
      </w:r>
    </w:p>
    <w:p w14:paraId="02000000">
      <w:pPr>
        <w:spacing w:line="240" w:lineRule="auto"/>
        <w:ind w:firstLine="0"/>
        <w:jc w:val="center"/>
        <w:rPr>
          <w:b w:val="1"/>
        </w:rPr>
      </w:pPr>
      <w:r>
        <w:rPr>
          <w:b w:val="1"/>
        </w:rPr>
        <w:t>о результатах проведения оценки регулирующего</w:t>
      </w:r>
    </w:p>
    <w:p w14:paraId="03000000">
      <w:pPr>
        <w:spacing w:line="240" w:lineRule="auto"/>
        <w:ind w:firstLine="0"/>
        <w:jc w:val="center"/>
        <w:rPr>
          <w:b w:val="1"/>
        </w:rPr>
      </w:pPr>
      <w:r>
        <w:rPr>
          <w:b w:val="1"/>
        </w:rPr>
        <w:t>воздействия проекта нормативного правового акта</w:t>
      </w:r>
    </w:p>
    <w:p w14:paraId="04000000">
      <w:pPr>
        <w:spacing w:line="240" w:lineRule="auto"/>
        <w:ind/>
      </w:pPr>
    </w:p>
    <w:p w14:paraId="05000000">
      <w:pPr>
        <w:spacing w:line="240" w:lineRule="auto"/>
        <w:ind/>
        <w:rPr>
          <w:b w:val="1"/>
        </w:rPr>
      </w:pPr>
      <w:r>
        <w:rPr>
          <w:b w:val="1"/>
        </w:rPr>
        <w:t>1. Общая информация</w:t>
      </w:r>
    </w:p>
    <w:p w14:paraId="06000000">
      <w:pPr>
        <w:spacing w:line="240" w:lineRule="auto"/>
        <w:ind/>
      </w:pPr>
      <w:r>
        <w:t xml:space="preserve">1.1. </w:t>
      </w:r>
      <w:r>
        <w:rPr>
          <w:u w:val="single"/>
        </w:rPr>
        <w:t>Орган-разработчик</w:t>
      </w:r>
      <w:r>
        <w:t xml:space="preserve">: </w:t>
      </w:r>
      <w:r>
        <w:t>Министерство предпринимательства, торговли и туризма Республики Саха (Якутия)</w:t>
      </w:r>
      <w:r>
        <w:t>.</w:t>
      </w:r>
    </w:p>
    <w:p w14:paraId="07000000">
      <w:pPr>
        <w:spacing w:line="240" w:lineRule="auto"/>
        <w:ind/>
      </w:pPr>
      <w:r>
        <w:t xml:space="preserve">1.2. </w:t>
      </w:r>
      <w:r>
        <w:rPr>
          <w:u w:val="single"/>
        </w:rPr>
        <w:t>Вид и наименование проекта нормативного п</w:t>
      </w:r>
      <w:r>
        <w:rPr>
          <w:u w:val="single"/>
        </w:rPr>
        <w:t>равового акта:</w:t>
      </w:r>
      <w:r>
        <w:t xml:space="preserve"> </w:t>
      </w:r>
      <w:r>
        <w:rPr>
          <w:rStyle w:val="Style_1_ch"/>
          <w:rFonts w:ascii="PT Astra Serif" w:hAnsi="PT Astra Serif"/>
          <w:sz w:val="28"/>
        </w:rPr>
        <w:t>проект</w:t>
      </w:r>
      <w:r>
        <w:rPr>
          <w:rStyle w:val="Style_1_ch"/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распоряжения Правительства Республики Саха (Якутия)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sz w:val="28"/>
        </w:rPr>
        <w:t>«Об</w:t>
      </w:r>
      <w:r>
        <w:rPr>
          <w:rFonts w:ascii="PT Astra Serif" w:hAnsi="PT Astra Serif"/>
          <w:spacing w:val="-7"/>
          <w:sz w:val="28"/>
        </w:rPr>
        <w:t xml:space="preserve"> </w:t>
      </w:r>
      <w:r>
        <w:rPr>
          <w:rFonts w:ascii="PT Astra Serif" w:hAnsi="PT Astra Serif"/>
          <w:sz w:val="28"/>
        </w:rPr>
        <w:t>утверждении</w:t>
      </w:r>
      <w:r>
        <w:rPr>
          <w:rFonts w:ascii="PT Astra Serif" w:hAnsi="PT Astra Serif"/>
          <w:spacing w:val="-8"/>
          <w:sz w:val="28"/>
        </w:rPr>
        <w:t xml:space="preserve"> </w:t>
      </w:r>
      <w:r>
        <w:rPr>
          <w:rFonts w:ascii="PT Astra Serif" w:hAnsi="PT Astra Serif"/>
          <w:sz w:val="28"/>
        </w:rPr>
        <w:t>программы</w:t>
      </w:r>
      <w:r>
        <w:rPr>
          <w:rFonts w:ascii="PT Astra Serif" w:hAnsi="PT Astra Serif"/>
          <w:spacing w:val="-7"/>
          <w:sz w:val="28"/>
        </w:rPr>
        <w:t xml:space="preserve"> </w:t>
      </w:r>
      <w:r>
        <w:rPr>
          <w:rFonts w:ascii="PT Astra Serif" w:hAnsi="PT Astra Serif"/>
          <w:sz w:val="28"/>
        </w:rPr>
        <w:t>«Обеспечение</w:t>
      </w:r>
      <w:r>
        <w:rPr>
          <w:rFonts w:ascii="PT Astra Serif" w:hAnsi="PT Astra Serif"/>
          <w:spacing w:val="-7"/>
          <w:sz w:val="28"/>
        </w:rPr>
        <w:t xml:space="preserve"> </w:t>
      </w:r>
      <w:r>
        <w:rPr>
          <w:rFonts w:ascii="PT Astra Serif" w:hAnsi="PT Astra Serif"/>
          <w:sz w:val="28"/>
        </w:rPr>
        <w:t>защиты</w:t>
      </w:r>
      <w:r>
        <w:rPr>
          <w:rFonts w:ascii="PT Astra Serif" w:hAnsi="PT Astra Serif"/>
          <w:spacing w:val="-7"/>
          <w:sz w:val="28"/>
        </w:rPr>
        <w:t xml:space="preserve"> </w:t>
      </w:r>
      <w:r>
        <w:rPr>
          <w:rFonts w:ascii="PT Astra Serif" w:hAnsi="PT Astra Serif"/>
          <w:sz w:val="28"/>
        </w:rPr>
        <w:t>прав потребителей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pacing w:val="-3"/>
          <w:sz w:val="28"/>
        </w:rPr>
        <w:t xml:space="preserve"> </w:t>
      </w:r>
      <w:r>
        <w:rPr>
          <w:rFonts w:ascii="PT Astra Serif" w:hAnsi="PT Astra Serif"/>
          <w:sz w:val="28"/>
        </w:rPr>
        <w:t>Республике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Саха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(Якутия)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на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2026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2030</w:t>
      </w:r>
      <w:r>
        <w:rPr>
          <w:rFonts w:ascii="PT Astra Serif" w:hAnsi="PT Astra Serif"/>
          <w:spacing w:val="-1"/>
          <w:sz w:val="28"/>
        </w:rPr>
        <w:t xml:space="preserve"> </w:t>
      </w:r>
      <w:r>
        <w:rPr>
          <w:rFonts w:ascii="PT Astra Serif" w:hAnsi="PT Astra Serif"/>
          <w:spacing w:val="-2"/>
          <w:sz w:val="28"/>
        </w:rPr>
        <w:t xml:space="preserve">годы». </w:t>
      </w:r>
    </w:p>
    <w:p w14:paraId="08000000">
      <w:pPr>
        <w:spacing w:line="240" w:lineRule="auto"/>
        <w:ind/>
      </w:pPr>
      <w:r>
        <w:t xml:space="preserve">1.3. </w:t>
      </w:r>
      <w:r>
        <w:rPr>
          <w:u w:val="single"/>
        </w:rPr>
        <w:t>Краткое описание проблемы, на решение которой направлено предлагаемое</w:t>
      </w:r>
      <w:r>
        <w:rPr>
          <w:u w:val="single"/>
        </w:rPr>
        <w:t xml:space="preserve"> </w:t>
      </w:r>
      <w:r>
        <w:rPr>
          <w:u w:val="single"/>
        </w:rPr>
        <w:t>правовое регулирование</w:t>
      </w:r>
      <w:r>
        <w:t>:</w:t>
      </w:r>
    </w:p>
    <w:p w14:paraId="09000000">
      <w:pPr>
        <w:tabs>
          <w:tab w:leader="none" w:pos="0" w:val="left"/>
        </w:tabs>
        <w:spacing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  <w:highlight w:val="white"/>
        </w:rPr>
        <w:t> П</w:t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  <w:highlight w:val="white"/>
        </w:rPr>
        <w:t>редыдущая программа действовала до 2023 года включительно — её утвердили распоряжением Главы Республики Саха (Якутия) № 1067-РГ от 20 декабря 2018 года.</w:t>
      </w:r>
    </w:p>
    <w:p w14:paraId="0A000000">
      <w:pPr>
        <w:spacing w:line="240" w:lineRule="auto"/>
        <w:ind/>
        <w:rPr>
          <w:u w:val="single"/>
        </w:rPr>
      </w:pPr>
      <w:r>
        <w:t xml:space="preserve"> 1.4. </w:t>
      </w:r>
      <w:r>
        <w:rPr>
          <w:u w:val="single"/>
        </w:rPr>
        <w:t>Краткое описание целей предлагаемого правового регулирования:</w:t>
      </w:r>
    </w:p>
    <w:p w14:paraId="0B000000">
      <w:pPr>
        <w:tabs>
          <w:tab w:leader="none" w:pos="0" w:val="left"/>
        </w:tabs>
        <w:spacing w:after="0" w:line="240" w:lineRule="auto"/>
        <w:ind w:firstLine="567" w:left="0"/>
        <w:contextualSpacing w:val="1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 xml:space="preserve">Целью проекта является </w:t>
      </w:r>
      <w:r>
        <w:rPr>
          <w:rFonts w:ascii="PT Astra Serif" w:hAnsi="PT Astra Serif"/>
          <w:color w:val="000000"/>
          <w:sz w:val="28"/>
        </w:rPr>
        <w:t xml:space="preserve">создание и укрепление системы защиты прав потребителей в Республике Саха (Якутия), </w:t>
      </w:r>
      <w:r>
        <w:rPr>
          <w:rFonts w:ascii="PT Astra Serif" w:hAnsi="PT Astra Serif"/>
          <w:color w:val="000000"/>
          <w:sz w:val="28"/>
        </w:rPr>
        <w:t>минимизируя</w:t>
      </w:r>
      <w:r>
        <w:rPr>
          <w:rFonts w:ascii="PT Astra Serif" w:hAnsi="PT Astra Serif"/>
          <w:color w:val="000000"/>
          <w:sz w:val="28"/>
        </w:rPr>
        <w:t xml:space="preserve"> риски ущемления законных интересов граждан и обеспечение эффективных механизмов правовой защиты от недобросовестных действий хозяйствующих субъектов. Также п</w:t>
      </w:r>
      <w:r>
        <w:rPr>
          <w:rFonts w:ascii="PT Astra Serif" w:hAnsi="PT Astra Serif"/>
          <w:color w:val="000000"/>
          <w:sz w:val="28"/>
        </w:rPr>
        <w:t>редотвращение правонарушений в сфере защиты прав потребителей и оборота товаров, подлежащих обязательной маркировке средствами идентификации.</w:t>
      </w:r>
    </w:p>
    <w:p w14:paraId="0C000000">
      <w:pPr>
        <w:spacing w:line="240" w:lineRule="auto"/>
        <w:ind/>
        <w:rPr>
          <w:u w:val="single"/>
        </w:rPr>
      </w:pPr>
      <w:r>
        <w:t xml:space="preserve">1.5. </w:t>
      </w:r>
      <w:r>
        <w:rPr>
          <w:u w:val="single"/>
        </w:rPr>
        <w:t>Краткое описание содержания предлагаемого правового регулирования:</w:t>
      </w:r>
    </w:p>
    <w:p w14:paraId="0D000000">
      <w:pPr>
        <w:spacing w:line="240" w:lineRule="auto"/>
        <w:ind w:firstLine="709" w:left="1" w:right="111"/>
        <w:jc w:val="both"/>
      </w:pP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со</w:t>
      </w:r>
      <w:r>
        <w:rPr>
          <w:spacing w:val="80"/>
        </w:rPr>
        <w:t xml:space="preserve"> </w:t>
      </w:r>
      <w:r>
        <w:t>статьей</w:t>
      </w:r>
      <w:r>
        <w:rPr>
          <w:spacing w:val="80"/>
        </w:rPr>
        <w:t xml:space="preserve"> </w:t>
      </w:r>
      <w:r>
        <w:t>42.1</w:t>
      </w:r>
      <w:r>
        <w:rPr>
          <w:spacing w:val="80"/>
        </w:rPr>
        <w:t xml:space="preserve"> </w:t>
      </w:r>
      <w:r>
        <w:t>Закона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>
        <w:rPr>
          <w:spacing w:val="80"/>
        </w:rPr>
        <w:t xml:space="preserve"> </w:t>
      </w:r>
      <w:r>
        <w:t>от 07</w:t>
      </w:r>
      <w:r>
        <w:rPr>
          <w:spacing w:val="-1"/>
        </w:rPr>
        <w:t xml:space="preserve"> </w:t>
      </w:r>
      <w:r>
        <w:t>февраля</w:t>
      </w:r>
      <w:r>
        <w:rPr>
          <w:spacing w:val="-1"/>
        </w:rPr>
        <w:t xml:space="preserve"> </w:t>
      </w:r>
      <w:r>
        <w:t>1992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2300-1</w:t>
      </w:r>
      <w:r>
        <w:rPr>
          <w:spacing w:val="-1"/>
        </w:rPr>
        <w:t xml:space="preserve"> </w:t>
      </w:r>
      <w:r>
        <w:t>«О</w:t>
      </w:r>
      <w:r>
        <w:rPr>
          <w:spacing w:val="-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прав</w:t>
      </w:r>
      <w:r>
        <w:rPr>
          <w:spacing w:val="-1"/>
        </w:rPr>
        <w:t xml:space="preserve"> </w:t>
      </w:r>
      <w:r>
        <w:t>потребителей»,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целях</w:t>
      </w:r>
      <w:r>
        <w:rPr>
          <w:spacing w:val="-1"/>
        </w:rPr>
        <w:t xml:space="preserve"> </w:t>
      </w:r>
      <w:r>
        <w:t>создания благоприятных условий для реализации потребителями своих прав, а также дальнейшего развития и укрепления системы защиты прав потребителей в Республике Саха (Якутия)</w:t>
      </w:r>
      <w:r>
        <w:rPr>
          <w:sz w:val="28"/>
        </w:rPr>
        <w:t xml:space="preserve"> необходимо утверждение программы «Обеспечение защиты прав потребителей в Республике Саха (Якутия) на 2026 - 2030 годы»</w:t>
      </w:r>
      <w:r>
        <w:t>.</w:t>
      </w:r>
    </w:p>
    <w:p w14:paraId="0E000000">
      <w:pPr>
        <w:spacing w:line="240" w:lineRule="auto"/>
        <w:ind/>
        <w:rPr>
          <w:u w:val="single"/>
        </w:rPr>
      </w:pPr>
      <w:r>
        <w:rPr>
          <w:u w:val="single"/>
        </w:rPr>
        <w:t>1.6. Контактная информация исполнителя в органе-разработчике:</w:t>
      </w:r>
    </w:p>
    <w:p w14:paraId="0F000000">
      <w:pPr>
        <w:spacing w:line="240" w:lineRule="auto"/>
        <w:ind/>
      </w:pPr>
      <w:r>
        <w:t xml:space="preserve">Ф.И.О: </w:t>
      </w:r>
      <w:r>
        <w:t>Федорова Мария Васильевна</w:t>
      </w:r>
    </w:p>
    <w:p w14:paraId="10000000">
      <w:pPr>
        <w:spacing w:line="240" w:lineRule="auto"/>
        <w:ind/>
      </w:pPr>
      <w:r>
        <w:t xml:space="preserve">Должность: </w:t>
      </w:r>
      <w:r>
        <w:t>главный специалист Отдела торговли, общественного питания и конкуренции Министерства предпринимательства, торговли и туризма Республики Саха (Якутия)</w:t>
      </w:r>
      <w:r>
        <w:t>.</w:t>
      </w:r>
    </w:p>
    <w:p w14:paraId="11000000">
      <w:pPr>
        <w:spacing w:line="240" w:lineRule="auto"/>
        <w:ind/>
      </w:pPr>
      <w:r>
        <w:t>Телефон: 8 (4112) 506-243</w:t>
      </w:r>
      <w:r>
        <w:t xml:space="preserve">, адрес электронной почты: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"mailto:minpred.torg@mail.ru/"</w:instrText>
      </w:r>
      <w:r>
        <w:rPr>
          <w:rStyle w:val="Style_2_ch"/>
        </w:rPr>
        <w:fldChar w:fldCharType="separate"/>
      </w:r>
      <w:r>
        <w:rPr>
          <w:rStyle w:val="Style_2_ch"/>
        </w:rPr>
        <w:t>minpred.torg@mail.ru/</w:t>
      </w:r>
      <w:r>
        <w:rPr>
          <w:rStyle w:val="Style_2_ch"/>
        </w:rPr>
        <w:fldChar w:fldCharType="end"/>
      </w:r>
      <w:r>
        <w:t xml:space="preserve">. </w:t>
      </w:r>
    </w:p>
    <w:p w14:paraId="12000000">
      <w:pPr>
        <w:spacing w:line="240" w:lineRule="auto"/>
        <w:ind/>
        <w:rPr>
          <w:u w:val="single"/>
        </w:rPr>
      </w:pPr>
      <w:r>
        <w:t xml:space="preserve">1.7. </w:t>
      </w:r>
      <w:r>
        <w:rPr>
          <w:u w:val="single"/>
        </w:rPr>
        <w:t>Степень регулирующего воздействия проекта нормативного правового акта:</w:t>
      </w:r>
    </w:p>
    <w:p w14:paraId="13000000">
      <w:pPr>
        <w:spacing w:line="240" w:lineRule="auto"/>
        <w:ind/>
      </w:pPr>
      <w:r>
        <w:t>Высокая.</w:t>
      </w:r>
    </w:p>
    <w:p w14:paraId="14000000">
      <w:pPr>
        <w:spacing w:line="240" w:lineRule="auto"/>
        <w:ind/>
        <w:rPr>
          <w:u w:val="single"/>
        </w:rPr>
      </w:pPr>
      <w:r>
        <w:t xml:space="preserve">1.8. </w:t>
      </w:r>
      <w:r>
        <w:rPr>
          <w:u w:val="single"/>
        </w:rPr>
        <w:t>Обоснование отнесения проекта нормативного правового акта к определенной</w:t>
      </w:r>
      <w:r>
        <w:rPr>
          <w:u w:val="single"/>
        </w:rPr>
        <w:t xml:space="preserve"> </w:t>
      </w:r>
      <w:r>
        <w:rPr>
          <w:u w:val="single"/>
        </w:rPr>
        <w:t>степени регулирующего воздействия:</w:t>
      </w:r>
    </w:p>
    <w:p w14:paraId="15000000">
      <w:pPr>
        <w:tabs>
          <w:tab w:leader="none" w:pos="993" w:val="left"/>
        </w:tabs>
        <w:spacing w:after="0" w:line="240" w:lineRule="auto"/>
        <w:ind w:firstLine="992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Принятие данного проекта обеспечит оптимизацию процессов и ускорения принятия решений.</w:t>
      </w:r>
    </w:p>
    <w:p w14:paraId="16000000">
      <w:pPr>
        <w:spacing w:line="240" w:lineRule="auto"/>
        <w:ind/>
        <w:rPr>
          <w:u w:val="single"/>
        </w:rPr>
      </w:pPr>
      <w:r>
        <w:t xml:space="preserve">1.9. </w:t>
      </w:r>
      <w:r>
        <w:rPr>
          <w:u w:val="single"/>
        </w:rPr>
        <w:t>Наличие или отсутствие в проекте нормативного правового акта обязательных</w:t>
      </w:r>
      <w:r>
        <w:rPr>
          <w:u w:val="single"/>
        </w:rPr>
        <w:t xml:space="preserve"> </w:t>
      </w:r>
      <w:r>
        <w:rPr>
          <w:u w:val="single"/>
        </w:rPr>
        <w:t>требований:</w:t>
      </w:r>
    </w:p>
    <w:p w14:paraId="17000000">
      <w:pPr>
        <w:spacing w:line="360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Yе потребует внесения изменений в действующие нормативные </w:t>
      </w:r>
      <w:r>
        <w:rPr>
          <w:rFonts w:ascii="PT Astra Serif" w:hAnsi="PT Astra Serif"/>
          <w:sz w:val="28"/>
        </w:rPr>
        <w:t>правовые акты.</w:t>
      </w:r>
    </w:p>
    <w:p w14:paraId="18000000">
      <w:pPr>
        <w:spacing w:line="240" w:lineRule="auto"/>
        <w:ind/>
        <w:rPr>
          <w:b w:val="1"/>
        </w:rPr>
      </w:pPr>
      <w:r>
        <w:rPr>
          <w:b w:val="1"/>
        </w:rPr>
        <w:t>2. Описание проблемы, на решение которой направлено предлагаемое</w:t>
      </w:r>
      <w:r>
        <w:rPr>
          <w:b w:val="1"/>
        </w:rPr>
        <w:t xml:space="preserve"> </w:t>
      </w:r>
      <w:r>
        <w:rPr>
          <w:b w:val="1"/>
        </w:rPr>
        <w:t>правовое регулирование</w:t>
      </w:r>
    </w:p>
    <w:p w14:paraId="19000000">
      <w:pPr>
        <w:spacing w:line="240" w:lineRule="auto"/>
        <w:ind/>
      </w:pPr>
      <w:r>
        <w:t xml:space="preserve">2.1. </w:t>
      </w:r>
      <w:r>
        <w:rPr>
          <w:u w:val="single"/>
        </w:rPr>
        <w:t>Формулировка проблемы:</w:t>
      </w:r>
    </w:p>
    <w:p w14:paraId="1A000000">
      <w:pPr>
        <w:spacing w:line="240" w:lineRule="auto"/>
        <w:ind/>
      </w:pPr>
      <w:r>
        <w:t>Утверждение Программы</w:t>
      </w:r>
      <w:r>
        <w:t xml:space="preserve"> в соответстви</w:t>
      </w:r>
      <w:r>
        <w:t>и с</w:t>
      </w:r>
      <w:r>
        <w:t xml:space="preserve"> действующ</w:t>
      </w:r>
      <w:r>
        <w:t>им</w:t>
      </w:r>
      <w:r>
        <w:t xml:space="preserve"> законодательств</w:t>
      </w:r>
      <w:r>
        <w:t>ом</w:t>
      </w:r>
      <w:r>
        <w:t>.</w:t>
      </w:r>
    </w:p>
    <w:p w14:paraId="1B000000">
      <w:pPr>
        <w:spacing w:line="240" w:lineRule="auto"/>
        <w:ind/>
        <w:rPr>
          <w:u w:val="single"/>
        </w:rPr>
      </w:pPr>
      <w:r>
        <w:t xml:space="preserve">2.2. </w:t>
      </w:r>
      <w:r>
        <w:rPr>
          <w:u w:val="single"/>
        </w:rPr>
        <w:t>Информация о возникновении, выявлении проблемы и мерах, принятых ранее</w:t>
      </w:r>
      <w:r>
        <w:rPr>
          <w:u w:val="single"/>
        </w:rPr>
        <w:t xml:space="preserve"> </w:t>
      </w:r>
      <w:r>
        <w:rPr>
          <w:u w:val="single"/>
        </w:rPr>
        <w:t>для ее решения, достигнутых результатах и затраченных ресурсах:</w:t>
      </w:r>
    </w:p>
    <w:p w14:paraId="1C000000">
      <w:pPr>
        <w:tabs>
          <w:tab w:leader="none" w:pos="0" w:val="left"/>
        </w:tabs>
        <w:spacing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  <w:highlight w:val="white"/>
        </w:rPr>
        <w:t>П</w:t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  <w:highlight w:val="white"/>
        </w:rPr>
        <w:t>редыдущая программа действовала до 2023 года включительно — её утвердили распоряжением Главы Республики Саха (Якутия) № 1067-РГ от 20 декабря 2018 года.</w:t>
      </w:r>
    </w:p>
    <w:p w14:paraId="1D000000">
      <w:pPr>
        <w:spacing w:line="240" w:lineRule="auto"/>
        <w:ind/>
      </w:pPr>
      <w:r>
        <w:t xml:space="preserve">2.3. </w:t>
      </w:r>
      <w:r>
        <w:rPr>
          <w:u w:val="single"/>
        </w:rPr>
        <w:t>Социальные группы, заинтересов</w:t>
      </w:r>
      <w:r>
        <w:rPr>
          <w:u w:val="single"/>
        </w:rPr>
        <w:t xml:space="preserve">анные в устранении проблемы, их </w:t>
      </w:r>
      <w:r>
        <w:rPr>
          <w:u w:val="single"/>
        </w:rPr>
        <w:t>количественная оценка:</w:t>
      </w:r>
    </w:p>
    <w:p w14:paraId="1E000000">
      <w:pPr>
        <w:spacing w:line="240" w:lineRule="auto"/>
        <w:ind/>
      </w:pPr>
      <w:r>
        <w:t>Ю</w:t>
      </w:r>
      <w:r>
        <w:t>ридические лица и физические лица.</w:t>
      </w:r>
    </w:p>
    <w:p w14:paraId="1F000000">
      <w:pPr>
        <w:spacing w:line="240" w:lineRule="auto"/>
        <w:ind/>
        <w:rPr>
          <w:u w:val="single"/>
        </w:rPr>
      </w:pPr>
      <w:r>
        <w:t xml:space="preserve">2.4. </w:t>
      </w:r>
      <w:r>
        <w:rPr>
          <w:u w:val="single"/>
        </w:rPr>
        <w:t>Характеристика негативных эффектов, возникающих в связи с наличием</w:t>
      </w:r>
      <w:r>
        <w:rPr>
          <w:u w:val="single"/>
        </w:rPr>
        <w:t xml:space="preserve"> </w:t>
      </w:r>
      <w:r>
        <w:rPr>
          <w:u w:val="single"/>
        </w:rPr>
        <w:t>проблемы, их количественная оценка:</w:t>
      </w:r>
    </w:p>
    <w:p w14:paraId="20000000">
      <w:pPr>
        <w:spacing w:line="240" w:lineRule="auto"/>
        <w:ind w:left="61" w:right="284"/>
        <w:jc w:val="both"/>
        <w:rPr>
          <w:sz w:val="24"/>
        </w:rPr>
      </w:pPr>
      <w:r>
        <w:rPr>
          <w:sz w:val="24"/>
        </w:rPr>
        <w:t xml:space="preserve"> Обеспечение надлежащих условий для реализации потребителями прав, установленных законодательством Российской Федерации, включая Закон «О защите прав потребителей», федеральные законы, иные нормативные правовые акты России и Республики Саха (Якутия), а также акты Евразийского экономического союза, регулирующие отношения в области защиты прав потребителей, и требования, связанные с обязательной маркировкой товаров средствами идентификации.</w:t>
      </w:r>
    </w:p>
    <w:p w14:paraId="21000000">
      <w:pPr>
        <w:spacing w:line="240" w:lineRule="auto"/>
        <w:ind/>
        <w:rPr>
          <w:u w:val="single"/>
        </w:rPr>
      </w:pPr>
      <w:r>
        <w:t xml:space="preserve">2.5. </w:t>
      </w:r>
      <w:r>
        <w:rPr>
          <w:u w:val="single"/>
        </w:rPr>
        <w:t>Причины возникновения пробле</w:t>
      </w:r>
      <w:r>
        <w:rPr>
          <w:u w:val="single"/>
        </w:rPr>
        <w:t xml:space="preserve">мы и факторы, поддерживающие ее </w:t>
      </w:r>
      <w:r>
        <w:rPr>
          <w:u w:val="single"/>
        </w:rPr>
        <w:t>существование:</w:t>
      </w:r>
    </w:p>
    <w:p w14:paraId="22000000">
      <w:pPr>
        <w:spacing w:line="240" w:lineRule="auto"/>
        <w:ind/>
        <w:rPr>
          <w:u w:val="single"/>
        </w:rPr>
      </w:pP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  <w:highlight w:val="white"/>
        </w:rPr>
        <w:t>П</w:t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  <w:highlight w:val="white"/>
        </w:rPr>
        <w:t>редыдущая программа действовала до 2023 года включительно</w:t>
      </w:r>
    </w:p>
    <w:p w14:paraId="23000000">
      <w:pPr>
        <w:spacing w:line="240" w:lineRule="auto"/>
        <w:ind/>
        <w:rPr>
          <w:u w:val="single"/>
        </w:rPr>
      </w:pPr>
      <w:r>
        <w:t xml:space="preserve">2.6. </w:t>
      </w:r>
      <w:r>
        <w:rPr>
          <w:u w:val="single"/>
        </w:rPr>
        <w:t>Причины невозможности решения проблемы участниками соответствующих</w:t>
      </w:r>
      <w:r>
        <w:rPr>
          <w:u w:val="single"/>
        </w:rPr>
        <w:t xml:space="preserve"> </w:t>
      </w:r>
      <w:r>
        <w:rPr>
          <w:u w:val="single"/>
        </w:rPr>
        <w:t>отношений самостоятельно, без вмешательства государства:</w:t>
      </w:r>
    </w:p>
    <w:p w14:paraId="24000000">
      <w:pPr>
        <w:spacing w:line="240" w:lineRule="auto"/>
        <w:ind/>
      </w:pPr>
      <w:r>
        <w:t>Полномочия государства.</w:t>
      </w:r>
    </w:p>
    <w:p w14:paraId="25000000">
      <w:pPr>
        <w:spacing w:line="240" w:lineRule="auto"/>
        <w:ind/>
      </w:pPr>
      <w:r>
        <w:t xml:space="preserve">2.7. </w:t>
      </w:r>
      <w:r>
        <w:rPr>
          <w:u w:val="single"/>
        </w:rPr>
        <w:t>Опыт решения аналогичных проблем в других субъектах Российской</w:t>
      </w:r>
      <w:r>
        <w:rPr>
          <w:u w:val="single"/>
        </w:rPr>
        <w:t xml:space="preserve"> </w:t>
      </w:r>
      <w:r>
        <w:rPr>
          <w:u w:val="single"/>
        </w:rPr>
        <w:t>Федерации, иностранных государствах</w:t>
      </w:r>
      <w:r>
        <w:t>: принятие нормативно-правовых актов.</w:t>
      </w:r>
    </w:p>
    <w:p w14:paraId="26000000">
      <w:pPr>
        <w:spacing w:line="240" w:lineRule="auto"/>
        <w:ind/>
      </w:pPr>
      <w:r>
        <w:t xml:space="preserve">2.8. </w:t>
      </w:r>
      <w:r>
        <w:rPr>
          <w:u w:val="single"/>
        </w:rPr>
        <w:t>Источники данных:</w:t>
      </w:r>
      <w:r>
        <w:t xml:space="preserve"> </w:t>
      </w:r>
      <w:r>
        <w:t>Нормативно-правовые акты Российской Федерации.</w:t>
      </w:r>
    </w:p>
    <w:p w14:paraId="27000000">
      <w:pPr>
        <w:spacing w:line="240" w:lineRule="auto"/>
        <w:ind/>
        <w:rPr>
          <w:u w:val="single"/>
        </w:rPr>
      </w:pPr>
      <w:r>
        <w:t xml:space="preserve">2.9. </w:t>
      </w:r>
      <w:r>
        <w:rPr>
          <w:u w:val="single"/>
        </w:rPr>
        <w:t>Иная информация о проблеме:</w:t>
      </w:r>
    </w:p>
    <w:p w14:paraId="28000000">
      <w:pPr>
        <w:spacing w:line="240" w:lineRule="auto"/>
        <w:ind/>
        <w:rPr>
          <w:b w:val="1"/>
        </w:rPr>
      </w:pPr>
      <w:r>
        <w:rPr>
          <w:b w:val="1"/>
        </w:rPr>
        <w:t>3. Определение целей предлага</w:t>
      </w:r>
      <w:r>
        <w:rPr>
          <w:b w:val="1"/>
        </w:rPr>
        <w:t xml:space="preserve">емого правового регулирования и </w:t>
      </w:r>
      <w:r>
        <w:rPr>
          <w:b w:val="1"/>
        </w:rPr>
        <w:t>индикаторов для оценки их достижения</w:t>
      </w:r>
      <w:r>
        <w:rPr>
          <w:b w:val="1"/>
        </w:rPr>
        <w:br/>
      </w:r>
    </w:p>
    <w:tbl>
      <w:tblPr>
        <w:tblStyle w:val="Style_3"/>
        <w:tblW w:type="auto" w:w="0"/>
        <w:tblLayout w:type="fixed"/>
      </w:tblPr>
      <w:tblGrid>
        <w:gridCol w:w="4531"/>
        <w:gridCol w:w="2410"/>
        <w:gridCol w:w="3402"/>
      </w:tblGrid>
      <w:tr>
        <w:tc>
          <w:tcPr>
            <w:tcW w:type="dxa" w:w="4531"/>
          </w:tcPr>
          <w:p w14:paraId="29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3.1. Цели предлагаемого</w:t>
            </w:r>
          </w:p>
          <w:p w14:paraId="2A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правового регулирования</w:t>
            </w:r>
          </w:p>
        </w:tc>
        <w:tc>
          <w:tcPr>
            <w:tcW w:type="dxa" w:w="2410"/>
          </w:tcPr>
          <w:p w14:paraId="2B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3.2. Сроки достижения</w:t>
            </w:r>
          </w:p>
          <w:p w14:paraId="2C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целей предлагаемого</w:t>
            </w:r>
          </w:p>
          <w:p w14:paraId="2D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правового регулирования</w:t>
            </w:r>
          </w:p>
        </w:tc>
        <w:tc>
          <w:tcPr>
            <w:tcW w:type="dxa" w:w="3402"/>
          </w:tcPr>
          <w:p w14:paraId="2E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3.3. Периодичность</w:t>
            </w:r>
          </w:p>
          <w:p w14:paraId="2F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мониторинга</w:t>
            </w:r>
            <w:bookmarkStart w:id="1" w:name="_GoBack"/>
            <w:bookmarkEnd w:id="1"/>
          </w:p>
          <w:p w14:paraId="30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достижения целей</w:t>
            </w:r>
          </w:p>
          <w:p w14:paraId="31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предлагаемого</w:t>
            </w:r>
          </w:p>
          <w:p w14:paraId="32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правового</w:t>
            </w:r>
          </w:p>
          <w:p w14:paraId="33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регулирования</w:t>
            </w:r>
          </w:p>
        </w:tc>
      </w:tr>
      <w:tr>
        <w:tc>
          <w:tcPr>
            <w:tcW w:type="dxa" w:w="4531"/>
          </w:tcPr>
          <w:p w14:paraId="34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Соблюдение юридическими</w:t>
            </w:r>
          </w:p>
          <w:p w14:paraId="35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лицами </w:t>
            </w:r>
            <w:r>
              <w:rPr>
                <w:sz w:val="24"/>
              </w:rPr>
              <w:t>обязательных требований,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установленных Федеральным законом от 30.12.2004 № 214-ФЗ, и принятыми</w:t>
            </w:r>
          </w:p>
          <w:p w14:paraId="36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 с ним иными нормативными правовыми актами Российской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Федерации, а также контроля за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исполнением решений, принимаемых по результатам контрольных</w:t>
            </w:r>
          </w:p>
          <w:p w14:paraId="37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(надзорных) мероприятий</w:t>
            </w:r>
          </w:p>
        </w:tc>
        <w:tc>
          <w:tcPr>
            <w:tcW w:type="dxa" w:w="2410"/>
          </w:tcPr>
          <w:p w14:paraId="38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type="dxa" w:w="3402"/>
          </w:tcPr>
          <w:p w14:paraId="39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</w:tr>
    </w:tbl>
    <w:p w14:paraId="3A000000">
      <w:pPr>
        <w:spacing w:line="240" w:lineRule="auto"/>
        <w:ind/>
        <w:rPr>
          <w:u w:val="single"/>
        </w:rPr>
      </w:pPr>
      <w:r>
        <w:rPr>
          <w:u w:val="single"/>
        </w:rPr>
        <w:t>3.4 Методы расчета индикаторов достижения целей предлагаемого правового</w:t>
      </w:r>
      <w:r>
        <w:rPr>
          <w:u w:val="single"/>
        </w:rPr>
        <w:t xml:space="preserve"> </w:t>
      </w:r>
      <w:r>
        <w:rPr>
          <w:u w:val="single"/>
        </w:rPr>
        <w:t>регулирования, источники информации для расчетов:</w:t>
      </w:r>
    </w:p>
    <w:p w14:paraId="3B000000">
      <w:pPr>
        <w:spacing w:line="240" w:lineRule="auto"/>
        <w:ind/>
        <w:jc w:val="left"/>
      </w:pPr>
      <w:r>
        <w:t>Источник официального опубликования нормативных правовых актов Республики</w:t>
      </w:r>
      <w:r>
        <w:t xml:space="preserve"> </w:t>
      </w:r>
      <w:r>
        <w:t>Саха (Якутия).</w:t>
      </w:r>
    </w:p>
    <w:p w14:paraId="3C000000">
      <w:pPr>
        <w:spacing w:line="240" w:lineRule="auto"/>
        <w:ind/>
      </w:pPr>
      <w:r>
        <w:t xml:space="preserve">3.5. </w:t>
      </w:r>
      <w:r>
        <w:rPr>
          <w:u w:val="single"/>
        </w:rPr>
        <w:t>Проведение мониторинга и иные способы (методы) оценки достижения целей</w:t>
      </w:r>
      <w:r>
        <w:rPr>
          <w:u w:val="single"/>
        </w:rPr>
        <w:t xml:space="preserve"> </w:t>
      </w:r>
      <w:r>
        <w:rPr>
          <w:u w:val="single"/>
        </w:rPr>
        <w:t>предлагаемого правового регулирования:</w:t>
      </w:r>
      <w:r>
        <w:t xml:space="preserve"> мониторинг проводится постоянно</w:t>
      </w:r>
      <w:r>
        <w:t>.</w:t>
      </w:r>
    </w:p>
    <w:p w14:paraId="3D000000">
      <w:pPr>
        <w:spacing w:line="240" w:lineRule="auto"/>
        <w:ind/>
      </w:pPr>
      <w:r>
        <w:t xml:space="preserve">3.6. </w:t>
      </w:r>
      <w:r>
        <w:rPr>
          <w:u w:val="single"/>
        </w:rPr>
        <w:t>Оценка затрат на проведение мониторинга достижения целей предлагаемого</w:t>
      </w:r>
      <w:r>
        <w:rPr>
          <w:u w:val="single"/>
        </w:rPr>
        <w:t xml:space="preserve"> </w:t>
      </w:r>
      <w:r>
        <w:rPr>
          <w:u w:val="single"/>
        </w:rPr>
        <w:t>правового регулирования</w:t>
      </w:r>
      <w:r>
        <w:t>: дополнительные затраты не потребуются.</w:t>
      </w:r>
    </w:p>
    <w:p w14:paraId="3E000000">
      <w:pPr>
        <w:spacing w:line="240" w:lineRule="auto"/>
        <w:ind/>
        <w:jc w:val="left"/>
      </w:pPr>
      <w:r>
        <w:t xml:space="preserve">3.7. </w:t>
      </w:r>
      <w:r>
        <w:rPr>
          <w:u w:val="single"/>
        </w:rPr>
        <w:t>Источники информации для расчета индикаторов:</w:t>
      </w:r>
    </w:p>
    <w:p w14:paraId="3F000000">
      <w:pPr>
        <w:spacing w:line="240" w:lineRule="auto"/>
        <w:ind/>
        <w:jc w:val="left"/>
      </w:pPr>
      <w:r>
        <w:t>Источник официального опубликования нормативных правовых актов Республики</w:t>
      </w:r>
      <w:r>
        <w:t xml:space="preserve"> </w:t>
      </w:r>
      <w:r>
        <w:t>Саха (Якутия).</w:t>
      </w:r>
    </w:p>
    <w:p w14:paraId="40000000">
      <w:pPr>
        <w:spacing w:line="240" w:lineRule="auto"/>
        <w:ind/>
        <w:rPr>
          <w:b w:val="1"/>
        </w:rPr>
      </w:pPr>
      <w:r>
        <w:rPr>
          <w:b w:val="1"/>
        </w:rPr>
        <w:t>4. Качественная характеристика и оценка численности потенциальных</w:t>
      </w:r>
      <w:r>
        <w:rPr>
          <w:b w:val="1"/>
        </w:rPr>
        <w:t xml:space="preserve"> </w:t>
      </w:r>
      <w:r>
        <w:rPr>
          <w:b w:val="1"/>
        </w:rPr>
        <w:t>адресатов предлагаемого правового регулирования (их групп)</w:t>
      </w:r>
    </w:p>
    <w:tbl>
      <w:tblPr>
        <w:tblStyle w:val="Style_3"/>
        <w:tblW w:type="auto" w:w="0"/>
        <w:tblLayout w:type="fixed"/>
      </w:tblPr>
      <w:tblGrid>
        <w:gridCol w:w="4815"/>
        <w:gridCol w:w="2268"/>
        <w:gridCol w:w="3260"/>
      </w:tblGrid>
      <w:tr>
        <w:tc>
          <w:tcPr>
            <w:tcW w:type="dxa" w:w="4815"/>
          </w:tcPr>
          <w:p w14:paraId="41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4.1. Группы потенциальных</w:t>
            </w:r>
          </w:p>
          <w:p w14:paraId="42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адресатов предлагаемого</w:t>
            </w:r>
          </w:p>
          <w:p w14:paraId="43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правового регулирования</w:t>
            </w:r>
          </w:p>
          <w:p w14:paraId="44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(краткое описание их</w:t>
            </w:r>
          </w:p>
          <w:p w14:paraId="45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качественных характеристик)</w:t>
            </w:r>
          </w:p>
        </w:tc>
        <w:tc>
          <w:tcPr>
            <w:tcW w:type="dxa" w:w="2268"/>
          </w:tcPr>
          <w:p w14:paraId="46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4.2. Количество</w:t>
            </w:r>
          </w:p>
          <w:p w14:paraId="47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участников группы</w:t>
            </w:r>
          </w:p>
          <w:p w14:paraId="4800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3260"/>
          </w:tcPr>
          <w:p w14:paraId="49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4.3. Источники данных</w:t>
            </w:r>
          </w:p>
        </w:tc>
      </w:tr>
      <w:tr>
        <w:tc>
          <w:tcPr>
            <w:tcW w:type="dxa" w:w="4815"/>
          </w:tcPr>
          <w:p w14:paraId="4A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Ю</w:t>
            </w:r>
            <w:r>
              <w:rPr>
                <w:sz w:val="24"/>
              </w:rPr>
              <w:t xml:space="preserve">ридические лица, </w:t>
            </w:r>
            <w:r>
              <w:rPr>
                <w:sz w:val="24"/>
              </w:rPr>
              <w:t>физические лица</w:t>
            </w:r>
          </w:p>
        </w:tc>
        <w:tc>
          <w:tcPr>
            <w:tcW w:type="dxa" w:w="2268"/>
          </w:tcPr>
          <w:p w14:paraId="4B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Не менее 20</w:t>
            </w:r>
          </w:p>
        </w:tc>
        <w:tc>
          <w:tcPr>
            <w:tcW w:type="dxa" w:w="3260"/>
          </w:tcPr>
          <w:p w14:paraId="4C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База данных ЕГРЮЛ</w:t>
            </w:r>
          </w:p>
          <w:p w14:paraId="4D000000">
            <w:pPr>
              <w:ind/>
              <w:jc w:val="center"/>
              <w:rPr>
                <w:sz w:val="24"/>
              </w:rPr>
            </w:pPr>
          </w:p>
        </w:tc>
      </w:tr>
    </w:tbl>
    <w:p w14:paraId="4E000000">
      <w:pPr>
        <w:spacing w:line="240" w:lineRule="auto"/>
        <w:ind/>
        <w:rPr>
          <w:b w:val="1"/>
        </w:rPr>
      </w:pPr>
      <w:r>
        <w:rPr>
          <w:b w:val="1"/>
        </w:rPr>
        <w:t>5. Изменение функций (полномоч</w:t>
      </w:r>
      <w:r>
        <w:rPr>
          <w:b w:val="1"/>
        </w:rPr>
        <w:t xml:space="preserve">ий, обязанностей, прав) органов </w:t>
      </w:r>
      <w:r>
        <w:rPr>
          <w:b w:val="1"/>
        </w:rPr>
        <w:t>государственной власти Республики Саха (Якутия) (органов местного</w:t>
      </w:r>
      <w:r>
        <w:rPr>
          <w:b w:val="1"/>
        </w:rPr>
        <w:t xml:space="preserve"> </w:t>
      </w:r>
      <w:r>
        <w:rPr>
          <w:b w:val="1"/>
        </w:rPr>
        <w:t>самоуправления), а также порядка их реализации в связи с введением предлагаемого</w:t>
      </w:r>
      <w:r>
        <w:rPr>
          <w:b w:val="1"/>
        </w:rPr>
        <w:t xml:space="preserve"> </w:t>
      </w:r>
      <w:r>
        <w:rPr>
          <w:b w:val="1"/>
        </w:rPr>
        <w:t>правового регулирования</w:t>
      </w:r>
    </w:p>
    <w:tbl>
      <w:tblPr>
        <w:tblStyle w:val="Style_3"/>
        <w:tblW w:type="auto" w:w="0"/>
        <w:tblLayout w:type="fixed"/>
      </w:tblPr>
      <w:tblGrid>
        <w:gridCol w:w="1869"/>
        <w:gridCol w:w="1494"/>
        <w:gridCol w:w="2351"/>
        <w:gridCol w:w="1869"/>
        <w:gridCol w:w="2760"/>
      </w:tblGrid>
      <w:tr>
        <w:tc>
          <w:tcPr>
            <w:tcW w:type="dxa" w:w="1869"/>
          </w:tcPr>
          <w:p w14:paraId="4F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5.1. Наименование</w:t>
            </w:r>
          </w:p>
          <w:p w14:paraId="50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функции</w:t>
            </w:r>
          </w:p>
          <w:p w14:paraId="51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(полномочия,</w:t>
            </w:r>
          </w:p>
          <w:p w14:paraId="52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обязанности или</w:t>
            </w:r>
          </w:p>
          <w:p w14:paraId="53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права)</w:t>
            </w:r>
          </w:p>
        </w:tc>
        <w:tc>
          <w:tcPr>
            <w:tcW w:type="dxa" w:w="1494"/>
          </w:tcPr>
          <w:p w14:paraId="54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5.2. Характер</w:t>
            </w:r>
          </w:p>
          <w:p w14:paraId="55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функции (новая</w:t>
            </w:r>
          </w:p>
          <w:p w14:paraId="56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/ изменяемая /</w:t>
            </w:r>
          </w:p>
          <w:p w14:paraId="57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отменяемая)</w:t>
            </w:r>
          </w:p>
        </w:tc>
        <w:tc>
          <w:tcPr>
            <w:tcW w:type="dxa" w:w="2351"/>
          </w:tcPr>
          <w:p w14:paraId="58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5.3.</w:t>
            </w:r>
          </w:p>
          <w:p w14:paraId="59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Предполагаемы</w:t>
            </w:r>
          </w:p>
          <w:p w14:paraId="5A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й порядок</w:t>
            </w:r>
          </w:p>
          <w:p w14:paraId="5B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</w:p>
        </w:tc>
        <w:tc>
          <w:tcPr>
            <w:tcW w:type="dxa" w:w="1869"/>
          </w:tcPr>
          <w:p w14:paraId="5C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5.4. Оценка</w:t>
            </w:r>
          </w:p>
          <w:p w14:paraId="5D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изменения</w:t>
            </w:r>
          </w:p>
          <w:p w14:paraId="5E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трудовых затрат</w:t>
            </w:r>
          </w:p>
          <w:p w14:paraId="5F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(чел./час в год),</w:t>
            </w:r>
          </w:p>
          <w:p w14:paraId="60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изменения</w:t>
            </w:r>
          </w:p>
          <w:p w14:paraId="61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численности</w:t>
            </w:r>
          </w:p>
          <w:p w14:paraId="62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</w:p>
          <w:p w14:paraId="63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(чел.)</w:t>
            </w:r>
          </w:p>
        </w:tc>
        <w:tc>
          <w:tcPr>
            <w:tcW w:type="dxa" w:w="2760"/>
          </w:tcPr>
          <w:p w14:paraId="64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5.5. Оценка</w:t>
            </w:r>
          </w:p>
          <w:p w14:paraId="65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изменения</w:t>
            </w:r>
          </w:p>
          <w:p w14:paraId="66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потребностей</w:t>
            </w:r>
          </w:p>
          <w:p w14:paraId="67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 других</w:t>
            </w:r>
          </w:p>
          <w:p w14:paraId="68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ресурсах</w:t>
            </w:r>
          </w:p>
        </w:tc>
      </w:tr>
      <w:tr>
        <w:tc>
          <w:tcPr>
            <w:tcW w:type="dxa" w:w="1869"/>
          </w:tcPr>
          <w:p w14:paraId="69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Введение новых</w:t>
            </w:r>
          </w:p>
          <w:p w14:paraId="6A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функций,</w:t>
            </w:r>
          </w:p>
          <w:p w14:paraId="6B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полномочий,</w:t>
            </w:r>
          </w:p>
          <w:p w14:paraId="6C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обязанност</w:t>
            </w:r>
            <w:r>
              <w:rPr>
                <w:sz w:val="24"/>
              </w:rPr>
              <w:t xml:space="preserve">ей или </w:t>
            </w:r>
            <w:r>
              <w:rPr>
                <w:sz w:val="24"/>
              </w:rPr>
              <w:t>прав не</w:t>
            </w:r>
          </w:p>
          <w:p w14:paraId="6D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планируется</w:t>
            </w:r>
          </w:p>
        </w:tc>
        <w:tc>
          <w:tcPr>
            <w:tcW w:type="dxa" w:w="1494"/>
          </w:tcPr>
          <w:p w14:paraId="6E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2351"/>
          </w:tcPr>
          <w:p w14:paraId="6F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 этап –</w:t>
            </w:r>
          </w:p>
          <w:p w14:paraId="70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рассмотрение </w:t>
            </w:r>
          </w:p>
          <w:p w14:paraId="71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этап – внесение</w:t>
            </w:r>
          </w:p>
          <w:p w14:paraId="72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предложений и</w:t>
            </w:r>
          </w:p>
          <w:p w14:paraId="73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замечаний </w:t>
            </w:r>
          </w:p>
          <w:p w14:paraId="74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этап –</w:t>
            </w:r>
          </w:p>
          <w:p w14:paraId="75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согласование </w:t>
            </w:r>
          </w:p>
          <w:p w14:paraId="76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этап – свод</w:t>
            </w:r>
          </w:p>
          <w:p w14:paraId="77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данных </w:t>
            </w:r>
          </w:p>
          <w:p w14:paraId="78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 этап –</w:t>
            </w:r>
          </w:p>
          <w:p w14:paraId="79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утверждение и</w:t>
            </w:r>
          </w:p>
          <w:p w14:paraId="7A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вступление в</w:t>
            </w:r>
          </w:p>
          <w:p w14:paraId="7B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законную силу</w:t>
            </w:r>
          </w:p>
          <w:p w14:paraId="7C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проекта</w:t>
            </w:r>
          </w:p>
          <w:p w14:paraId="7D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постановления</w:t>
            </w:r>
          </w:p>
        </w:tc>
        <w:tc>
          <w:tcPr>
            <w:tcW w:type="dxa" w:w="1869"/>
          </w:tcPr>
          <w:p w14:paraId="7E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 пределах</w:t>
            </w:r>
          </w:p>
          <w:p w14:paraId="7F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существующей</w:t>
            </w:r>
          </w:p>
          <w:p w14:paraId="80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штатной</w:t>
            </w:r>
          </w:p>
          <w:p w14:paraId="81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численности</w:t>
            </w:r>
          </w:p>
          <w:p w14:paraId="82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Министерства</w:t>
            </w:r>
          </w:p>
        </w:tc>
        <w:tc>
          <w:tcPr>
            <w:tcW w:type="dxa" w:w="2760"/>
          </w:tcPr>
          <w:p w14:paraId="83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</w:tbl>
    <w:p w14:paraId="84000000">
      <w:pPr>
        <w:spacing w:line="240" w:lineRule="auto"/>
        <w:ind/>
        <w:rPr>
          <w:b w:val="1"/>
        </w:rPr>
      </w:pPr>
      <w:r>
        <w:rPr>
          <w:b w:val="1"/>
        </w:rPr>
        <w:t>6. Оценка дополнительных расходов (доходов) государственного бюджета</w:t>
      </w:r>
      <w:r>
        <w:rPr>
          <w:b w:val="1"/>
        </w:rPr>
        <w:t xml:space="preserve"> </w:t>
      </w:r>
      <w:r>
        <w:rPr>
          <w:b w:val="1"/>
        </w:rPr>
        <w:t>Республики Саха (Якутия) (местных бюджетов), связанных с введением</w:t>
      </w:r>
      <w:r>
        <w:rPr>
          <w:b w:val="1"/>
        </w:rPr>
        <w:t xml:space="preserve"> </w:t>
      </w:r>
      <w:r>
        <w:rPr>
          <w:b w:val="1"/>
        </w:rPr>
        <w:t>предлагаемого правового регулирования</w:t>
      </w:r>
    </w:p>
    <w:tbl>
      <w:tblPr>
        <w:tblStyle w:val="Style_3"/>
        <w:tblW w:type="auto" w:w="0"/>
        <w:tblLayout w:type="fixed"/>
      </w:tblPr>
      <w:tblGrid>
        <w:gridCol w:w="2972"/>
        <w:gridCol w:w="3258"/>
        <w:gridCol w:w="3971"/>
      </w:tblGrid>
      <w:tr>
        <w:tc>
          <w:tcPr>
            <w:tcW w:type="dxa" w:w="2972"/>
          </w:tcPr>
          <w:p w14:paraId="85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6.1. Наименование</w:t>
            </w:r>
          </w:p>
          <w:p w14:paraId="86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функции (полномочия,</w:t>
            </w:r>
          </w:p>
          <w:p w14:paraId="87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обязанности или права) (в</w:t>
            </w:r>
          </w:p>
          <w:p w14:paraId="88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соответствии с</w:t>
            </w:r>
          </w:p>
          <w:p w14:paraId="89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подпунктом 5.1)</w:t>
            </w:r>
          </w:p>
        </w:tc>
        <w:tc>
          <w:tcPr>
            <w:tcW w:type="dxa" w:w="3258"/>
          </w:tcPr>
          <w:p w14:paraId="8A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6.2. Виды расходов (возможных </w:t>
            </w:r>
            <w:r>
              <w:rPr>
                <w:sz w:val="24"/>
              </w:rPr>
              <w:t>поступлений) государственного</w:t>
            </w:r>
          </w:p>
          <w:p w14:paraId="8B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бюджета Республики Саха</w:t>
            </w:r>
          </w:p>
          <w:p w14:paraId="8C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(Якутия) (местных </w:t>
            </w:r>
            <w:r>
              <w:rPr>
                <w:sz w:val="24"/>
              </w:rPr>
              <w:t>бюджетов)</w:t>
            </w:r>
          </w:p>
        </w:tc>
        <w:tc>
          <w:tcPr>
            <w:tcW w:type="dxa" w:w="3971"/>
          </w:tcPr>
          <w:p w14:paraId="8D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6.3. Количественная</w:t>
            </w:r>
          </w:p>
          <w:p w14:paraId="8E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оценка расходов и</w:t>
            </w:r>
          </w:p>
          <w:p w14:paraId="8F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возможных поступлений,</w:t>
            </w:r>
          </w:p>
          <w:p w14:paraId="90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млн. рублей</w:t>
            </w:r>
          </w:p>
        </w:tc>
      </w:tr>
      <w:tr>
        <w:tc>
          <w:tcPr>
            <w:tcW w:type="dxa" w:w="2972"/>
          </w:tcPr>
          <w:p w14:paraId="91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Введение новых или</w:t>
            </w:r>
          </w:p>
          <w:p w14:paraId="92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>зменение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существующих функций,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полномочий,</w:t>
            </w:r>
          </w:p>
          <w:p w14:paraId="93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обязанностей или прав не</w:t>
            </w:r>
          </w:p>
          <w:p w14:paraId="94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планируется</w:t>
            </w:r>
          </w:p>
        </w:tc>
        <w:tc>
          <w:tcPr>
            <w:tcW w:type="dxa" w:w="3258"/>
          </w:tcPr>
          <w:p w14:paraId="95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3971"/>
          </w:tcPr>
          <w:p w14:paraId="96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97000000">
      <w:pPr>
        <w:spacing w:line="240" w:lineRule="auto"/>
        <w:ind/>
      </w:pPr>
      <w:r>
        <w:rPr>
          <w:u w:val="single"/>
        </w:rPr>
        <w:t>6.4. Другие сведения о дополнительных расходах (доходах) государственного</w:t>
      </w:r>
      <w:r>
        <w:rPr>
          <w:u w:val="single"/>
        </w:rPr>
        <w:t xml:space="preserve"> </w:t>
      </w:r>
      <w:r>
        <w:rPr>
          <w:u w:val="single"/>
        </w:rPr>
        <w:t>бюджета Республики Саха (Якутия) (местных бюджетов), возникающих в связи с</w:t>
      </w:r>
      <w:r>
        <w:rPr>
          <w:u w:val="single"/>
        </w:rPr>
        <w:t xml:space="preserve"> </w:t>
      </w:r>
      <w:r>
        <w:rPr>
          <w:u w:val="single"/>
        </w:rPr>
        <w:t>введением предлагаемого правового регулирования:</w:t>
      </w:r>
      <w:r>
        <w:t xml:space="preserve"> дополнительные расходы</w:t>
      </w:r>
      <w:r>
        <w:t xml:space="preserve"> </w:t>
      </w:r>
      <w:r>
        <w:t>отсутствуют.</w:t>
      </w:r>
    </w:p>
    <w:p w14:paraId="98000000">
      <w:pPr>
        <w:spacing w:line="240" w:lineRule="auto"/>
        <w:ind/>
      </w:pPr>
      <w:r>
        <w:t xml:space="preserve">6.5. </w:t>
      </w:r>
      <w:r>
        <w:rPr>
          <w:u w:val="single"/>
        </w:rPr>
        <w:t xml:space="preserve">Источники данных: </w:t>
      </w:r>
      <w:r>
        <w:t>дополнительные расходы отсутствуют.</w:t>
      </w:r>
    </w:p>
    <w:p w14:paraId="99000000">
      <w:pPr>
        <w:spacing w:line="240" w:lineRule="auto"/>
        <w:ind/>
        <w:rPr>
          <w:b w:val="1"/>
        </w:rPr>
      </w:pPr>
      <w:r>
        <w:rPr>
          <w:b w:val="1"/>
        </w:rPr>
        <w:t>7. Изменение обязанностей (огран</w:t>
      </w:r>
      <w:r>
        <w:rPr>
          <w:b w:val="1"/>
        </w:rPr>
        <w:t xml:space="preserve">ичений) потенциальных адресатов </w:t>
      </w:r>
      <w:r>
        <w:rPr>
          <w:b w:val="1"/>
        </w:rPr>
        <w:t>предлагаемого правового регулирования и связанные с ними дополнительные</w:t>
      </w:r>
      <w:r>
        <w:rPr>
          <w:b w:val="1"/>
        </w:rPr>
        <w:t xml:space="preserve"> </w:t>
      </w:r>
      <w:r>
        <w:rPr>
          <w:b w:val="1"/>
        </w:rPr>
        <w:t>расходы (доходы)</w:t>
      </w:r>
      <w:r>
        <w:rPr>
          <w:b w:val="1"/>
        </w:rPr>
        <w:br/>
      </w:r>
    </w:p>
    <w:tbl>
      <w:tblPr>
        <w:tblStyle w:val="Style_3"/>
        <w:tblW w:type="auto" w:w="0"/>
        <w:tblLayout w:type="fixed"/>
      </w:tblPr>
      <w:tblGrid>
        <w:gridCol w:w="4672"/>
        <w:gridCol w:w="5529"/>
      </w:tblGrid>
      <w:tr>
        <w:tc>
          <w:tcPr>
            <w:tcW w:type="dxa" w:w="4672"/>
          </w:tcPr>
          <w:p w14:paraId="9A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7.1. Группы потенциальных</w:t>
            </w:r>
          </w:p>
          <w:p w14:paraId="9B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адресатов предлагаемого</w:t>
            </w:r>
          </w:p>
          <w:p w14:paraId="9C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правового регулирования (в</w:t>
            </w:r>
          </w:p>
          <w:p w14:paraId="9D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соответствии с пп. 4.1 сводного</w:t>
            </w:r>
          </w:p>
          <w:p w14:paraId="9E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отчета)</w:t>
            </w:r>
          </w:p>
        </w:tc>
        <w:tc>
          <w:tcPr>
            <w:tcW w:type="dxa" w:w="5529"/>
          </w:tcPr>
          <w:p w14:paraId="9F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7.2. Новые обяза</w:t>
            </w:r>
            <w:r>
              <w:rPr>
                <w:sz w:val="24"/>
              </w:rPr>
              <w:t xml:space="preserve">нности и ограничения, изменения </w:t>
            </w:r>
            <w:r>
              <w:rPr>
                <w:sz w:val="24"/>
              </w:rPr>
              <w:t>существую</w:t>
            </w:r>
            <w:r>
              <w:rPr>
                <w:sz w:val="24"/>
              </w:rPr>
              <w:t xml:space="preserve">щих обязанностей и ограничений, </w:t>
            </w:r>
            <w:r>
              <w:rPr>
                <w:sz w:val="24"/>
              </w:rPr>
              <w:t>вводимые предлагаемым правовым регулированием</w:t>
            </w:r>
          </w:p>
          <w:p w14:paraId="A0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(с указанием со</w:t>
            </w:r>
            <w:r>
              <w:rPr>
                <w:sz w:val="24"/>
              </w:rPr>
              <w:t xml:space="preserve">ответствующих положений проекта </w:t>
            </w:r>
            <w:r>
              <w:rPr>
                <w:sz w:val="24"/>
              </w:rPr>
              <w:t>нормативного правового акта)</w:t>
            </w:r>
          </w:p>
        </w:tc>
      </w:tr>
      <w:tr>
        <w:tc>
          <w:tcPr>
            <w:tcW w:type="dxa" w:w="4672"/>
          </w:tcPr>
          <w:p w14:paraId="A1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Ю</w:t>
            </w:r>
            <w:r>
              <w:rPr>
                <w:sz w:val="24"/>
              </w:rPr>
              <w:t>ридические лица,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физические лица</w:t>
            </w:r>
          </w:p>
        </w:tc>
        <w:tc>
          <w:tcPr>
            <w:tcW w:type="dxa" w:w="5529"/>
          </w:tcPr>
          <w:p w14:paraId="A2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A3000000">
      <w:pPr>
        <w:spacing w:line="240" w:lineRule="auto"/>
        <w:ind/>
      </w:pPr>
      <w:r>
        <w:t xml:space="preserve">7.3. </w:t>
      </w:r>
      <w:r>
        <w:rPr>
          <w:u w:val="single"/>
        </w:rPr>
        <w:t>Издержки и выгоды адресатов предлагаемого правового регулирования, не</w:t>
      </w:r>
      <w:r>
        <w:rPr>
          <w:u w:val="single"/>
        </w:rPr>
        <w:t xml:space="preserve"> </w:t>
      </w:r>
      <w:r>
        <w:rPr>
          <w:u w:val="single"/>
        </w:rPr>
        <w:t>поддающиеся количественной оценке</w:t>
      </w:r>
      <w:r>
        <w:t>: отсутствуют.</w:t>
      </w:r>
    </w:p>
    <w:p w14:paraId="A4000000">
      <w:pPr>
        <w:spacing w:line="240" w:lineRule="auto"/>
        <w:ind/>
      </w:pPr>
      <w:r>
        <w:t xml:space="preserve">7.4. </w:t>
      </w:r>
      <w:r>
        <w:rPr>
          <w:u w:val="single"/>
        </w:rPr>
        <w:t>Источники данных:</w:t>
      </w:r>
      <w:r>
        <w:t xml:space="preserve"> новые обязанности не вводятся.</w:t>
      </w:r>
    </w:p>
    <w:p w14:paraId="A5000000">
      <w:pPr>
        <w:spacing w:line="240" w:lineRule="auto"/>
        <w:ind/>
        <w:rPr>
          <w:b w:val="1"/>
        </w:rPr>
      </w:pPr>
      <w:r>
        <w:rPr>
          <w:b w:val="1"/>
        </w:rPr>
        <w:t>8. Оценка рисков неблагоприятных после</w:t>
      </w:r>
      <w:r>
        <w:rPr>
          <w:b w:val="1"/>
        </w:rPr>
        <w:t xml:space="preserve">дствий применения предлагаемого </w:t>
      </w:r>
      <w:r>
        <w:rPr>
          <w:b w:val="1"/>
        </w:rPr>
        <w:t>правового регулирования</w:t>
      </w:r>
    </w:p>
    <w:tbl>
      <w:tblPr>
        <w:tblStyle w:val="Style_3"/>
        <w:tblW w:type="auto" w:w="0"/>
        <w:jc w:val="center"/>
        <w:tblLayout w:type="fixed"/>
      </w:tblPr>
      <w:tblGrid>
        <w:gridCol w:w="2336"/>
        <w:gridCol w:w="2336"/>
        <w:gridCol w:w="2336"/>
        <w:gridCol w:w="2768"/>
      </w:tblGrid>
      <w:tr>
        <w:tc>
          <w:tcPr>
            <w:tcW w:type="dxa" w:w="2336"/>
          </w:tcPr>
          <w:p w14:paraId="A6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8.1. Виды рисков</w:t>
            </w:r>
          </w:p>
        </w:tc>
        <w:tc>
          <w:tcPr>
            <w:tcW w:type="dxa" w:w="2336"/>
          </w:tcPr>
          <w:p w14:paraId="A7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8.2. Оценка вероятности</w:t>
            </w:r>
          </w:p>
          <w:p w14:paraId="A8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наступления</w:t>
            </w:r>
          </w:p>
          <w:p w14:paraId="A9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неблагоприятных</w:t>
            </w:r>
          </w:p>
          <w:p w14:paraId="AA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последствий</w:t>
            </w:r>
          </w:p>
        </w:tc>
        <w:tc>
          <w:tcPr>
            <w:tcW w:type="dxa" w:w="2336"/>
          </w:tcPr>
          <w:p w14:paraId="AB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8.3. Методы</w:t>
            </w:r>
          </w:p>
          <w:p w14:paraId="AC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контроля рисков</w:t>
            </w:r>
          </w:p>
        </w:tc>
        <w:tc>
          <w:tcPr>
            <w:tcW w:type="dxa" w:w="2768"/>
          </w:tcPr>
          <w:p w14:paraId="AD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8.4. Степень</w:t>
            </w:r>
          </w:p>
          <w:p w14:paraId="AE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контроля рисков</w:t>
            </w:r>
          </w:p>
          <w:p w14:paraId="AF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(полный/частичны</w:t>
            </w:r>
          </w:p>
          <w:p w14:paraId="B0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й/отсутствует)</w:t>
            </w:r>
          </w:p>
        </w:tc>
      </w:tr>
      <w:tr>
        <w:tc>
          <w:tcPr>
            <w:tcW w:type="dxa" w:w="2336"/>
          </w:tcPr>
          <w:p w14:paraId="B1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Риски отсутствуют</w:t>
            </w:r>
          </w:p>
        </w:tc>
        <w:tc>
          <w:tcPr>
            <w:tcW w:type="dxa" w:w="2336"/>
          </w:tcPr>
          <w:p w14:paraId="B2000000">
            <w:pPr>
              <w:ind w:firstLine="0"/>
              <w:rPr>
                <w:sz w:val="24"/>
              </w:rPr>
            </w:pPr>
          </w:p>
        </w:tc>
        <w:tc>
          <w:tcPr>
            <w:tcW w:type="dxa" w:w="2336"/>
          </w:tcPr>
          <w:p w14:paraId="B3000000">
            <w:pPr>
              <w:ind w:firstLine="0"/>
              <w:rPr>
                <w:sz w:val="24"/>
              </w:rPr>
            </w:pPr>
          </w:p>
        </w:tc>
        <w:tc>
          <w:tcPr>
            <w:tcW w:type="dxa" w:w="2768"/>
          </w:tcPr>
          <w:p w14:paraId="B4000000">
            <w:pPr>
              <w:ind w:firstLine="0"/>
              <w:rPr>
                <w:sz w:val="24"/>
              </w:rPr>
            </w:pPr>
          </w:p>
        </w:tc>
      </w:tr>
    </w:tbl>
    <w:p w14:paraId="B5000000">
      <w:pPr>
        <w:spacing w:line="240" w:lineRule="auto"/>
        <w:ind/>
      </w:pPr>
      <w:r>
        <w:t>8.5. Источники данных:</w:t>
      </w:r>
    </w:p>
    <w:p w14:paraId="B6000000">
      <w:pPr>
        <w:spacing w:line="240" w:lineRule="auto"/>
        <w:ind/>
        <w:rPr>
          <w:b w:val="1"/>
        </w:rPr>
      </w:pPr>
      <w:r>
        <w:rPr>
          <w:b w:val="1"/>
        </w:rPr>
        <w:t>9. Сравнение возможных вариантов решения проблемы</w:t>
      </w:r>
    </w:p>
    <w:tbl>
      <w:tblPr>
        <w:tblStyle w:val="Style_3"/>
        <w:tblW w:type="auto" w:w="0"/>
        <w:tblInd w:type="dxa" w:w="279"/>
        <w:tblLayout w:type="fixed"/>
      </w:tblPr>
      <w:tblGrid>
        <w:gridCol w:w="2836"/>
        <w:gridCol w:w="3115"/>
        <w:gridCol w:w="3830"/>
      </w:tblGrid>
      <w:tr>
        <w:tc>
          <w:tcPr>
            <w:tcW w:type="dxa" w:w="2836"/>
          </w:tcPr>
          <w:p w14:paraId="B700000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type="dxa" w:w="3115"/>
          </w:tcPr>
          <w:p w14:paraId="B8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Вариант 1</w:t>
            </w:r>
          </w:p>
        </w:tc>
        <w:tc>
          <w:tcPr>
            <w:tcW w:type="dxa" w:w="3830"/>
          </w:tcPr>
          <w:p w14:paraId="B9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Вариант 2</w:t>
            </w:r>
          </w:p>
        </w:tc>
      </w:tr>
      <w:tr>
        <w:tc>
          <w:tcPr>
            <w:tcW w:type="dxa" w:w="2836"/>
          </w:tcPr>
          <w:p w14:paraId="BA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9.1. Содержание варианта решения проблемы</w:t>
            </w:r>
          </w:p>
        </w:tc>
        <w:tc>
          <w:tcPr>
            <w:tcW w:type="dxa" w:w="3115"/>
          </w:tcPr>
          <w:p w14:paraId="BB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z w:val="24"/>
              </w:rPr>
              <w:t xml:space="preserve"> Положени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 региональном гос</w:t>
            </w:r>
            <w:r>
              <w:rPr>
                <w:sz w:val="24"/>
              </w:rPr>
              <w:t xml:space="preserve">ударственном контроле (надзоре) </w:t>
            </w:r>
            <w:r>
              <w:rPr>
                <w:sz w:val="24"/>
              </w:rPr>
              <w:t>в области долевого строительства многоквартирных домов</w:t>
            </w:r>
          </w:p>
          <w:p w14:paraId="BC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и (или) иных объектов недвижимости</w:t>
            </w:r>
            <w:r>
              <w:rPr>
                <w:sz w:val="24"/>
              </w:rPr>
              <w:t xml:space="preserve"> </w:t>
            </w:r>
          </w:p>
          <w:p w14:paraId="BD00000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type="dxa" w:w="3830"/>
          </w:tcPr>
          <w:p w14:paraId="BE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>
              <w:rPr>
                <w:sz w:val="24"/>
              </w:rPr>
              <w:t>утверждение</w:t>
            </w:r>
          </w:p>
        </w:tc>
      </w:tr>
      <w:tr>
        <w:tc>
          <w:tcPr>
            <w:tcW w:type="dxa" w:w="2836"/>
          </w:tcPr>
          <w:p w14:paraId="BF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9.2. Качественная характеристика и оценка</w:t>
            </w:r>
          </w:p>
          <w:p w14:paraId="C0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динамики численности потенциальных</w:t>
            </w:r>
          </w:p>
          <w:p w14:paraId="C1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ад</w:t>
            </w:r>
            <w:r>
              <w:rPr>
                <w:sz w:val="24"/>
              </w:rPr>
              <w:t xml:space="preserve">ресатов предлагаемого правового </w:t>
            </w:r>
            <w:r>
              <w:rPr>
                <w:sz w:val="24"/>
              </w:rPr>
              <w:t xml:space="preserve">регулирования в среднесрочном периоде </w:t>
            </w:r>
          </w:p>
          <w:p w14:paraId="C2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(1 </w:t>
            </w:r>
            <w:r>
              <w:rPr>
                <w:sz w:val="24"/>
              </w:rPr>
              <w:t xml:space="preserve">– 3 </w:t>
            </w:r>
            <w:r>
              <w:rPr>
                <w:sz w:val="24"/>
              </w:rPr>
              <w:t>года)</w:t>
            </w:r>
          </w:p>
        </w:tc>
        <w:tc>
          <w:tcPr>
            <w:tcW w:type="dxa" w:w="3115"/>
          </w:tcPr>
          <w:p w14:paraId="C3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Ю</w:t>
            </w:r>
            <w:r>
              <w:rPr>
                <w:sz w:val="24"/>
              </w:rPr>
              <w:t>ридические и</w:t>
            </w:r>
          </w:p>
          <w:p w14:paraId="C4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type="dxa" w:w="3830"/>
          </w:tcPr>
          <w:p w14:paraId="C5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2836"/>
          </w:tcPr>
          <w:p w14:paraId="C6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9.3. Оценка рисков неблагоприятных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</w:p>
        </w:tc>
        <w:tc>
          <w:tcPr>
            <w:tcW w:type="dxa" w:w="3115"/>
          </w:tcPr>
          <w:p w14:paraId="C7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3830"/>
          </w:tcPr>
          <w:p w14:paraId="C8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2836"/>
          </w:tcPr>
          <w:p w14:paraId="C9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9.4. Необходимые для достижения заявленных</w:t>
            </w:r>
          </w:p>
          <w:p w14:paraId="CA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целей регулирования организационно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технические, методологические,</w:t>
            </w:r>
          </w:p>
          <w:p w14:paraId="CB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информационные и иные мероприятия, общий</w:t>
            </w:r>
          </w:p>
          <w:p w14:paraId="CC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объем затрат</w:t>
            </w:r>
          </w:p>
        </w:tc>
        <w:tc>
          <w:tcPr>
            <w:tcW w:type="dxa" w:w="3115"/>
          </w:tcPr>
          <w:p w14:paraId="CD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3830"/>
          </w:tcPr>
          <w:p w14:paraId="CE00000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CF000000">
      <w:pPr>
        <w:spacing w:line="240" w:lineRule="auto"/>
        <w:ind/>
        <w:rPr>
          <w:b w:val="1"/>
        </w:rPr>
      </w:pPr>
      <w:r>
        <w:rPr>
          <w:b w:val="1"/>
        </w:rPr>
        <w:t>9.5. Детальное описание предлагаемого варианта решения проблемы:</w:t>
      </w:r>
    </w:p>
    <w:p w14:paraId="D0000000">
      <w:pPr>
        <w:spacing w:line="240" w:lineRule="auto"/>
        <w:ind/>
      </w:pPr>
      <w:r>
        <w:t xml:space="preserve">Принятие </w:t>
      </w:r>
      <w:r>
        <w:rPr>
          <w:rStyle w:val="Style_1_ch"/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распоряжения Правительства Республики Саха (Якутия)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sz w:val="28"/>
        </w:rPr>
        <w:t>«Об</w:t>
      </w:r>
      <w:r>
        <w:rPr>
          <w:rFonts w:ascii="PT Astra Serif" w:hAnsi="PT Astra Serif"/>
          <w:spacing w:val="-7"/>
          <w:sz w:val="28"/>
        </w:rPr>
        <w:t xml:space="preserve"> </w:t>
      </w:r>
      <w:r>
        <w:rPr>
          <w:rFonts w:ascii="PT Astra Serif" w:hAnsi="PT Astra Serif"/>
          <w:sz w:val="28"/>
        </w:rPr>
        <w:t>утверждении</w:t>
      </w:r>
      <w:r>
        <w:rPr>
          <w:rFonts w:ascii="PT Astra Serif" w:hAnsi="PT Astra Serif"/>
          <w:spacing w:val="-8"/>
          <w:sz w:val="28"/>
        </w:rPr>
        <w:t xml:space="preserve"> </w:t>
      </w:r>
      <w:r>
        <w:rPr>
          <w:rFonts w:ascii="PT Astra Serif" w:hAnsi="PT Astra Serif"/>
          <w:sz w:val="28"/>
        </w:rPr>
        <w:t>программы</w:t>
      </w:r>
      <w:r>
        <w:rPr>
          <w:rFonts w:ascii="PT Astra Serif" w:hAnsi="PT Astra Serif"/>
          <w:spacing w:val="-7"/>
          <w:sz w:val="28"/>
        </w:rPr>
        <w:t xml:space="preserve"> </w:t>
      </w:r>
      <w:r>
        <w:rPr>
          <w:rFonts w:ascii="PT Astra Serif" w:hAnsi="PT Astra Serif"/>
          <w:sz w:val="28"/>
        </w:rPr>
        <w:t>«Обеспечение</w:t>
      </w:r>
      <w:r>
        <w:rPr>
          <w:rFonts w:ascii="PT Astra Serif" w:hAnsi="PT Astra Serif"/>
          <w:spacing w:val="-7"/>
          <w:sz w:val="28"/>
        </w:rPr>
        <w:t xml:space="preserve"> </w:t>
      </w:r>
      <w:r>
        <w:rPr>
          <w:rFonts w:ascii="PT Astra Serif" w:hAnsi="PT Astra Serif"/>
          <w:sz w:val="28"/>
        </w:rPr>
        <w:t>защиты</w:t>
      </w:r>
      <w:r>
        <w:rPr>
          <w:rFonts w:ascii="PT Astra Serif" w:hAnsi="PT Astra Serif"/>
          <w:spacing w:val="-7"/>
          <w:sz w:val="28"/>
        </w:rPr>
        <w:t xml:space="preserve"> </w:t>
      </w:r>
      <w:r>
        <w:rPr>
          <w:rFonts w:ascii="PT Astra Serif" w:hAnsi="PT Astra Serif"/>
          <w:sz w:val="28"/>
        </w:rPr>
        <w:t>прав потребителей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pacing w:val="-3"/>
          <w:sz w:val="28"/>
        </w:rPr>
        <w:t xml:space="preserve"> </w:t>
      </w:r>
      <w:r>
        <w:rPr>
          <w:rFonts w:ascii="PT Astra Serif" w:hAnsi="PT Astra Serif"/>
          <w:sz w:val="28"/>
        </w:rPr>
        <w:t>Республике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Саха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(Якутия)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на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2026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2030</w:t>
      </w:r>
      <w:r>
        <w:rPr>
          <w:rFonts w:ascii="PT Astra Serif" w:hAnsi="PT Astra Serif"/>
          <w:spacing w:val="-1"/>
          <w:sz w:val="28"/>
        </w:rPr>
        <w:t xml:space="preserve"> </w:t>
      </w:r>
      <w:r>
        <w:rPr>
          <w:rFonts w:ascii="PT Astra Serif" w:hAnsi="PT Astra Serif"/>
          <w:spacing w:val="-2"/>
          <w:sz w:val="28"/>
        </w:rPr>
        <w:t>годы»</w:t>
      </w:r>
    </w:p>
    <w:p w14:paraId="D1000000">
      <w:pPr>
        <w:spacing w:line="240" w:lineRule="auto"/>
        <w:ind/>
        <w:rPr>
          <w:b w:val="1"/>
        </w:rPr>
      </w:pPr>
      <w:r>
        <w:rPr>
          <w:b w:val="1"/>
        </w:rPr>
        <w:t>Заполняется по итогам проведения пу</w:t>
      </w:r>
      <w:r>
        <w:rPr>
          <w:b w:val="1"/>
        </w:rPr>
        <w:t xml:space="preserve">бличных консультаций по проекту </w:t>
      </w:r>
      <w:r>
        <w:rPr>
          <w:b w:val="1"/>
        </w:rPr>
        <w:t>нормативного правового акта и сводного отчета:</w:t>
      </w:r>
    </w:p>
    <w:p w14:paraId="D2000000">
      <w:pPr>
        <w:spacing w:line="240" w:lineRule="auto"/>
        <w:ind/>
      </w:pPr>
      <w:r>
        <w:t>10. Информация о сроках проведения публичных консультаций по проекту</w:t>
      </w:r>
      <w:r>
        <w:t xml:space="preserve"> </w:t>
      </w:r>
      <w:r>
        <w:t>нормативного правового акта и сводному отчету:</w:t>
      </w:r>
    </w:p>
    <w:p w14:paraId="D3000000">
      <w:pPr>
        <w:spacing w:line="240" w:lineRule="auto"/>
        <w:ind/>
      </w:pPr>
      <w:r>
        <w:t>10.1. Срок, в течение которого принимались предложения в связи с публичными</w:t>
      </w:r>
      <w:r>
        <w:t xml:space="preserve"> </w:t>
      </w:r>
      <w:r>
        <w:t>консультациями по проекту нормативного правового акта и сводному отчету об оценке</w:t>
      </w:r>
      <w:r>
        <w:t xml:space="preserve"> </w:t>
      </w:r>
      <w:r>
        <w:t>регулирующего воздействия:</w:t>
      </w:r>
    </w:p>
    <w:p w14:paraId="D4000000">
      <w:pPr>
        <w:spacing w:line="240" w:lineRule="auto"/>
        <w:ind/>
      </w:pPr>
      <w:r>
        <w:t>начало:</w:t>
      </w:r>
    </w:p>
    <w:p w14:paraId="D5000000">
      <w:pPr>
        <w:spacing w:line="240" w:lineRule="auto"/>
        <w:ind/>
      </w:pPr>
      <w:r>
        <w:t>окончание:</w:t>
      </w:r>
    </w:p>
    <w:p w14:paraId="D6000000">
      <w:pPr>
        <w:spacing w:line="240" w:lineRule="auto"/>
        <w:ind/>
      </w:pPr>
      <w:r>
        <w:t>10.2. Сведения о количестве замечаний и предложений, полученных в ходе</w:t>
      </w:r>
      <w:r>
        <w:t xml:space="preserve"> </w:t>
      </w:r>
      <w:r>
        <w:t>публичных консультаций по проекту нормативного правового акта:</w:t>
      </w:r>
    </w:p>
    <w:p w14:paraId="D7000000">
      <w:pPr>
        <w:spacing w:line="240" w:lineRule="auto"/>
        <w:ind/>
      </w:pPr>
      <w:r>
        <w:t>Всего замечаний и предложений:</w:t>
      </w:r>
    </w:p>
    <w:p w14:paraId="D8000000">
      <w:pPr>
        <w:spacing w:line="240" w:lineRule="auto"/>
        <w:ind/>
      </w:pPr>
      <w:r>
        <w:t>полностью</w:t>
      </w:r>
      <w:r>
        <w:t>: ,</w:t>
      </w:r>
      <w:r>
        <w:t xml:space="preserve"> учтено частично:</w:t>
      </w:r>
    </w:p>
    <w:p w14:paraId="D9000000">
      <w:pPr>
        <w:spacing w:line="240" w:lineRule="auto"/>
        <w:ind/>
      </w:pPr>
      <w:r>
        <w:t>10.3. Полный электронный адрес размещения сводки предложений, поступивших по</w:t>
      </w:r>
      <w:r>
        <w:t xml:space="preserve"> </w:t>
      </w:r>
      <w:r>
        <w:t>итогам проведения публичных консультаций по проекту нормативного правового акта:</w:t>
      </w:r>
    </w:p>
    <w:p w14:paraId="DA000000">
      <w:pPr>
        <w:spacing w:line="240" w:lineRule="auto"/>
        <w:ind/>
      </w:pPr>
    </w:p>
    <w:p w14:paraId="DB000000">
      <w:pPr>
        <w:spacing w:line="200" w:lineRule="exact"/>
        <w:ind/>
        <w:rPr>
          <w:sz w:val="20"/>
        </w:rPr>
      </w:pPr>
    </w:p>
    <w:p w14:paraId="DC000000">
      <w:pPr>
        <w:spacing w:line="200" w:lineRule="exact"/>
        <w:ind/>
        <w:rPr>
          <w:sz w:val="20"/>
        </w:rPr>
      </w:pPr>
    </w:p>
    <w:p w14:paraId="DD000000">
      <w:pPr>
        <w:spacing w:line="200" w:lineRule="exact"/>
        <w:ind/>
        <w:rPr>
          <w:sz w:val="20"/>
        </w:rPr>
      </w:pPr>
      <w:r>
        <w:rPr>
          <w:sz w:val="26"/>
        </w:rPr>
        <w:tab/>
      </w:r>
    </w:p>
    <w:p w14:paraId="DE000000">
      <w:pPr>
        <w:sectPr>
          <w:pgSz w:h="16840" w:orient="portrait" w:w="11920"/>
          <w:pgMar w:bottom="1135" w:footer="720" w:gutter="0" w:header="720" w:left="1020" w:right="620" w:top="640"/>
        </w:sectPr>
      </w:pPr>
    </w:p>
    <w:p w14:paraId="DF000000">
      <w:pPr>
        <w:spacing w:line="348" w:lineRule="exact"/>
        <w:ind w:left="222" w:right="4990"/>
      </w:pPr>
    </w:p>
    <w:p w14:paraId="E0000000">
      <w:pPr>
        <w:sectPr>
          <w:type w:val="continuous"/>
          <w:pgSz w:h="16840" w:orient="portrait" w:w="11920"/>
          <w:pgMar w:bottom="280" w:footer="720" w:gutter="0" w:header="720" w:left="1020" w:right="620" w:top="640"/>
        </w:sectPr>
      </w:pPr>
    </w:p>
    <w:p w14:paraId="E1000000">
      <w:pPr>
        <w:spacing w:line="240" w:lineRule="auto"/>
        <w:ind w:firstLine="0"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spacing w:after="0" w:before="0" w:line="360" w:lineRule="auto"/>
        <w:ind w:firstLine="709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4" w:type="paragraph">
    <w:name w:val="toc 2"/>
    <w:next w:val="Style_1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1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1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1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1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1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2" w:type="paragraph">
    <w:name w:val="Hyperlink"/>
    <w:basedOn w:val="Style_8"/>
    <w:link w:val="Style_2_ch"/>
    <w:rPr>
      <w:color w:themeColor="hyperlink" w:val="0563C1"/>
      <w:u w:val="single"/>
    </w:rPr>
  </w:style>
  <w:style w:styleId="Style_2_ch" w:type="character">
    <w:name w:val="Hyperlink"/>
    <w:basedOn w:val="Style_8_ch"/>
    <w:link w:val="Style_2"/>
    <w:rPr>
      <w:color w:themeColor="hyperlink" w:val="0563C1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3" w:type="table">
    <w:name w:val="Table Grid"/>
    <w:basedOn w:val="Style_24"/>
    <w:pPr>
      <w:spacing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2026-09-30T01:18:31Z</dcterms:modified>
</cp:coreProperties>
</file>