
<file path=[Content_Types].xml><?xml version="1.0" encoding="utf-8"?>
<Types xmlns="http://schemas.openxmlformats.org/package/2006/content-types">
  <Default ContentType="image/jpeg" Extension="jpe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9000000">
      <w:pPr>
        <w:pStyle w:val="Style_2"/>
        <w:ind w:right="111"/>
        <w:jc w:val="right"/>
      </w:pPr>
      <w:r>
        <w:rPr>
          <w:spacing w:val="-2"/>
        </w:rPr>
        <w:t>ПРОЕКТ</w:t>
      </w:r>
    </w:p>
    <w:p w14:paraId="0A000000">
      <w:pPr>
        <w:pStyle w:val="Style_2"/>
      </w:pPr>
    </w:p>
    <w:tbl>
      <w:tblPr>
        <w:tblW w:type="auto" w:w="0"/>
        <w:tblInd w:type="dxa" w:w="0"/>
        <w:tblLayout w:type="fixed"/>
        <w:tblCellMar>
          <w:top w:type="dxa" w:w="0"/>
          <w:left w:type="dxa" w:w="108"/>
          <w:bottom w:type="dxa" w:w="0"/>
          <w:right w:type="dxa" w:w="108"/>
        </w:tblCellMar>
      </w:tblPr>
      <w:tblGrid>
        <w:gridCol w:w="3855"/>
        <w:gridCol w:w="1675"/>
        <w:gridCol w:w="3856"/>
      </w:tblGrid>
      <w:tr>
        <w:trPr>
          <w:trHeight w:hRule="atLeast" w:val="1141"/>
        </w:trPr>
        <w:tc>
          <w:tcPr>
            <w:tcW w:type="dxa" w:w="3855"/>
            <w:tcMar>
              <w:top w:type="dxa" w:w="0"/>
              <w:left w:type="dxa" w:w="108"/>
              <w:bottom w:type="dxa" w:w="0"/>
              <w:right w:type="dxa" w:w="108"/>
            </w:tcMar>
          </w:tcPr>
          <w:p w14:paraId="0B000000">
            <w:pPr>
              <w:widowControl w:val="0"/>
              <w:spacing w:after="0"/>
              <w:ind/>
              <w:jc w:val="center"/>
              <w:rPr>
                <w:sz w:val="26"/>
              </w:rPr>
            </w:pPr>
            <w:r>
              <w:rPr>
                <w:sz w:val="26"/>
              </w:rPr>
              <w:t>ПРАВИТЕЛЬСТВО</w:t>
            </w:r>
          </w:p>
          <w:p w14:paraId="0C000000">
            <w:pPr>
              <w:widowControl w:val="0"/>
              <w:spacing w:after="0"/>
              <w:ind/>
              <w:jc w:val="center"/>
              <w:rPr>
                <w:b w:val="1"/>
                <w:sz w:val="23"/>
              </w:rPr>
            </w:pPr>
            <w:r>
              <w:rPr>
                <w:sz w:val="26"/>
              </w:rPr>
              <w:t>РЕСПУБЛИКИ САХА (ЯКУТИЯ)</w:t>
            </w:r>
          </w:p>
          <w:p w14:paraId="0D000000">
            <w:pPr>
              <w:widowControl w:val="0"/>
              <w:spacing w:after="0"/>
              <w:ind/>
              <w:jc w:val="center"/>
              <w:rPr>
                <w:b w:val="1"/>
                <w:sz w:val="34"/>
              </w:rPr>
            </w:pPr>
          </w:p>
          <w:p w14:paraId="0E000000">
            <w:pPr>
              <w:widowControl w:val="0"/>
              <w:spacing w:after="0"/>
              <w:ind/>
              <w:jc w:val="center"/>
              <w:rPr>
                <w:sz w:val="34"/>
              </w:rPr>
            </w:pPr>
            <w:r>
              <w:rPr>
                <w:b w:val="1"/>
                <w:sz w:val="34"/>
              </w:rPr>
              <w:t>РАСПОРЯЖЕНИЕ</w:t>
            </w:r>
          </w:p>
          <w:p w14:paraId="0F000000">
            <w:pPr>
              <w:widowControl w:val="0"/>
              <w:spacing w:after="0"/>
              <w:ind/>
              <w:jc w:val="center"/>
              <w:rPr>
                <w:b w:val="1"/>
                <w:sz w:val="23"/>
              </w:rPr>
            </w:pPr>
          </w:p>
          <w:p w14:paraId="10000000">
            <w:pPr>
              <w:widowControl w:val="0"/>
              <w:spacing w:after="0"/>
              <w:ind/>
              <w:jc w:val="center"/>
              <w:rPr>
                <w:b w:val="1"/>
                <w:sz w:val="23"/>
              </w:rPr>
            </w:pPr>
          </w:p>
          <w:p w14:paraId="11000000">
            <w:pPr>
              <w:widowControl w:val="0"/>
              <w:spacing w:after="0"/>
              <w:ind/>
              <w:jc w:val="center"/>
              <w:rPr>
                <w:b w:val="1"/>
                <w:sz w:val="23"/>
              </w:rPr>
            </w:pPr>
            <w:r>
              <w:rPr>
                <w:b w:val="1"/>
                <w:sz w:val="23"/>
              </w:rPr>
              <w:t>г. Якутск</w:t>
            </w:r>
          </w:p>
        </w:tc>
        <w:tc>
          <w:tcPr>
            <w:tcW w:type="dxa" w:w="1675"/>
            <w:tcMar>
              <w:top w:type="dxa" w:w="0"/>
              <w:left w:type="dxa" w:w="108"/>
              <w:bottom w:type="dxa" w:w="0"/>
              <w:right w:type="dxa" w:w="108"/>
            </w:tcMar>
          </w:tcPr>
          <w:p w14:paraId="12000000">
            <w:pPr>
              <w:widowControl w:val="0"/>
              <w:spacing w:after="0"/>
              <w:ind/>
              <w:jc w:val="center"/>
              <w:rPr>
                <w:sz w:val="23"/>
              </w:rPr>
            </w:pPr>
            <w:r>
              <w:rPr>
                <w:rFonts w:ascii="Times Sakha" w:hAnsi="Times Sakha"/>
                <w:color w:val="0000FF"/>
              </w:rPr>
              <w:drawing>
                <wp:inline>
                  <wp:extent cx="902524" cy="902524"/>
                  <wp:effectExtent b="0" l="0" r="0" t="0"/>
                  <wp:docPr hidden="false" id="2" name="Picture 2"/>
                  <a:graphic>
                    <a:graphicData uri="http://schemas.openxmlformats.org/drawingml/2006/picture">
                      <pic:pic>
                        <pic:nvPicPr>
                          <pic:cNvPr hidden="false" id="1" name="Picture 1"/>
                          <pic:cNvPicPr preferRelativeResize="true"/>
                        </pic:nvPicPr>
                        <pic:blipFill>
                          <a:blip r:embed="rId5"/>
                          <a:srcRect b="0" l="0" r="0" t="0"/>
                          <a:stretch/>
                        </pic:blipFill>
                        <pic:spPr>
                          <a:xfrm flipH="false" flipV="false" rot="0">
                            <a:ext cx="902524" cy="902524"/>
                          </a:xfrm>
                          <a:prstGeom prst="rect"/>
                        </pic:spPr>
                      </pic:pic>
                    </a:graphicData>
                  </a:graphic>
                </wp:inline>
              </w:drawing>
            </w:r>
          </w:p>
        </w:tc>
        <w:tc>
          <w:tcPr>
            <w:tcW w:type="dxa" w:w="3856"/>
            <w:tcMar>
              <w:top w:type="dxa" w:w="0"/>
              <w:left w:type="dxa" w:w="108"/>
              <w:bottom w:type="dxa" w:w="0"/>
              <w:right w:type="dxa" w:w="108"/>
            </w:tcMar>
          </w:tcPr>
          <w:p w14:paraId="13000000">
            <w:pPr>
              <w:widowControl w:val="0"/>
              <w:spacing w:after="0"/>
              <w:ind/>
              <w:jc w:val="center"/>
              <w:rPr>
                <w:sz w:val="26"/>
              </w:rPr>
            </w:pPr>
            <w:r>
              <w:rPr>
                <w:sz w:val="26"/>
              </w:rPr>
              <w:t>САХА ӨРӨСПҮҮБҮЛҮКЭТИН</w:t>
            </w:r>
          </w:p>
          <w:p w14:paraId="14000000">
            <w:pPr>
              <w:widowControl w:val="0"/>
              <w:spacing w:after="0"/>
              <w:ind/>
              <w:jc w:val="center"/>
              <w:rPr>
                <w:sz w:val="26"/>
              </w:rPr>
            </w:pPr>
            <w:r>
              <w:rPr>
                <w:sz w:val="26"/>
              </w:rPr>
              <w:t>БЫРАБЫЫТАЛЫСТЫБАТА</w:t>
            </w:r>
          </w:p>
          <w:p w14:paraId="15000000">
            <w:pPr>
              <w:widowControl w:val="0"/>
              <w:spacing w:after="0"/>
              <w:ind/>
              <w:jc w:val="center"/>
              <w:rPr>
                <w:b w:val="1"/>
                <w:sz w:val="34"/>
              </w:rPr>
            </w:pPr>
          </w:p>
          <w:p w14:paraId="16000000">
            <w:pPr>
              <w:widowControl w:val="0"/>
              <w:spacing w:after="0"/>
              <w:ind/>
              <w:jc w:val="center"/>
              <w:rPr>
                <w:sz w:val="34"/>
              </w:rPr>
            </w:pPr>
            <w:r>
              <w:rPr>
                <w:b w:val="1"/>
                <w:sz w:val="34"/>
              </w:rPr>
              <w:t>ДЬАҺАЛ</w:t>
            </w:r>
          </w:p>
          <w:p w14:paraId="17000000">
            <w:pPr>
              <w:widowControl w:val="0"/>
              <w:spacing w:after="0"/>
              <w:ind/>
              <w:jc w:val="center"/>
              <w:rPr>
                <w:b w:val="1"/>
                <w:sz w:val="23"/>
              </w:rPr>
            </w:pPr>
          </w:p>
          <w:p w14:paraId="18000000">
            <w:pPr>
              <w:widowControl w:val="0"/>
              <w:spacing w:after="0"/>
              <w:ind/>
              <w:jc w:val="center"/>
              <w:rPr>
                <w:b w:val="1"/>
                <w:sz w:val="23"/>
              </w:rPr>
            </w:pPr>
          </w:p>
          <w:p w14:paraId="19000000">
            <w:pPr>
              <w:widowControl w:val="0"/>
              <w:spacing w:after="0"/>
              <w:ind/>
              <w:jc w:val="center"/>
              <w:rPr>
                <w:sz w:val="23"/>
              </w:rPr>
            </w:pPr>
            <w:r>
              <w:rPr>
                <w:b w:val="1"/>
                <w:sz w:val="23"/>
              </w:rPr>
              <w:t>Дьокуускай</w:t>
            </w:r>
            <w:r>
              <w:rPr>
                <w:b w:val="1"/>
                <w:sz w:val="23"/>
              </w:rPr>
              <w:t xml:space="preserve"> к.</w:t>
            </w:r>
          </w:p>
        </w:tc>
      </w:tr>
    </w:tbl>
    <w:p w14:paraId="1A000000">
      <w:pPr>
        <w:pStyle w:val="Style_2"/>
      </w:pPr>
    </w:p>
    <w:p w14:paraId="1B000000">
      <w:pPr>
        <w:pStyle w:val="Style_2"/>
      </w:pPr>
    </w:p>
    <w:p w14:paraId="1C000000">
      <w:pPr>
        <w:pStyle w:val="Style_2"/>
      </w:pPr>
    </w:p>
    <w:p w14:paraId="1D000000">
      <w:pPr>
        <w:pStyle w:val="Style_3"/>
        <w:ind/>
        <w:jc w:val="center"/>
      </w:pPr>
      <w:r>
        <w:t>Об</w:t>
      </w:r>
      <w:r>
        <w:rPr>
          <w:spacing w:val="-7"/>
        </w:rPr>
        <w:t xml:space="preserve"> </w:t>
      </w:r>
      <w:r>
        <w:t>утверждении</w:t>
      </w:r>
      <w:r>
        <w:rPr>
          <w:spacing w:val="-8"/>
        </w:rPr>
        <w:t xml:space="preserve"> </w:t>
      </w:r>
      <w:r>
        <w:t>программы</w:t>
      </w:r>
      <w:r>
        <w:rPr>
          <w:spacing w:val="-7"/>
        </w:rPr>
        <w:t xml:space="preserve"> </w:t>
      </w:r>
      <w:r>
        <w:t>«Обеспечение</w:t>
      </w:r>
      <w:r>
        <w:rPr>
          <w:spacing w:val="-7"/>
        </w:rPr>
        <w:t xml:space="preserve"> </w:t>
      </w:r>
      <w:r>
        <w:t>защиты</w:t>
      </w:r>
      <w:r>
        <w:rPr>
          <w:spacing w:val="-7"/>
        </w:rPr>
        <w:t xml:space="preserve"> </w:t>
      </w:r>
      <w:r>
        <w:t>прав потребителей</w:t>
      </w:r>
      <w:r>
        <w:rPr>
          <w:spacing w:val="-2"/>
        </w:rPr>
        <w:t xml:space="preserve"> </w:t>
      </w:r>
      <w:r>
        <w:t>в</w:t>
      </w:r>
      <w:r>
        <w:rPr>
          <w:spacing w:val="-3"/>
        </w:rPr>
        <w:t xml:space="preserve"> </w:t>
      </w:r>
      <w:r>
        <w:t>Республике</w:t>
      </w:r>
      <w:r>
        <w:rPr>
          <w:spacing w:val="-2"/>
        </w:rPr>
        <w:t xml:space="preserve"> </w:t>
      </w:r>
      <w:r>
        <w:t>Саха</w:t>
      </w:r>
      <w:r>
        <w:rPr>
          <w:spacing w:val="-2"/>
        </w:rPr>
        <w:t xml:space="preserve"> </w:t>
      </w:r>
      <w:r>
        <w:t>(Якутия)</w:t>
      </w:r>
      <w:r>
        <w:rPr>
          <w:spacing w:val="-2"/>
        </w:rPr>
        <w:t xml:space="preserve"> </w:t>
      </w:r>
      <w:r>
        <w:t>на</w:t>
      </w:r>
      <w:r>
        <w:rPr>
          <w:spacing w:val="-2"/>
        </w:rPr>
        <w:t xml:space="preserve"> </w:t>
      </w:r>
      <w:r>
        <w:t>2026</w:t>
      </w:r>
      <w:r>
        <w:rPr>
          <w:spacing w:val="-2"/>
        </w:rPr>
        <w:t xml:space="preserve"> </w:t>
      </w:r>
      <w:r>
        <w:t>-</w:t>
      </w:r>
      <w:r>
        <w:rPr>
          <w:spacing w:val="-2"/>
        </w:rPr>
        <w:t xml:space="preserve"> </w:t>
      </w:r>
      <w:r>
        <w:t>2030</w:t>
      </w:r>
      <w:r>
        <w:rPr>
          <w:spacing w:val="-1"/>
        </w:rPr>
        <w:t xml:space="preserve"> </w:t>
      </w:r>
      <w:r>
        <w:rPr>
          <w:spacing w:val="-2"/>
        </w:rPr>
        <w:t>годы»</w:t>
      </w:r>
    </w:p>
    <w:p w14:paraId="1E000000">
      <w:pPr>
        <w:pStyle w:val="Style_2"/>
        <w:rPr>
          <w:b w:val="1"/>
        </w:rPr>
      </w:pPr>
    </w:p>
    <w:p w14:paraId="1F000000">
      <w:pPr>
        <w:pStyle w:val="Style_2"/>
        <w:rPr>
          <w:b w:val="1"/>
        </w:rPr>
      </w:pPr>
    </w:p>
    <w:p w14:paraId="20000000">
      <w:pPr>
        <w:pStyle w:val="Style_2"/>
        <w:ind w:firstLine="709" w:left="1" w:right="111"/>
        <w:jc w:val="both"/>
      </w:pPr>
      <w:r>
        <w:t>В</w:t>
      </w:r>
      <w:r>
        <w:rPr>
          <w:spacing w:val="80"/>
        </w:rPr>
        <w:t xml:space="preserve"> </w:t>
      </w:r>
      <w:r>
        <w:t>соответствии</w:t>
      </w:r>
      <w:r>
        <w:rPr>
          <w:spacing w:val="80"/>
        </w:rPr>
        <w:t xml:space="preserve"> </w:t>
      </w:r>
      <w:r>
        <w:t>со</w:t>
      </w:r>
      <w:r>
        <w:rPr>
          <w:spacing w:val="80"/>
        </w:rPr>
        <w:t xml:space="preserve"> </w:t>
      </w:r>
      <w:r>
        <w:t>статьей</w:t>
      </w:r>
      <w:r>
        <w:rPr>
          <w:spacing w:val="80"/>
        </w:rPr>
        <w:t xml:space="preserve"> </w:t>
      </w:r>
      <w:r>
        <w:t>42.1</w:t>
      </w:r>
      <w:r>
        <w:rPr>
          <w:spacing w:val="80"/>
        </w:rPr>
        <w:t xml:space="preserve"> </w:t>
      </w:r>
      <w:r>
        <w:t>Закона</w:t>
      </w:r>
      <w:r>
        <w:rPr>
          <w:spacing w:val="80"/>
        </w:rPr>
        <w:t xml:space="preserve"> </w:t>
      </w:r>
      <w:r>
        <w:t>Российской</w:t>
      </w:r>
      <w:r>
        <w:rPr>
          <w:spacing w:val="80"/>
        </w:rPr>
        <w:t xml:space="preserve"> </w:t>
      </w:r>
      <w:r>
        <w:t>Федерации</w:t>
      </w:r>
      <w:r>
        <w:rPr>
          <w:spacing w:val="80"/>
        </w:rPr>
        <w:t xml:space="preserve"> </w:t>
      </w:r>
      <w:r>
        <w:t>от 07</w:t>
      </w:r>
      <w:r>
        <w:rPr>
          <w:spacing w:val="-1"/>
        </w:rPr>
        <w:t xml:space="preserve"> </w:t>
      </w:r>
      <w:r>
        <w:t>февраля</w:t>
      </w:r>
      <w:r>
        <w:rPr>
          <w:spacing w:val="-1"/>
        </w:rPr>
        <w:t xml:space="preserve"> </w:t>
      </w:r>
      <w:r>
        <w:t>1992</w:t>
      </w:r>
      <w:r>
        <w:rPr>
          <w:spacing w:val="-1"/>
        </w:rPr>
        <w:t xml:space="preserve"> </w:t>
      </w:r>
      <w:r>
        <w:t>г.</w:t>
      </w:r>
      <w:r>
        <w:rPr>
          <w:spacing w:val="-1"/>
        </w:rPr>
        <w:t xml:space="preserve"> </w:t>
      </w:r>
      <w:r>
        <w:t>№</w:t>
      </w:r>
      <w:r>
        <w:rPr>
          <w:spacing w:val="-4"/>
        </w:rPr>
        <w:t xml:space="preserve"> </w:t>
      </w:r>
      <w:r>
        <w:t>2300-1</w:t>
      </w:r>
      <w:r>
        <w:rPr>
          <w:spacing w:val="-1"/>
        </w:rPr>
        <w:t xml:space="preserve"> </w:t>
      </w:r>
      <w:r>
        <w:t>«О</w:t>
      </w:r>
      <w:r>
        <w:rPr>
          <w:spacing w:val="-1"/>
        </w:rPr>
        <w:t xml:space="preserve"> </w:t>
      </w:r>
      <w:r>
        <w:t>защите</w:t>
      </w:r>
      <w:r>
        <w:rPr>
          <w:spacing w:val="-1"/>
        </w:rPr>
        <w:t xml:space="preserve"> </w:t>
      </w:r>
      <w:r>
        <w:t>прав</w:t>
      </w:r>
      <w:r>
        <w:rPr>
          <w:spacing w:val="-1"/>
        </w:rPr>
        <w:t xml:space="preserve"> </w:t>
      </w:r>
      <w:r>
        <w:t>потребителей»,</w:t>
      </w:r>
      <w:r>
        <w:rPr>
          <w:spacing w:val="-1"/>
        </w:rPr>
        <w:t xml:space="preserve"> </w:t>
      </w:r>
      <w:r>
        <w:t>в</w:t>
      </w:r>
      <w:r>
        <w:rPr>
          <w:spacing w:val="-1"/>
        </w:rPr>
        <w:t xml:space="preserve"> </w:t>
      </w:r>
      <w:r>
        <w:t>целях</w:t>
      </w:r>
      <w:r>
        <w:rPr>
          <w:spacing w:val="-1"/>
        </w:rPr>
        <w:t xml:space="preserve"> </w:t>
      </w:r>
      <w:r>
        <w:t>создания благоприятных условий для реализации потребителями своих прав, а также дальнейшего развития и укрепления системы защиты прав потребителей в Республике Саха (Якутия):</w:t>
      </w:r>
    </w:p>
    <w:p w14:paraId="21000000">
      <w:pPr>
        <w:pStyle w:val="Style_4"/>
        <w:numPr>
          <w:ilvl w:val="0"/>
          <w:numId w:val="1"/>
        </w:numPr>
        <w:tabs>
          <w:tab w:leader="none" w:pos="993" w:val="left"/>
          <w:tab w:leader="none" w:pos="1417" w:val="left"/>
        </w:tabs>
        <w:ind w:firstLine="709" w:right="111"/>
        <w:jc w:val="both"/>
        <w:rPr>
          <w:sz w:val="28"/>
        </w:rPr>
      </w:pPr>
      <w:r>
        <w:rPr>
          <w:sz w:val="28"/>
        </w:rPr>
        <w:t>Утвердить программу «Обеспечение защиты прав потребителей в Республике Саха (Якутия) на 2026 - 2030 годы» согласно приложению к настоящему распоряжению».</w:t>
      </w:r>
    </w:p>
    <w:p w14:paraId="22000000">
      <w:pPr>
        <w:pStyle w:val="Style_4"/>
        <w:numPr>
          <w:ilvl w:val="0"/>
          <w:numId w:val="1"/>
        </w:numPr>
        <w:tabs>
          <w:tab w:leader="none" w:pos="993" w:val="left"/>
          <w:tab w:leader="none" w:pos="1417" w:val="left"/>
        </w:tabs>
        <w:ind w:firstLine="709" w:right="111"/>
        <w:jc w:val="both"/>
        <w:rPr>
          <w:sz w:val="28"/>
        </w:rPr>
      </w:pPr>
      <w:r>
        <w:rPr>
          <w:sz w:val="28"/>
        </w:rPr>
        <w:t>Ответственным</w:t>
      </w:r>
      <w:r>
        <w:rPr>
          <w:spacing w:val="-8"/>
          <w:sz w:val="28"/>
        </w:rPr>
        <w:t xml:space="preserve"> </w:t>
      </w:r>
      <w:r>
        <w:rPr>
          <w:sz w:val="28"/>
        </w:rPr>
        <w:t>исполнительным</w:t>
      </w:r>
      <w:r>
        <w:rPr>
          <w:spacing w:val="-8"/>
          <w:sz w:val="28"/>
        </w:rPr>
        <w:t xml:space="preserve"> </w:t>
      </w:r>
      <w:r>
        <w:rPr>
          <w:sz w:val="28"/>
        </w:rPr>
        <w:t>органам</w:t>
      </w:r>
      <w:r>
        <w:rPr>
          <w:spacing w:val="-8"/>
          <w:sz w:val="28"/>
        </w:rPr>
        <w:t xml:space="preserve"> </w:t>
      </w:r>
      <w:r>
        <w:rPr>
          <w:sz w:val="28"/>
        </w:rPr>
        <w:t>государственной</w:t>
      </w:r>
      <w:r>
        <w:rPr>
          <w:spacing w:val="-8"/>
          <w:sz w:val="28"/>
        </w:rPr>
        <w:t xml:space="preserve"> </w:t>
      </w:r>
      <w:r>
        <w:rPr>
          <w:sz w:val="28"/>
        </w:rPr>
        <w:t>власти Республики Саха (Якутия) ежегодно до 1 марта обеспечивать реализацию мероприятий программы в пределах бюджетных ассигнований, предусмотренных в государственном бюджете Республики Саха (Якутия) и представление в Министерство предпринимательства, торговли и туризма Республики</w:t>
      </w:r>
      <w:r>
        <w:rPr>
          <w:spacing w:val="-15"/>
          <w:sz w:val="28"/>
        </w:rPr>
        <w:t xml:space="preserve"> </w:t>
      </w:r>
      <w:r>
        <w:rPr>
          <w:sz w:val="28"/>
        </w:rPr>
        <w:t>Саха</w:t>
      </w:r>
      <w:r>
        <w:rPr>
          <w:spacing w:val="-15"/>
          <w:sz w:val="28"/>
        </w:rPr>
        <w:t xml:space="preserve"> </w:t>
      </w:r>
      <w:r>
        <w:rPr>
          <w:sz w:val="28"/>
        </w:rPr>
        <w:t>(Якутия)</w:t>
      </w:r>
      <w:r>
        <w:rPr>
          <w:spacing w:val="-15"/>
          <w:sz w:val="28"/>
        </w:rPr>
        <w:t xml:space="preserve"> </w:t>
      </w:r>
      <w:r>
        <w:rPr>
          <w:sz w:val="28"/>
        </w:rPr>
        <w:t>информации</w:t>
      </w:r>
      <w:r>
        <w:rPr>
          <w:spacing w:val="-15"/>
          <w:sz w:val="28"/>
        </w:rPr>
        <w:t xml:space="preserve"> </w:t>
      </w:r>
      <w:r>
        <w:rPr>
          <w:sz w:val="28"/>
        </w:rPr>
        <w:t>о</w:t>
      </w:r>
      <w:r>
        <w:rPr>
          <w:spacing w:val="-15"/>
          <w:sz w:val="28"/>
        </w:rPr>
        <w:t xml:space="preserve"> </w:t>
      </w:r>
      <w:r>
        <w:rPr>
          <w:sz w:val="28"/>
        </w:rPr>
        <w:t>ходе</w:t>
      </w:r>
      <w:r>
        <w:rPr>
          <w:spacing w:val="-15"/>
          <w:sz w:val="28"/>
        </w:rPr>
        <w:t xml:space="preserve"> </w:t>
      </w:r>
      <w:r>
        <w:rPr>
          <w:sz w:val="28"/>
        </w:rPr>
        <w:t>исполнения</w:t>
      </w:r>
      <w:r>
        <w:rPr>
          <w:spacing w:val="-15"/>
          <w:sz w:val="28"/>
        </w:rPr>
        <w:t xml:space="preserve"> </w:t>
      </w:r>
      <w:r>
        <w:rPr>
          <w:sz w:val="28"/>
        </w:rPr>
        <w:t>плана</w:t>
      </w:r>
      <w:r>
        <w:rPr>
          <w:spacing w:val="-15"/>
          <w:sz w:val="28"/>
        </w:rPr>
        <w:t xml:space="preserve"> </w:t>
      </w:r>
      <w:r>
        <w:rPr>
          <w:sz w:val="28"/>
        </w:rPr>
        <w:t>мероприятий по реализации программы.</w:t>
      </w:r>
    </w:p>
    <w:p w14:paraId="23000000">
      <w:pPr>
        <w:pStyle w:val="Style_4"/>
        <w:numPr>
          <w:ilvl w:val="0"/>
          <w:numId w:val="1"/>
        </w:numPr>
        <w:tabs>
          <w:tab w:leader="none" w:pos="993" w:val="left"/>
          <w:tab w:leader="none" w:pos="1417" w:val="left"/>
        </w:tabs>
        <w:ind w:firstLine="709" w:right="111"/>
        <w:jc w:val="both"/>
        <w:rPr>
          <w:sz w:val="28"/>
        </w:rPr>
      </w:pPr>
      <w:r>
        <w:rPr>
          <w:sz w:val="28"/>
        </w:rPr>
        <w:t>Контроль исполнения настоящего распоряжения возложить на заместителя</w:t>
      </w:r>
      <w:r>
        <w:rPr>
          <w:spacing w:val="-18"/>
          <w:sz w:val="28"/>
        </w:rPr>
        <w:t xml:space="preserve"> </w:t>
      </w:r>
      <w:r>
        <w:rPr>
          <w:sz w:val="28"/>
        </w:rPr>
        <w:t>Председателя</w:t>
      </w:r>
      <w:r>
        <w:rPr>
          <w:spacing w:val="-17"/>
          <w:sz w:val="28"/>
        </w:rPr>
        <w:t xml:space="preserve"> </w:t>
      </w:r>
      <w:r>
        <w:rPr>
          <w:sz w:val="28"/>
        </w:rPr>
        <w:t>Правительства</w:t>
      </w:r>
      <w:r>
        <w:rPr>
          <w:spacing w:val="-18"/>
          <w:sz w:val="28"/>
        </w:rPr>
        <w:t xml:space="preserve"> </w:t>
      </w:r>
      <w:r>
        <w:rPr>
          <w:sz w:val="28"/>
        </w:rPr>
        <w:t>Республики</w:t>
      </w:r>
      <w:r>
        <w:rPr>
          <w:spacing w:val="-17"/>
          <w:sz w:val="28"/>
        </w:rPr>
        <w:t xml:space="preserve"> </w:t>
      </w:r>
      <w:r>
        <w:rPr>
          <w:sz w:val="28"/>
        </w:rPr>
        <w:t>Саха</w:t>
      </w:r>
      <w:r>
        <w:rPr>
          <w:spacing w:val="-18"/>
          <w:sz w:val="28"/>
        </w:rPr>
        <w:t xml:space="preserve"> </w:t>
      </w:r>
      <w:r>
        <w:rPr>
          <w:sz w:val="28"/>
        </w:rPr>
        <w:t>(Якутия)</w:t>
      </w:r>
      <w:r>
        <w:rPr>
          <w:spacing w:val="-17"/>
          <w:sz w:val="28"/>
        </w:rPr>
        <w:t xml:space="preserve"> </w:t>
      </w:r>
      <w:r>
        <w:rPr>
          <w:sz w:val="28"/>
        </w:rPr>
        <w:t xml:space="preserve">Семенова </w:t>
      </w:r>
      <w:r>
        <w:rPr>
          <w:spacing w:val="-4"/>
          <w:sz w:val="28"/>
        </w:rPr>
        <w:t>А.А.</w:t>
      </w:r>
    </w:p>
    <w:p w14:paraId="24000000">
      <w:pPr>
        <w:pStyle w:val="Style_2"/>
        <w:ind w:right="111"/>
      </w:pPr>
    </w:p>
    <w:p w14:paraId="25000000">
      <w:pPr>
        <w:pStyle w:val="Style_2"/>
      </w:pPr>
    </w:p>
    <w:p w14:paraId="26000000">
      <w:pPr>
        <w:pStyle w:val="Style_2"/>
      </w:pPr>
    </w:p>
    <w:p w14:paraId="27000000">
      <w:pPr>
        <w:pStyle w:val="Style_2"/>
        <w:ind w:left="1"/>
      </w:pPr>
      <w:r>
        <w:rPr>
          <w:spacing w:val="-2"/>
        </w:rPr>
        <w:t>Председатель</w:t>
      </w:r>
    </w:p>
    <w:p w14:paraId="28000000">
      <w:pPr>
        <w:pStyle w:val="Style_2"/>
        <w:tabs>
          <w:tab w:leader="none" w:pos="7220" w:val="left"/>
        </w:tabs>
        <w:ind w:left="1"/>
      </w:pPr>
      <w:r>
        <w:t>Республики</w:t>
      </w:r>
      <w:r>
        <w:rPr>
          <w:spacing w:val="-6"/>
        </w:rPr>
        <w:t xml:space="preserve"> </w:t>
      </w:r>
      <w:r>
        <w:t>Саха</w:t>
      </w:r>
      <w:r>
        <w:rPr>
          <w:spacing w:val="-4"/>
        </w:rPr>
        <w:t xml:space="preserve"> </w:t>
      </w:r>
      <w:r>
        <w:rPr>
          <w:spacing w:val="-2"/>
        </w:rPr>
        <w:t>(Якутия)</w:t>
      </w:r>
      <w:r>
        <w:tab/>
      </w:r>
      <w:r>
        <w:t xml:space="preserve">         </w:t>
      </w:r>
      <w:r>
        <w:t>К.Е.</w:t>
      </w:r>
      <w:r>
        <w:rPr>
          <w:spacing w:val="-2"/>
        </w:rPr>
        <w:t xml:space="preserve"> Бычков</w:t>
      </w:r>
    </w:p>
    <w:p w14:paraId="29000000">
      <w:pPr>
        <w:sectPr>
          <w:headerReference r:id="rId1" w:type="default"/>
          <w:type w:val="continuous"/>
          <w:pgSz w:h="16850" w:orient="portrait" w:w="11910"/>
          <w:pgMar w:bottom="280" w:footer="720" w:gutter="0" w:header="720" w:left="1701" w:right="822" w:top="1060"/>
        </w:sectPr>
      </w:pPr>
    </w:p>
    <w:p w14:paraId="2A000000">
      <w:pPr>
        <w:ind w:right="109"/>
        <w:jc w:val="center"/>
        <w:rPr>
          <w:b w:val="1"/>
          <w:sz w:val="28"/>
        </w:rPr>
      </w:pPr>
      <w:r>
        <w:rPr>
          <w:b w:val="1"/>
          <w:spacing w:val="-2"/>
          <w:sz w:val="28"/>
        </w:rPr>
        <w:t>ПРОЕКТ</w:t>
      </w:r>
    </w:p>
    <w:p w14:paraId="2B000000">
      <w:pPr>
        <w:ind w:right="109"/>
        <w:jc w:val="right"/>
        <w:rPr>
          <w:b w:val="1"/>
          <w:spacing w:val="-2"/>
          <w:sz w:val="28"/>
        </w:rPr>
      </w:pPr>
    </w:p>
    <w:p w14:paraId="2C000000">
      <w:pPr>
        <w:ind w:right="109"/>
        <w:jc w:val="right"/>
        <w:rPr>
          <w:b w:val="1"/>
          <w:sz w:val="28"/>
        </w:rPr>
      </w:pPr>
      <w:r>
        <w:rPr>
          <w:b w:val="1"/>
          <w:spacing w:val="-2"/>
          <w:sz w:val="28"/>
        </w:rPr>
        <w:t xml:space="preserve">Приложение </w:t>
      </w:r>
      <w:r>
        <w:rPr>
          <w:b w:val="1"/>
          <w:sz w:val="28"/>
        </w:rPr>
        <w:t>к</w:t>
      </w:r>
      <w:r>
        <w:rPr>
          <w:b w:val="1"/>
          <w:spacing w:val="-7"/>
          <w:sz w:val="28"/>
        </w:rPr>
        <w:t xml:space="preserve"> </w:t>
      </w:r>
      <w:r>
        <w:rPr>
          <w:b w:val="1"/>
          <w:sz w:val="28"/>
        </w:rPr>
        <w:t>распоряжению</w:t>
      </w:r>
      <w:r>
        <w:rPr>
          <w:b w:val="1"/>
          <w:spacing w:val="-5"/>
          <w:sz w:val="28"/>
        </w:rPr>
        <w:t xml:space="preserve"> </w:t>
      </w:r>
      <w:r>
        <w:rPr>
          <w:b w:val="1"/>
          <w:sz w:val="28"/>
        </w:rPr>
        <w:t>Правительства</w:t>
      </w:r>
      <w:r>
        <w:rPr>
          <w:b w:val="1"/>
          <w:spacing w:val="-3"/>
          <w:sz w:val="28"/>
        </w:rPr>
        <w:t xml:space="preserve"> </w:t>
      </w:r>
      <w:r>
        <w:rPr>
          <w:b w:val="1"/>
          <w:sz w:val="28"/>
        </w:rPr>
        <w:t>Республики</w:t>
      </w:r>
      <w:r>
        <w:rPr>
          <w:b w:val="1"/>
          <w:spacing w:val="-5"/>
          <w:sz w:val="28"/>
        </w:rPr>
        <w:t xml:space="preserve"> </w:t>
      </w:r>
      <w:r>
        <w:rPr>
          <w:b w:val="1"/>
          <w:sz w:val="28"/>
        </w:rPr>
        <w:t>Саха</w:t>
      </w:r>
      <w:r>
        <w:rPr>
          <w:b w:val="1"/>
          <w:spacing w:val="-3"/>
          <w:sz w:val="28"/>
        </w:rPr>
        <w:t xml:space="preserve"> </w:t>
      </w:r>
      <w:r>
        <w:rPr>
          <w:b w:val="1"/>
          <w:spacing w:val="-2"/>
          <w:sz w:val="28"/>
        </w:rPr>
        <w:t>(Якутия)</w:t>
      </w:r>
    </w:p>
    <w:p w14:paraId="2D000000">
      <w:pPr>
        <w:tabs>
          <w:tab w:leader="none" w:pos="3352" w:val="left"/>
          <w:tab w:leader="none" w:pos="4114" w:val="left"/>
        </w:tabs>
        <w:ind w:right="109"/>
        <w:jc w:val="right"/>
        <w:rPr>
          <w:b w:val="1"/>
          <w:sz w:val="28"/>
        </w:rPr>
      </w:pPr>
      <w:r>
        <w:rPr>
          <w:b w:val="1"/>
          <w:sz w:val="28"/>
        </w:rPr>
        <w:t>от</w:t>
      </w:r>
      <w:r>
        <w:rPr>
          <w:b w:val="1"/>
          <w:sz w:val="28"/>
        </w:rPr>
        <w:t xml:space="preserve"> </w:t>
      </w:r>
      <w:r>
        <w:rPr>
          <w:sz w:val="28"/>
          <w:u w:val="single"/>
        </w:rPr>
        <w:tab/>
      </w:r>
      <w:r>
        <w:rPr>
          <w:b w:val="1"/>
          <w:sz w:val="28"/>
        </w:rPr>
        <w:t xml:space="preserve">N </w:t>
      </w:r>
      <w:r>
        <w:rPr>
          <w:b w:val="1"/>
          <w:sz w:val="28"/>
          <w:u w:val="single"/>
        </w:rPr>
        <w:tab/>
      </w:r>
    </w:p>
    <w:p w14:paraId="2E000000">
      <w:pPr>
        <w:pStyle w:val="Style_2"/>
        <w:ind w:right="109"/>
        <w:rPr>
          <w:b w:val="1"/>
        </w:rPr>
      </w:pPr>
    </w:p>
    <w:p w14:paraId="2F000000">
      <w:pPr>
        <w:ind w:right="109"/>
        <w:jc w:val="center"/>
        <w:rPr>
          <w:b w:val="1"/>
          <w:sz w:val="28"/>
        </w:rPr>
      </w:pPr>
      <w:r>
        <w:rPr>
          <w:b w:val="1"/>
          <w:spacing w:val="-2"/>
          <w:sz w:val="28"/>
        </w:rPr>
        <w:t>Программа</w:t>
      </w:r>
    </w:p>
    <w:p w14:paraId="30000000">
      <w:pPr>
        <w:ind w:right="109"/>
        <w:jc w:val="center"/>
        <w:rPr>
          <w:b w:val="1"/>
          <w:sz w:val="28"/>
        </w:rPr>
      </w:pPr>
      <w:r>
        <w:rPr>
          <w:b w:val="1"/>
          <w:sz w:val="28"/>
        </w:rPr>
        <w:t>«Обеспечение</w:t>
      </w:r>
      <w:r>
        <w:rPr>
          <w:b w:val="1"/>
          <w:spacing w:val="-5"/>
          <w:sz w:val="28"/>
        </w:rPr>
        <w:t xml:space="preserve"> </w:t>
      </w:r>
      <w:r>
        <w:rPr>
          <w:b w:val="1"/>
          <w:sz w:val="28"/>
        </w:rPr>
        <w:t>защиты</w:t>
      </w:r>
      <w:r>
        <w:rPr>
          <w:b w:val="1"/>
          <w:spacing w:val="-5"/>
          <w:sz w:val="28"/>
        </w:rPr>
        <w:t xml:space="preserve"> </w:t>
      </w:r>
      <w:r>
        <w:rPr>
          <w:b w:val="1"/>
          <w:sz w:val="28"/>
        </w:rPr>
        <w:t>прав</w:t>
      </w:r>
      <w:r>
        <w:rPr>
          <w:b w:val="1"/>
          <w:spacing w:val="-6"/>
          <w:sz w:val="28"/>
        </w:rPr>
        <w:t xml:space="preserve"> </w:t>
      </w:r>
      <w:r>
        <w:rPr>
          <w:b w:val="1"/>
          <w:sz w:val="28"/>
        </w:rPr>
        <w:t>потребителей</w:t>
      </w:r>
      <w:r>
        <w:rPr>
          <w:b w:val="1"/>
          <w:spacing w:val="-6"/>
          <w:sz w:val="28"/>
        </w:rPr>
        <w:t xml:space="preserve"> </w:t>
      </w:r>
      <w:r>
        <w:rPr>
          <w:b w:val="1"/>
          <w:sz w:val="28"/>
        </w:rPr>
        <w:t>в</w:t>
      </w:r>
      <w:r>
        <w:rPr>
          <w:b w:val="1"/>
          <w:spacing w:val="-6"/>
          <w:sz w:val="28"/>
        </w:rPr>
        <w:t xml:space="preserve"> </w:t>
      </w:r>
      <w:r>
        <w:rPr>
          <w:b w:val="1"/>
          <w:sz w:val="28"/>
        </w:rPr>
        <w:t>Республике</w:t>
      </w:r>
      <w:r>
        <w:rPr>
          <w:b w:val="1"/>
          <w:spacing w:val="-5"/>
          <w:sz w:val="28"/>
        </w:rPr>
        <w:t xml:space="preserve"> </w:t>
      </w:r>
      <w:r>
        <w:rPr>
          <w:b w:val="1"/>
          <w:sz w:val="28"/>
        </w:rPr>
        <w:t>Саха</w:t>
      </w:r>
      <w:r>
        <w:rPr>
          <w:b w:val="1"/>
          <w:spacing w:val="-5"/>
          <w:sz w:val="28"/>
        </w:rPr>
        <w:t xml:space="preserve"> </w:t>
      </w:r>
      <w:r>
        <w:rPr>
          <w:b w:val="1"/>
          <w:sz w:val="28"/>
        </w:rPr>
        <w:t>(Якутия) на 2026 - 2030 годы»</w:t>
      </w:r>
    </w:p>
    <w:p w14:paraId="31000000">
      <w:pPr>
        <w:pStyle w:val="Style_2"/>
        <w:ind w:right="109"/>
        <w:rPr>
          <w:b w:val="1"/>
        </w:rPr>
      </w:pPr>
    </w:p>
    <w:p w14:paraId="32000000">
      <w:pPr>
        <w:pStyle w:val="Style_4"/>
        <w:numPr>
          <w:ilvl w:val="1"/>
          <w:numId w:val="1"/>
        </w:numPr>
        <w:tabs>
          <w:tab w:leader="none" w:pos="0" w:val="left"/>
        </w:tabs>
        <w:ind w:firstLine="0" w:left="0" w:right="109"/>
        <w:jc w:val="center"/>
        <w:rPr>
          <w:b w:val="1"/>
          <w:sz w:val="24"/>
        </w:rPr>
      </w:pPr>
      <w:r>
        <w:rPr>
          <w:b w:val="1"/>
          <w:sz w:val="24"/>
        </w:rPr>
        <w:t>Паспорт</w:t>
      </w:r>
      <w:r>
        <w:rPr>
          <w:b w:val="1"/>
          <w:spacing w:val="-7"/>
          <w:sz w:val="24"/>
        </w:rPr>
        <w:t xml:space="preserve"> </w:t>
      </w:r>
      <w:r>
        <w:rPr>
          <w:b w:val="1"/>
          <w:spacing w:val="-2"/>
          <w:sz w:val="24"/>
        </w:rPr>
        <w:t>программы</w:t>
      </w:r>
    </w:p>
    <w:p w14:paraId="33000000">
      <w:pPr>
        <w:pStyle w:val="Style_2"/>
        <w:ind w:right="109"/>
        <w:rPr>
          <w:b w:val="1"/>
          <w:sz w:val="20"/>
        </w:rPr>
      </w:pPr>
    </w:p>
    <w:tbl>
      <w:tblPr>
        <w:tblStyle w:val="Style_5"/>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539"/>
        <w:gridCol w:w="10211"/>
      </w:tblGrid>
      <w:tr>
        <w:trPr>
          <w:trHeight w:hRule="atLeast" w:val="755"/>
        </w:trPr>
        <w:tc>
          <w:tcPr>
            <w:tcW w:type="dxa" w:w="3539"/>
            <w:tcBorders>
              <w:top w:color="000000" w:sz="4" w:val="single"/>
              <w:left w:color="000000" w:sz="4" w:val="single"/>
              <w:bottom w:color="000000" w:sz="4" w:val="single"/>
              <w:right w:color="000000" w:sz="4" w:val="single"/>
            </w:tcBorders>
          </w:tcPr>
          <w:p w14:paraId="34000000">
            <w:pPr>
              <w:pStyle w:val="Style_6"/>
              <w:ind w:left="61"/>
              <w:rPr>
                <w:b w:val="1"/>
                <w:sz w:val="24"/>
              </w:rPr>
            </w:pPr>
            <w:r>
              <w:rPr>
                <w:b w:val="1"/>
                <w:sz w:val="24"/>
              </w:rPr>
              <w:t xml:space="preserve">Наименование </w:t>
            </w:r>
            <w:r>
              <w:rPr>
                <w:b w:val="1"/>
                <w:spacing w:val="-2"/>
                <w:sz w:val="24"/>
              </w:rPr>
              <w:t>Программы</w:t>
            </w:r>
          </w:p>
        </w:tc>
        <w:tc>
          <w:tcPr>
            <w:tcW w:type="dxa" w:w="10211"/>
            <w:tcBorders>
              <w:top w:color="000000" w:sz="4" w:val="single"/>
              <w:left w:color="000000" w:sz="4" w:val="single"/>
              <w:bottom w:color="000000" w:sz="4" w:val="single"/>
              <w:right w:color="000000" w:sz="4" w:val="single"/>
            </w:tcBorders>
          </w:tcPr>
          <w:p w14:paraId="35000000">
            <w:pPr>
              <w:pStyle w:val="Style_6"/>
              <w:ind w:left="61"/>
              <w:rPr>
                <w:sz w:val="24"/>
              </w:rPr>
            </w:pPr>
            <w:r>
              <w:rPr>
                <w:sz w:val="24"/>
              </w:rPr>
              <w:t>Программа</w:t>
            </w:r>
            <w:r>
              <w:rPr>
                <w:spacing w:val="-3"/>
                <w:sz w:val="24"/>
              </w:rPr>
              <w:t xml:space="preserve"> </w:t>
            </w:r>
            <w:r>
              <w:rPr>
                <w:sz w:val="24"/>
              </w:rPr>
              <w:t>«Обеспечение</w:t>
            </w:r>
            <w:r>
              <w:rPr>
                <w:spacing w:val="-3"/>
                <w:sz w:val="24"/>
              </w:rPr>
              <w:t xml:space="preserve"> </w:t>
            </w:r>
            <w:r>
              <w:rPr>
                <w:sz w:val="24"/>
              </w:rPr>
              <w:t>защиты</w:t>
            </w:r>
            <w:r>
              <w:rPr>
                <w:spacing w:val="-3"/>
                <w:sz w:val="24"/>
              </w:rPr>
              <w:t xml:space="preserve"> </w:t>
            </w:r>
            <w:r>
              <w:rPr>
                <w:sz w:val="24"/>
              </w:rPr>
              <w:t>прав</w:t>
            </w:r>
            <w:r>
              <w:rPr>
                <w:spacing w:val="-4"/>
                <w:sz w:val="24"/>
              </w:rPr>
              <w:t xml:space="preserve"> </w:t>
            </w:r>
            <w:r>
              <w:rPr>
                <w:sz w:val="24"/>
              </w:rPr>
              <w:t>потребителей</w:t>
            </w:r>
            <w:r>
              <w:rPr>
                <w:spacing w:val="-4"/>
                <w:sz w:val="24"/>
              </w:rPr>
              <w:t xml:space="preserve"> </w:t>
            </w:r>
            <w:r>
              <w:rPr>
                <w:sz w:val="24"/>
              </w:rPr>
              <w:t>в</w:t>
            </w:r>
            <w:r>
              <w:rPr>
                <w:spacing w:val="-4"/>
                <w:sz w:val="24"/>
              </w:rPr>
              <w:t xml:space="preserve"> </w:t>
            </w:r>
            <w:r>
              <w:rPr>
                <w:sz w:val="24"/>
              </w:rPr>
              <w:t>Республике</w:t>
            </w:r>
            <w:r>
              <w:rPr>
                <w:spacing w:val="-3"/>
                <w:sz w:val="24"/>
              </w:rPr>
              <w:t xml:space="preserve"> </w:t>
            </w:r>
            <w:r>
              <w:rPr>
                <w:sz w:val="24"/>
              </w:rPr>
              <w:t>Саха</w:t>
            </w:r>
            <w:r>
              <w:rPr>
                <w:spacing w:val="-3"/>
                <w:sz w:val="24"/>
              </w:rPr>
              <w:t xml:space="preserve"> </w:t>
            </w:r>
            <w:r>
              <w:rPr>
                <w:sz w:val="24"/>
              </w:rPr>
              <w:t>(Якутия)</w:t>
            </w:r>
            <w:r>
              <w:rPr>
                <w:spacing w:val="-3"/>
                <w:sz w:val="24"/>
              </w:rPr>
              <w:t xml:space="preserve"> </w:t>
            </w:r>
            <w:r>
              <w:rPr>
                <w:sz w:val="24"/>
              </w:rPr>
              <w:t>на</w:t>
            </w:r>
            <w:r>
              <w:rPr>
                <w:spacing w:val="-3"/>
                <w:sz w:val="24"/>
              </w:rPr>
              <w:t xml:space="preserve"> </w:t>
            </w:r>
            <w:r>
              <w:rPr>
                <w:sz w:val="24"/>
              </w:rPr>
              <w:t>2026</w:t>
            </w:r>
            <w:r>
              <w:rPr>
                <w:spacing w:val="-3"/>
                <w:sz w:val="24"/>
              </w:rPr>
              <w:t xml:space="preserve"> </w:t>
            </w:r>
            <w:r>
              <w:rPr>
                <w:sz w:val="24"/>
              </w:rPr>
              <w:t>-</w:t>
            </w:r>
            <w:r>
              <w:rPr>
                <w:spacing w:val="-3"/>
                <w:sz w:val="24"/>
              </w:rPr>
              <w:t xml:space="preserve"> </w:t>
            </w:r>
            <w:r>
              <w:rPr>
                <w:sz w:val="24"/>
              </w:rPr>
              <w:t xml:space="preserve">2030 </w:t>
            </w:r>
            <w:r>
              <w:rPr>
                <w:spacing w:val="-2"/>
                <w:sz w:val="24"/>
              </w:rPr>
              <w:t>годы»</w:t>
            </w:r>
          </w:p>
        </w:tc>
      </w:tr>
      <w:tr>
        <w:trPr>
          <w:trHeight w:hRule="atLeast" w:val="755"/>
        </w:trPr>
        <w:tc>
          <w:tcPr>
            <w:tcW w:type="dxa" w:w="3539"/>
            <w:tcBorders>
              <w:top w:color="000000" w:sz="4" w:val="single"/>
              <w:left w:color="000000" w:sz="4" w:val="single"/>
              <w:bottom w:color="000000" w:sz="4" w:val="single"/>
              <w:right w:color="000000" w:sz="4" w:val="single"/>
            </w:tcBorders>
          </w:tcPr>
          <w:p w14:paraId="36000000">
            <w:pPr>
              <w:pStyle w:val="Style_6"/>
              <w:ind w:left="61"/>
              <w:rPr>
                <w:b w:val="1"/>
                <w:sz w:val="24"/>
              </w:rPr>
            </w:pPr>
            <w:r>
              <w:rPr>
                <w:b w:val="1"/>
                <w:sz w:val="24"/>
              </w:rPr>
              <w:t>Основной</w:t>
            </w:r>
            <w:r>
              <w:rPr>
                <w:b w:val="1"/>
                <w:spacing w:val="-15"/>
                <w:sz w:val="24"/>
              </w:rPr>
              <w:t xml:space="preserve"> </w:t>
            </w:r>
            <w:r>
              <w:rPr>
                <w:b w:val="1"/>
                <w:sz w:val="24"/>
              </w:rPr>
              <w:t xml:space="preserve">разработчик </w:t>
            </w:r>
            <w:r>
              <w:rPr>
                <w:b w:val="1"/>
                <w:spacing w:val="-2"/>
                <w:sz w:val="24"/>
              </w:rPr>
              <w:t>Программы</w:t>
            </w:r>
          </w:p>
        </w:tc>
        <w:tc>
          <w:tcPr>
            <w:tcW w:type="dxa" w:w="10211"/>
            <w:tcBorders>
              <w:top w:color="000000" w:sz="4" w:val="single"/>
              <w:left w:color="000000" w:sz="4" w:val="single"/>
              <w:bottom w:color="000000" w:sz="4" w:val="single"/>
              <w:right w:color="000000" w:sz="4" w:val="single"/>
            </w:tcBorders>
          </w:tcPr>
          <w:p w14:paraId="37000000">
            <w:pPr>
              <w:pStyle w:val="Style_6"/>
              <w:rPr>
                <w:sz w:val="24"/>
              </w:rPr>
            </w:pPr>
          </w:p>
        </w:tc>
      </w:tr>
      <w:tr>
        <w:trPr>
          <w:trHeight w:hRule="atLeast" w:val="755"/>
        </w:trPr>
        <w:tc>
          <w:tcPr>
            <w:tcW w:type="dxa" w:w="3539"/>
            <w:tcBorders>
              <w:top w:color="000000" w:sz="4" w:val="single"/>
              <w:left w:color="000000" w:sz="4" w:val="single"/>
              <w:bottom w:color="000000" w:sz="4" w:val="single"/>
              <w:right w:color="000000" w:sz="4" w:val="single"/>
            </w:tcBorders>
          </w:tcPr>
          <w:p w14:paraId="38000000">
            <w:pPr>
              <w:pStyle w:val="Style_6"/>
              <w:ind w:left="61" w:right="1"/>
              <w:rPr>
                <w:b w:val="1"/>
                <w:sz w:val="24"/>
              </w:rPr>
            </w:pPr>
            <w:r>
              <w:rPr>
                <w:b w:val="1"/>
                <w:spacing w:val="-2"/>
                <w:sz w:val="24"/>
              </w:rPr>
              <w:t>Заказчик-координатор Программы</w:t>
            </w:r>
          </w:p>
        </w:tc>
        <w:tc>
          <w:tcPr>
            <w:tcW w:type="dxa" w:w="10211"/>
            <w:tcBorders>
              <w:top w:color="000000" w:sz="4" w:val="single"/>
              <w:left w:color="000000" w:sz="4" w:val="single"/>
              <w:bottom w:color="000000" w:sz="4" w:val="single"/>
              <w:right w:color="000000" w:sz="4" w:val="single"/>
            </w:tcBorders>
          </w:tcPr>
          <w:p w14:paraId="39000000">
            <w:pPr>
              <w:pStyle w:val="Style_6"/>
              <w:ind w:left="61"/>
              <w:rPr>
                <w:sz w:val="24"/>
              </w:rPr>
            </w:pPr>
            <w:r>
              <w:rPr>
                <w:sz w:val="24"/>
              </w:rPr>
              <w:t>Министерство</w:t>
            </w:r>
            <w:r>
              <w:rPr>
                <w:spacing w:val="-6"/>
                <w:sz w:val="24"/>
              </w:rPr>
              <w:t xml:space="preserve"> </w:t>
            </w:r>
            <w:r>
              <w:rPr>
                <w:sz w:val="24"/>
              </w:rPr>
              <w:t>предпринимательства,</w:t>
            </w:r>
            <w:r>
              <w:rPr>
                <w:spacing w:val="-4"/>
                <w:sz w:val="24"/>
              </w:rPr>
              <w:t xml:space="preserve"> </w:t>
            </w:r>
            <w:r>
              <w:rPr>
                <w:sz w:val="24"/>
              </w:rPr>
              <w:t>торговли</w:t>
            </w:r>
            <w:r>
              <w:rPr>
                <w:spacing w:val="-5"/>
                <w:sz w:val="24"/>
              </w:rPr>
              <w:t xml:space="preserve"> </w:t>
            </w:r>
            <w:r>
              <w:rPr>
                <w:sz w:val="24"/>
              </w:rPr>
              <w:t>и</w:t>
            </w:r>
            <w:r>
              <w:rPr>
                <w:spacing w:val="-5"/>
                <w:sz w:val="24"/>
              </w:rPr>
              <w:t xml:space="preserve"> </w:t>
            </w:r>
            <w:r>
              <w:rPr>
                <w:sz w:val="24"/>
              </w:rPr>
              <w:t>туризма</w:t>
            </w:r>
            <w:r>
              <w:rPr>
                <w:spacing w:val="-4"/>
                <w:sz w:val="24"/>
              </w:rPr>
              <w:t xml:space="preserve"> </w:t>
            </w:r>
            <w:r>
              <w:rPr>
                <w:sz w:val="24"/>
              </w:rPr>
              <w:t>Республики</w:t>
            </w:r>
            <w:r>
              <w:rPr>
                <w:spacing w:val="-5"/>
                <w:sz w:val="24"/>
              </w:rPr>
              <w:t xml:space="preserve"> </w:t>
            </w:r>
            <w:r>
              <w:rPr>
                <w:sz w:val="24"/>
              </w:rPr>
              <w:t>Саха</w:t>
            </w:r>
            <w:r>
              <w:rPr>
                <w:spacing w:val="-4"/>
                <w:sz w:val="24"/>
              </w:rPr>
              <w:t xml:space="preserve"> </w:t>
            </w:r>
            <w:r>
              <w:rPr>
                <w:spacing w:val="-2"/>
                <w:sz w:val="24"/>
              </w:rPr>
              <w:t>(Якутия)</w:t>
            </w:r>
          </w:p>
        </w:tc>
      </w:tr>
      <w:tr>
        <w:trPr>
          <w:trHeight w:hRule="atLeast" w:val="479"/>
        </w:trPr>
        <w:tc>
          <w:tcPr>
            <w:tcW w:type="dxa" w:w="3539"/>
            <w:tcBorders>
              <w:top w:color="000000" w:sz="4" w:val="single"/>
              <w:left w:color="000000" w:sz="4" w:val="single"/>
              <w:bottom w:color="000000" w:sz="4" w:val="single"/>
              <w:right w:color="000000" w:sz="4" w:val="single"/>
            </w:tcBorders>
          </w:tcPr>
          <w:p w14:paraId="3A000000">
            <w:pPr>
              <w:pStyle w:val="Style_6"/>
              <w:ind w:left="61"/>
              <w:rPr>
                <w:b w:val="1"/>
                <w:sz w:val="24"/>
              </w:rPr>
            </w:pPr>
            <w:r>
              <w:rPr>
                <w:b w:val="1"/>
                <w:sz w:val="24"/>
              </w:rPr>
              <w:t>Руководитель</w:t>
            </w:r>
            <w:r>
              <w:rPr>
                <w:b w:val="1"/>
                <w:spacing w:val="-12"/>
                <w:sz w:val="24"/>
              </w:rPr>
              <w:t xml:space="preserve"> </w:t>
            </w:r>
            <w:r>
              <w:rPr>
                <w:b w:val="1"/>
                <w:spacing w:val="-2"/>
                <w:sz w:val="24"/>
              </w:rPr>
              <w:t>Программы</w:t>
            </w:r>
          </w:p>
        </w:tc>
        <w:tc>
          <w:tcPr>
            <w:tcW w:type="dxa" w:w="10211"/>
            <w:tcBorders>
              <w:top w:color="000000" w:sz="4" w:val="single"/>
              <w:left w:color="000000" w:sz="4" w:val="single"/>
              <w:bottom w:color="000000" w:sz="4" w:val="single"/>
              <w:right w:color="000000" w:sz="4" w:val="single"/>
            </w:tcBorders>
          </w:tcPr>
          <w:p w14:paraId="3B000000">
            <w:pPr>
              <w:pStyle w:val="Style_6"/>
              <w:ind w:left="61"/>
              <w:rPr>
                <w:sz w:val="24"/>
              </w:rPr>
            </w:pPr>
            <w:r>
              <w:rPr>
                <w:sz w:val="24"/>
              </w:rPr>
              <w:t>Министр</w:t>
            </w:r>
            <w:r>
              <w:rPr>
                <w:spacing w:val="-6"/>
                <w:sz w:val="24"/>
              </w:rPr>
              <w:t xml:space="preserve"> </w:t>
            </w:r>
            <w:r>
              <w:rPr>
                <w:sz w:val="24"/>
              </w:rPr>
              <w:t>предпринимательства,</w:t>
            </w:r>
            <w:r>
              <w:rPr>
                <w:spacing w:val="-4"/>
                <w:sz w:val="24"/>
              </w:rPr>
              <w:t xml:space="preserve"> </w:t>
            </w:r>
            <w:r>
              <w:rPr>
                <w:sz w:val="24"/>
              </w:rPr>
              <w:t>торговли</w:t>
            </w:r>
            <w:r>
              <w:rPr>
                <w:spacing w:val="-5"/>
                <w:sz w:val="24"/>
              </w:rPr>
              <w:t xml:space="preserve"> </w:t>
            </w:r>
            <w:r>
              <w:rPr>
                <w:sz w:val="24"/>
              </w:rPr>
              <w:t>и</w:t>
            </w:r>
            <w:r>
              <w:rPr>
                <w:spacing w:val="-5"/>
                <w:sz w:val="24"/>
              </w:rPr>
              <w:t xml:space="preserve"> </w:t>
            </w:r>
            <w:r>
              <w:rPr>
                <w:sz w:val="24"/>
              </w:rPr>
              <w:t>туризма</w:t>
            </w:r>
            <w:r>
              <w:rPr>
                <w:spacing w:val="-4"/>
                <w:sz w:val="24"/>
              </w:rPr>
              <w:t xml:space="preserve"> </w:t>
            </w:r>
            <w:r>
              <w:rPr>
                <w:sz w:val="24"/>
              </w:rPr>
              <w:t>Республики</w:t>
            </w:r>
            <w:r>
              <w:rPr>
                <w:spacing w:val="-5"/>
                <w:sz w:val="24"/>
              </w:rPr>
              <w:t xml:space="preserve"> </w:t>
            </w:r>
            <w:r>
              <w:rPr>
                <w:sz w:val="24"/>
              </w:rPr>
              <w:t>Саха</w:t>
            </w:r>
            <w:r>
              <w:rPr>
                <w:spacing w:val="-3"/>
                <w:sz w:val="24"/>
              </w:rPr>
              <w:t xml:space="preserve"> </w:t>
            </w:r>
            <w:r>
              <w:rPr>
                <w:spacing w:val="-2"/>
                <w:sz w:val="24"/>
              </w:rPr>
              <w:t>(Якутия)</w:t>
            </w:r>
          </w:p>
        </w:tc>
      </w:tr>
      <w:tr>
        <w:trPr>
          <w:trHeight w:hRule="atLeast" w:val="2411"/>
        </w:trPr>
        <w:tc>
          <w:tcPr>
            <w:tcW w:type="dxa" w:w="3539"/>
            <w:tcBorders>
              <w:top w:color="000000" w:sz="4" w:val="single"/>
              <w:left w:color="000000" w:sz="4" w:val="single"/>
              <w:bottom w:color="000000" w:sz="4" w:val="single"/>
              <w:right w:color="000000" w:sz="4" w:val="single"/>
            </w:tcBorders>
          </w:tcPr>
          <w:p w14:paraId="3C000000">
            <w:pPr>
              <w:pStyle w:val="Style_6"/>
              <w:tabs>
                <w:tab w:leader="none" w:pos="14742" w:val="left"/>
              </w:tabs>
              <w:ind w:left="61" w:right="137"/>
              <w:jc w:val="both"/>
              <w:rPr>
                <w:b w:val="1"/>
                <w:sz w:val="24"/>
              </w:rPr>
            </w:pPr>
            <w:r>
              <w:rPr>
                <w:b w:val="1"/>
                <w:sz w:val="24"/>
              </w:rPr>
              <w:t>Исполнители</w:t>
            </w:r>
            <w:r>
              <w:rPr>
                <w:b w:val="1"/>
                <w:spacing w:val="-15"/>
                <w:sz w:val="24"/>
              </w:rPr>
              <w:t xml:space="preserve"> </w:t>
            </w:r>
            <w:r>
              <w:rPr>
                <w:b w:val="1"/>
                <w:sz w:val="24"/>
              </w:rPr>
              <w:t xml:space="preserve">мероприятий </w:t>
            </w:r>
            <w:r>
              <w:rPr>
                <w:b w:val="1"/>
                <w:spacing w:val="-2"/>
                <w:sz w:val="24"/>
              </w:rPr>
              <w:t>Программы</w:t>
            </w:r>
          </w:p>
        </w:tc>
        <w:tc>
          <w:tcPr>
            <w:tcW w:type="dxa" w:w="10211"/>
            <w:tcBorders>
              <w:top w:color="000000" w:sz="4" w:val="single"/>
              <w:left w:color="000000" w:sz="4" w:val="single"/>
              <w:bottom w:color="000000" w:sz="4" w:val="single"/>
              <w:right w:color="000000" w:sz="4" w:val="single"/>
            </w:tcBorders>
          </w:tcPr>
          <w:p w14:paraId="3D000000">
            <w:pPr>
              <w:pStyle w:val="Style_6"/>
              <w:tabs>
                <w:tab w:leader="none" w:pos="14742" w:val="left"/>
              </w:tabs>
              <w:ind w:left="61" w:right="284"/>
              <w:jc w:val="both"/>
              <w:rPr>
                <w:sz w:val="24"/>
              </w:rPr>
            </w:pPr>
            <w:r>
              <w:rPr>
                <w:sz w:val="24"/>
              </w:rPr>
              <w:t xml:space="preserve">- </w:t>
            </w:r>
            <w:r>
              <w:rPr>
                <w:sz w:val="24"/>
              </w:rPr>
              <w:t>Общественная палата Республики Саха (Якутия) (по согласованию);</w:t>
            </w:r>
          </w:p>
          <w:p w14:paraId="3E000000">
            <w:pPr>
              <w:pStyle w:val="Style_6"/>
              <w:tabs>
                <w:tab w:leader="none" w:pos="14742" w:val="left"/>
              </w:tabs>
              <w:ind w:left="61" w:right="284"/>
              <w:jc w:val="both"/>
              <w:rPr>
                <w:sz w:val="24"/>
              </w:rPr>
            </w:pPr>
            <w:r>
              <w:rPr>
                <w:sz w:val="24"/>
              </w:rPr>
              <w:t xml:space="preserve">- </w:t>
            </w:r>
            <w:r>
              <w:rPr>
                <w:sz w:val="24"/>
              </w:rPr>
              <w:t>Союз "Торгово-промышленная палата Республики Саха (Якутия)" (по согласованию);</w:t>
            </w:r>
          </w:p>
          <w:p w14:paraId="3F000000">
            <w:pPr>
              <w:pStyle w:val="Style_6"/>
              <w:tabs>
                <w:tab w:leader="none" w:pos="14742" w:val="left"/>
              </w:tabs>
              <w:ind w:left="61" w:right="284"/>
              <w:jc w:val="both"/>
              <w:rPr>
                <w:sz w:val="24"/>
              </w:rPr>
            </w:pPr>
            <w:r>
              <w:rPr>
                <w:sz w:val="24"/>
              </w:rPr>
              <w:t xml:space="preserve">- </w:t>
            </w:r>
            <w:r>
              <w:rPr>
                <w:sz w:val="24"/>
              </w:rPr>
              <w:t>Министерство</w:t>
            </w:r>
            <w:r>
              <w:rPr>
                <w:spacing w:val="-6"/>
                <w:sz w:val="24"/>
              </w:rPr>
              <w:t xml:space="preserve"> </w:t>
            </w:r>
            <w:r>
              <w:rPr>
                <w:sz w:val="24"/>
              </w:rPr>
              <w:t>образования</w:t>
            </w:r>
            <w:r>
              <w:rPr>
                <w:spacing w:val="-6"/>
                <w:sz w:val="24"/>
              </w:rPr>
              <w:t xml:space="preserve"> </w:t>
            </w:r>
            <w:r>
              <w:rPr>
                <w:sz w:val="24"/>
              </w:rPr>
              <w:t>и</w:t>
            </w:r>
            <w:r>
              <w:rPr>
                <w:spacing w:val="-7"/>
                <w:sz w:val="24"/>
              </w:rPr>
              <w:t xml:space="preserve"> </w:t>
            </w:r>
            <w:r>
              <w:rPr>
                <w:sz w:val="24"/>
              </w:rPr>
              <w:t>науки</w:t>
            </w:r>
            <w:r>
              <w:rPr>
                <w:spacing w:val="-7"/>
                <w:sz w:val="24"/>
              </w:rPr>
              <w:t xml:space="preserve"> </w:t>
            </w:r>
            <w:r>
              <w:rPr>
                <w:sz w:val="24"/>
              </w:rPr>
              <w:t>Республики</w:t>
            </w:r>
            <w:r>
              <w:rPr>
                <w:spacing w:val="-7"/>
                <w:sz w:val="24"/>
              </w:rPr>
              <w:t xml:space="preserve"> </w:t>
            </w:r>
            <w:r>
              <w:rPr>
                <w:sz w:val="24"/>
              </w:rPr>
              <w:t>Саха</w:t>
            </w:r>
            <w:r>
              <w:rPr>
                <w:spacing w:val="-6"/>
                <w:sz w:val="24"/>
              </w:rPr>
              <w:t xml:space="preserve"> </w:t>
            </w:r>
            <w:r>
              <w:rPr>
                <w:sz w:val="24"/>
              </w:rPr>
              <w:t xml:space="preserve">(Якутия); </w:t>
            </w:r>
          </w:p>
          <w:p w14:paraId="40000000">
            <w:pPr>
              <w:pStyle w:val="Style_6"/>
              <w:tabs>
                <w:tab w:leader="none" w:pos="14742" w:val="left"/>
              </w:tabs>
              <w:ind w:left="61" w:right="284"/>
              <w:jc w:val="both"/>
              <w:rPr>
                <w:sz w:val="24"/>
              </w:rPr>
            </w:pPr>
            <w:r>
              <w:rPr>
                <w:sz w:val="24"/>
              </w:rPr>
              <w:t xml:space="preserve">- </w:t>
            </w:r>
            <w:r>
              <w:rPr>
                <w:sz w:val="24"/>
              </w:rPr>
              <w:t xml:space="preserve">Министерство здравоохранения Республики Саха (Якутия); </w:t>
            </w:r>
          </w:p>
          <w:p w14:paraId="41000000">
            <w:pPr>
              <w:pStyle w:val="Style_6"/>
              <w:tabs>
                <w:tab w:leader="none" w:pos="14742" w:val="left"/>
              </w:tabs>
              <w:ind w:left="61" w:right="284"/>
              <w:jc w:val="both"/>
              <w:rPr>
                <w:sz w:val="24"/>
              </w:rPr>
            </w:pPr>
            <w:r>
              <w:rPr>
                <w:sz w:val="24"/>
              </w:rPr>
              <w:t xml:space="preserve">- </w:t>
            </w:r>
            <w:r>
              <w:rPr>
                <w:sz w:val="24"/>
              </w:rPr>
              <w:t>Министерство строительства Республики Саха (Якутия);</w:t>
            </w:r>
          </w:p>
          <w:p w14:paraId="42000000">
            <w:pPr>
              <w:pStyle w:val="Style_6"/>
              <w:tabs>
                <w:tab w:leader="none" w:pos="14742" w:val="left"/>
              </w:tabs>
              <w:ind w:left="61" w:right="284"/>
              <w:jc w:val="both"/>
              <w:rPr>
                <w:sz w:val="24"/>
              </w:rPr>
            </w:pPr>
            <w:r>
              <w:rPr>
                <w:sz w:val="24"/>
              </w:rPr>
              <w:t xml:space="preserve">- </w:t>
            </w:r>
            <w:r>
              <w:rPr>
                <w:sz w:val="24"/>
              </w:rPr>
              <w:t xml:space="preserve">Министерство предпринимательства, торговли и туризма Республики Саха (Якутия); </w:t>
            </w:r>
          </w:p>
          <w:p w14:paraId="43000000">
            <w:pPr>
              <w:pStyle w:val="Style_6"/>
              <w:tabs>
                <w:tab w:leader="none" w:pos="14742" w:val="left"/>
              </w:tabs>
              <w:ind w:left="61" w:right="284"/>
              <w:jc w:val="both"/>
              <w:rPr>
                <w:sz w:val="24"/>
              </w:rPr>
            </w:pPr>
            <w:r>
              <w:rPr>
                <w:sz w:val="24"/>
              </w:rPr>
              <w:t xml:space="preserve">- </w:t>
            </w:r>
            <w:r>
              <w:rPr>
                <w:sz w:val="24"/>
              </w:rPr>
              <w:t>Министерство</w:t>
            </w:r>
            <w:r>
              <w:rPr>
                <w:spacing w:val="-5"/>
                <w:sz w:val="24"/>
              </w:rPr>
              <w:t xml:space="preserve"> </w:t>
            </w:r>
            <w:r>
              <w:rPr>
                <w:sz w:val="24"/>
              </w:rPr>
              <w:t>сельского</w:t>
            </w:r>
            <w:r>
              <w:rPr>
                <w:spacing w:val="-5"/>
                <w:sz w:val="24"/>
              </w:rPr>
              <w:t xml:space="preserve"> </w:t>
            </w:r>
            <w:r>
              <w:rPr>
                <w:sz w:val="24"/>
              </w:rPr>
              <w:t>хозяйства</w:t>
            </w:r>
            <w:r>
              <w:rPr>
                <w:spacing w:val="-5"/>
                <w:sz w:val="24"/>
              </w:rPr>
              <w:t xml:space="preserve"> </w:t>
            </w:r>
            <w:r>
              <w:rPr>
                <w:sz w:val="24"/>
              </w:rPr>
              <w:t>и</w:t>
            </w:r>
            <w:r>
              <w:rPr>
                <w:spacing w:val="-6"/>
                <w:sz w:val="24"/>
              </w:rPr>
              <w:t xml:space="preserve"> </w:t>
            </w:r>
            <w:r>
              <w:rPr>
                <w:sz w:val="24"/>
              </w:rPr>
              <w:t>продовольственной</w:t>
            </w:r>
            <w:r>
              <w:rPr>
                <w:spacing w:val="-5"/>
                <w:sz w:val="24"/>
              </w:rPr>
              <w:t xml:space="preserve"> </w:t>
            </w:r>
            <w:r>
              <w:rPr>
                <w:sz w:val="24"/>
              </w:rPr>
              <w:t>политики</w:t>
            </w:r>
            <w:r>
              <w:rPr>
                <w:spacing w:val="-6"/>
                <w:sz w:val="24"/>
              </w:rPr>
              <w:t xml:space="preserve"> </w:t>
            </w:r>
            <w:r>
              <w:rPr>
                <w:sz w:val="24"/>
              </w:rPr>
              <w:t>Республики</w:t>
            </w:r>
            <w:r>
              <w:rPr>
                <w:spacing w:val="-6"/>
                <w:sz w:val="24"/>
              </w:rPr>
              <w:t xml:space="preserve"> </w:t>
            </w:r>
            <w:r>
              <w:rPr>
                <w:sz w:val="24"/>
              </w:rPr>
              <w:t>Саха</w:t>
            </w:r>
            <w:r>
              <w:rPr>
                <w:spacing w:val="-5"/>
                <w:sz w:val="24"/>
              </w:rPr>
              <w:t xml:space="preserve"> </w:t>
            </w:r>
            <w:r>
              <w:rPr>
                <w:sz w:val="24"/>
              </w:rPr>
              <w:t xml:space="preserve">(Якутия); </w:t>
            </w:r>
            <w:r>
              <w:rPr>
                <w:sz w:val="24"/>
              </w:rPr>
              <w:t xml:space="preserve">- </w:t>
            </w:r>
            <w:r>
              <w:rPr>
                <w:sz w:val="24"/>
              </w:rPr>
              <w:t xml:space="preserve">Министерство жилищно-коммунального хозяйства и энергетики Республики Саха (Якутия); </w:t>
            </w:r>
            <w:r>
              <w:rPr>
                <w:sz w:val="24"/>
              </w:rPr>
              <w:t xml:space="preserve"> </w:t>
            </w:r>
          </w:p>
          <w:p w14:paraId="44000000">
            <w:pPr>
              <w:pStyle w:val="Style_6"/>
              <w:tabs>
                <w:tab w:leader="none" w:pos="14742" w:val="left"/>
              </w:tabs>
              <w:ind w:left="61" w:right="284"/>
              <w:jc w:val="both"/>
              <w:rPr>
                <w:sz w:val="24"/>
              </w:rPr>
            </w:pPr>
            <w:r>
              <w:rPr>
                <w:sz w:val="24"/>
              </w:rPr>
              <w:t xml:space="preserve">- </w:t>
            </w:r>
            <w:r>
              <w:rPr>
                <w:sz w:val="24"/>
              </w:rPr>
              <w:t>Министерство инноваций, цифрового развития и инфокоммуникационных технологий Республики Саха (Якутия);</w:t>
            </w:r>
          </w:p>
        </w:tc>
      </w:tr>
    </w:tbl>
    <w:p w14:paraId="45000000">
      <w:pPr>
        <w:sectPr>
          <w:headerReference r:id="rId3" w:type="default"/>
          <w:pgSz w:h="11910" w:orient="landscape" w:w="16840"/>
          <w:pgMar w:bottom="280" w:footer="720" w:gutter="0" w:header="720" w:left="1701" w:right="822" w:top="1060"/>
        </w:sectPr>
      </w:pPr>
    </w:p>
    <w:p w14:paraId="46000000">
      <w:pPr>
        <w:pStyle w:val="Style_2"/>
        <w:tabs>
          <w:tab w:leader="none" w:pos="14742" w:val="left"/>
        </w:tabs>
        <w:ind w:right="824"/>
        <w:jc w:val="both"/>
        <w:rPr>
          <w:b w:val="1"/>
          <w:sz w:val="2"/>
        </w:rPr>
      </w:pPr>
    </w:p>
    <w:tbl>
      <w:tblPr>
        <w:tblStyle w:val="Style_5"/>
        <w:tblW w:type="auto" w:w="0"/>
        <w:tblInd w:type="dxa" w:w="289"/>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402"/>
        <w:gridCol w:w="10348"/>
      </w:tblGrid>
      <w:tr>
        <w:trPr>
          <w:trHeight w:hRule="atLeast" w:val="1682"/>
        </w:trPr>
        <w:tc>
          <w:tcPr>
            <w:tcW w:type="dxa" w:w="3402"/>
            <w:tcBorders>
              <w:top w:color="000000" w:sz="4" w:val="single"/>
              <w:left w:color="000000" w:sz="4" w:val="single"/>
              <w:bottom w:color="000000" w:sz="4" w:val="single"/>
              <w:right w:color="000000" w:sz="4" w:val="single"/>
            </w:tcBorders>
          </w:tcPr>
          <w:p w14:paraId="47000000">
            <w:pPr>
              <w:pStyle w:val="Style_6"/>
              <w:tabs>
                <w:tab w:leader="none" w:pos="14317" w:val="left"/>
              </w:tabs>
              <w:ind w:firstLine="6" w:left="-6" w:right="965"/>
              <w:jc w:val="both"/>
              <w:rPr>
                <w:sz w:val="24"/>
              </w:rPr>
            </w:pPr>
          </w:p>
        </w:tc>
        <w:tc>
          <w:tcPr>
            <w:tcW w:type="dxa" w:w="10348"/>
            <w:tcBorders>
              <w:top w:color="000000" w:sz="4" w:val="single"/>
              <w:left w:color="000000" w:sz="4" w:val="single"/>
              <w:bottom w:color="000000" w:sz="4" w:val="single"/>
              <w:right w:color="000000" w:sz="4" w:val="single"/>
            </w:tcBorders>
          </w:tcPr>
          <w:p w14:paraId="48000000">
            <w:pPr>
              <w:pStyle w:val="Style_6"/>
              <w:tabs>
                <w:tab w:leader="none" w:pos="14317" w:val="left"/>
              </w:tabs>
              <w:ind w:left="61" w:right="284"/>
              <w:jc w:val="both"/>
              <w:rPr>
                <w:spacing w:val="-2"/>
                <w:sz w:val="24"/>
              </w:rPr>
            </w:pPr>
            <w:r>
              <w:rPr>
                <w:sz w:val="24"/>
              </w:rPr>
              <w:t xml:space="preserve">- </w:t>
            </w:r>
            <w:r>
              <w:rPr>
                <w:sz w:val="24"/>
              </w:rPr>
              <w:t>Министерство</w:t>
            </w:r>
            <w:r>
              <w:rPr>
                <w:spacing w:val="-4"/>
                <w:sz w:val="24"/>
              </w:rPr>
              <w:t xml:space="preserve"> </w:t>
            </w:r>
            <w:r>
              <w:rPr>
                <w:sz w:val="24"/>
              </w:rPr>
              <w:t>труда</w:t>
            </w:r>
            <w:r>
              <w:rPr>
                <w:spacing w:val="-3"/>
                <w:sz w:val="24"/>
              </w:rPr>
              <w:t xml:space="preserve"> </w:t>
            </w:r>
            <w:r>
              <w:rPr>
                <w:sz w:val="24"/>
              </w:rPr>
              <w:t>и</w:t>
            </w:r>
            <w:r>
              <w:rPr>
                <w:spacing w:val="-5"/>
                <w:sz w:val="24"/>
              </w:rPr>
              <w:t xml:space="preserve"> </w:t>
            </w:r>
            <w:r>
              <w:rPr>
                <w:sz w:val="24"/>
              </w:rPr>
              <w:t>социального</w:t>
            </w:r>
            <w:r>
              <w:rPr>
                <w:spacing w:val="-3"/>
                <w:sz w:val="24"/>
              </w:rPr>
              <w:t xml:space="preserve"> </w:t>
            </w:r>
            <w:r>
              <w:rPr>
                <w:sz w:val="24"/>
              </w:rPr>
              <w:t>развития</w:t>
            </w:r>
            <w:r>
              <w:rPr>
                <w:spacing w:val="-4"/>
                <w:sz w:val="24"/>
              </w:rPr>
              <w:t xml:space="preserve"> </w:t>
            </w:r>
            <w:r>
              <w:rPr>
                <w:sz w:val="24"/>
              </w:rPr>
              <w:t>Республики</w:t>
            </w:r>
            <w:r>
              <w:rPr>
                <w:spacing w:val="-4"/>
                <w:sz w:val="24"/>
              </w:rPr>
              <w:t xml:space="preserve"> </w:t>
            </w:r>
            <w:r>
              <w:rPr>
                <w:sz w:val="24"/>
              </w:rPr>
              <w:t>Саха</w:t>
            </w:r>
            <w:r>
              <w:rPr>
                <w:spacing w:val="-3"/>
                <w:sz w:val="24"/>
              </w:rPr>
              <w:t xml:space="preserve"> </w:t>
            </w:r>
            <w:r>
              <w:rPr>
                <w:spacing w:val="-2"/>
                <w:sz w:val="24"/>
              </w:rPr>
              <w:t>(Якутия);</w:t>
            </w:r>
          </w:p>
          <w:p w14:paraId="49000000">
            <w:pPr>
              <w:pStyle w:val="Style_6"/>
              <w:tabs>
                <w:tab w:leader="none" w:pos="14317" w:val="left"/>
              </w:tabs>
              <w:ind w:left="61" w:right="284"/>
              <w:jc w:val="both"/>
              <w:rPr>
                <w:sz w:val="24"/>
              </w:rPr>
            </w:pPr>
            <w:r>
              <w:rPr>
                <w:sz w:val="24"/>
              </w:rPr>
              <w:t xml:space="preserve">- </w:t>
            </w:r>
            <w:r>
              <w:rPr>
                <w:sz w:val="24"/>
              </w:rPr>
              <w:t>Министерство по физической культуре и спорту Республики Саха (Якутия);</w:t>
            </w:r>
          </w:p>
          <w:p w14:paraId="4A000000">
            <w:pPr>
              <w:pStyle w:val="Style_6"/>
              <w:tabs>
                <w:tab w:leader="none" w:pos="14317" w:val="left"/>
              </w:tabs>
              <w:ind w:left="61" w:right="284"/>
              <w:jc w:val="both"/>
              <w:rPr>
                <w:sz w:val="24"/>
              </w:rPr>
            </w:pPr>
            <w:r>
              <w:rPr>
                <w:sz w:val="24"/>
              </w:rPr>
              <w:t>- Министерство внутренних дел по Республике Саха (Якутия) (по согласованию)</w:t>
            </w:r>
            <w:r>
              <w:rPr>
                <w:sz w:val="24"/>
              </w:rPr>
              <w:t>;</w:t>
            </w:r>
          </w:p>
          <w:p w14:paraId="4B000000">
            <w:pPr>
              <w:pStyle w:val="Style_6"/>
              <w:tabs>
                <w:tab w:leader="none" w:pos="14317" w:val="left"/>
              </w:tabs>
              <w:ind w:left="61" w:right="284"/>
              <w:jc w:val="both"/>
              <w:rPr>
                <w:sz w:val="24"/>
              </w:rPr>
            </w:pPr>
            <w:r>
              <w:rPr>
                <w:sz w:val="24"/>
              </w:rPr>
              <w:t xml:space="preserve">- </w:t>
            </w:r>
            <w:r>
              <w:rPr>
                <w:sz w:val="24"/>
              </w:rPr>
              <w:t>Министерство культуры и духовного развития Республики Саха (Якутия)</w:t>
            </w:r>
            <w:r>
              <w:rPr>
                <w:sz w:val="24"/>
              </w:rPr>
              <w:t xml:space="preserve"> (по согласованию);</w:t>
            </w:r>
          </w:p>
          <w:p w14:paraId="4C000000">
            <w:pPr>
              <w:pStyle w:val="Style_6"/>
              <w:tabs>
                <w:tab w:leader="none" w:pos="14317" w:val="left"/>
              </w:tabs>
              <w:ind w:left="61" w:right="284"/>
              <w:jc w:val="both"/>
              <w:rPr>
                <w:sz w:val="24"/>
              </w:rPr>
            </w:pPr>
            <w:r>
              <w:rPr>
                <w:sz w:val="24"/>
              </w:rPr>
              <w:t xml:space="preserve">- </w:t>
            </w:r>
            <w:r>
              <w:rPr>
                <w:sz w:val="24"/>
              </w:rPr>
              <w:t>Министерство по делам молодёжи и социальным коммуникациям Республики Саха (Якутия)</w:t>
            </w:r>
            <w:r>
              <w:rPr>
                <w:sz w:val="24"/>
              </w:rPr>
              <w:t>;</w:t>
            </w:r>
          </w:p>
          <w:p w14:paraId="4D000000">
            <w:pPr>
              <w:pStyle w:val="Style_6"/>
              <w:tabs>
                <w:tab w:leader="none" w:pos="14317" w:val="left"/>
              </w:tabs>
              <w:ind w:left="61" w:right="284"/>
              <w:jc w:val="both"/>
              <w:rPr>
                <w:sz w:val="24"/>
              </w:rPr>
            </w:pPr>
            <w:r>
              <w:rPr>
                <w:sz w:val="24"/>
              </w:rPr>
              <w:t xml:space="preserve">- </w:t>
            </w:r>
            <w:r>
              <w:rPr>
                <w:sz w:val="24"/>
              </w:rPr>
              <w:t>Управление</w:t>
            </w:r>
            <w:r>
              <w:rPr>
                <w:spacing w:val="-5"/>
                <w:sz w:val="24"/>
              </w:rPr>
              <w:t xml:space="preserve"> </w:t>
            </w:r>
            <w:r>
              <w:rPr>
                <w:sz w:val="24"/>
              </w:rPr>
              <w:t>государственного</w:t>
            </w:r>
            <w:r>
              <w:rPr>
                <w:spacing w:val="-5"/>
                <w:sz w:val="24"/>
              </w:rPr>
              <w:t xml:space="preserve"> </w:t>
            </w:r>
            <w:r>
              <w:rPr>
                <w:sz w:val="24"/>
              </w:rPr>
              <w:t>строительного</w:t>
            </w:r>
            <w:r>
              <w:rPr>
                <w:spacing w:val="-6"/>
                <w:sz w:val="24"/>
              </w:rPr>
              <w:t xml:space="preserve"> </w:t>
            </w:r>
            <w:r>
              <w:rPr>
                <w:sz w:val="24"/>
              </w:rPr>
              <w:t>и</w:t>
            </w:r>
            <w:r>
              <w:rPr>
                <w:spacing w:val="-5"/>
                <w:sz w:val="24"/>
              </w:rPr>
              <w:t xml:space="preserve"> </w:t>
            </w:r>
            <w:r>
              <w:rPr>
                <w:sz w:val="24"/>
              </w:rPr>
              <w:t>жилищного</w:t>
            </w:r>
            <w:r>
              <w:rPr>
                <w:spacing w:val="-5"/>
                <w:sz w:val="24"/>
              </w:rPr>
              <w:t xml:space="preserve"> </w:t>
            </w:r>
            <w:r>
              <w:rPr>
                <w:sz w:val="24"/>
              </w:rPr>
              <w:t>надзора</w:t>
            </w:r>
            <w:r>
              <w:rPr>
                <w:spacing w:val="-5"/>
                <w:sz w:val="24"/>
              </w:rPr>
              <w:t xml:space="preserve"> </w:t>
            </w:r>
            <w:r>
              <w:rPr>
                <w:sz w:val="24"/>
              </w:rPr>
              <w:t>Республики</w:t>
            </w:r>
            <w:r>
              <w:rPr>
                <w:spacing w:val="-6"/>
                <w:sz w:val="24"/>
              </w:rPr>
              <w:t xml:space="preserve"> </w:t>
            </w:r>
            <w:r>
              <w:rPr>
                <w:sz w:val="24"/>
              </w:rPr>
              <w:t>Саха</w:t>
            </w:r>
            <w:r>
              <w:rPr>
                <w:spacing w:val="-5"/>
                <w:sz w:val="24"/>
              </w:rPr>
              <w:t xml:space="preserve"> </w:t>
            </w:r>
            <w:r>
              <w:rPr>
                <w:sz w:val="24"/>
              </w:rPr>
              <w:t>(Якутия);</w:t>
            </w:r>
          </w:p>
          <w:p w14:paraId="4E000000">
            <w:pPr>
              <w:pStyle w:val="Style_6"/>
              <w:tabs>
                <w:tab w:leader="none" w:pos="14317" w:val="left"/>
              </w:tabs>
              <w:ind w:left="61" w:right="284"/>
              <w:jc w:val="both"/>
              <w:rPr>
                <w:sz w:val="24"/>
              </w:rPr>
            </w:pPr>
            <w:r>
              <w:rPr>
                <w:sz w:val="24"/>
              </w:rPr>
              <w:t>-</w:t>
            </w:r>
            <w:r>
              <w:rPr>
                <w:sz w:val="24"/>
              </w:rPr>
              <w:t xml:space="preserve"> Органы местного самоуправления Республики Саха (Якутия);</w:t>
            </w:r>
          </w:p>
          <w:p w14:paraId="4F000000">
            <w:pPr>
              <w:pStyle w:val="Style_6"/>
              <w:tabs>
                <w:tab w:leader="none" w:pos="14317" w:val="left"/>
              </w:tabs>
              <w:ind w:left="61" w:right="284"/>
              <w:jc w:val="both"/>
              <w:rPr>
                <w:sz w:val="24"/>
              </w:rPr>
            </w:pPr>
            <w:r>
              <w:rPr>
                <w:sz w:val="24"/>
              </w:rPr>
              <w:t xml:space="preserve">- </w:t>
            </w:r>
            <w:r>
              <w:rPr>
                <w:sz w:val="24"/>
              </w:rPr>
              <w:t>Управление</w:t>
            </w:r>
            <w:r>
              <w:rPr>
                <w:spacing w:val="-3"/>
                <w:sz w:val="24"/>
              </w:rPr>
              <w:t xml:space="preserve"> </w:t>
            </w:r>
            <w:r>
              <w:rPr>
                <w:sz w:val="24"/>
              </w:rPr>
              <w:t>Федеральной</w:t>
            </w:r>
            <w:r>
              <w:rPr>
                <w:spacing w:val="-4"/>
                <w:sz w:val="24"/>
              </w:rPr>
              <w:t xml:space="preserve"> </w:t>
            </w:r>
            <w:r>
              <w:rPr>
                <w:sz w:val="24"/>
              </w:rPr>
              <w:t>службы</w:t>
            </w:r>
            <w:r>
              <w:rPr>
                <w:spacing w:val="-4"/>
                <w:sz w:val="24"/>
              </w:rPr>
              <w:t xml:space="preserve"> </w:t>
            </w:r>
            <w:r>
              <w:rPr>
                <w:sz w:val="24"/>
              </w:rPr>
              <w:t>по</w:t>
            </w:r>
            <w:r>
              <w:rPr>
                <w:spacing w:val="-3"/>
                <w:sz w:val="24"/>
              </w:rPr>
              <w:t xml:space="preserve"> </w:t>
            </w:r>
            <w:r>
              <w:rPr>
                <w:sz w:val="24"/>
              </w:rPr>
              <w:t>надзору</w:t>
            </w:r>
            <w:r>
              <w:rPr>
                <w:spacing w:val="-3"/>
                <w:sz w:val="24"/>
              </w:rPr>
              <w:t xml:space="preserve"> </w:t>
            </w:r>
            <w:r>
              <w:rPr>
                <w:sz w:val="24"/>
              </w:rPr>
              <w:t>в</w:t>
            </w:r>
            <w:r>
              <w:rPr>
                <w:spacing w:val="-3"/>
                <w:sz w:val="24"/>
              </w:rPr>
              <w:t xml:space="preserve"> </w:t>
            </w:r>
            <w:r>
              <w:rPr>
                <w:sz w:val="24"/>
              </w:rPr>
              <w:t>сфере</w:t>
            </w:r>
            <w:r>
              <w:rPr>
                <w:spacing w:val="-3"/>
                <w:sz w:val="24"/>
              </w:rPr>
              <w:t xml:space="preserve"> </w:t>
            </w:r>
            <w:r>
              <w:rPr>
                <w:sz w:val="24"/>
              </w:rPr>
              <w:t>защиты</w:t>
            </w:r>
            <w:r>
              <w:rPr>
                <w:spacing w:val="-3"/>
                <w:sz w:val="24"/>
              </w:rPr>
              <w:t xml:space="preserve"> </w:t>
            </w:r>
            <w:r>
              <w:rPr>
                <w:sz w:val="24"/>
              </w:rPr>
              <w:t>прав</w:t>
            </w:r>
            <w:r>
              <w:rPr>
                <w:spacing w:val="-4"/>
                <w:sz w:val="24"/>
              </w:rPr>
              <w:t xml:space="preserve"> </w:t>
            </w:r>
            <w:r>
              <w:rPr>
                <w:sz w:val="24"/>
              </w:rPr>
              <w:t>потребителей</w:t>
            </w:r>
            <w:r>
              <w:rPr>
                <w:spacing w:val="-4"/>
                <w:sz w:val="24"/>
              </w:rPr>
              <w:t xml:space="preserve"> </w:t>
            </w:r>
            <w:r>
              <w:rPr>
                <w:sz w:val="24"/>
              </w:rPr>
              <w:t>и</w:t>
            </w:r>
            <w:r>
              <w:rPr>
                <w:spacing w:val="-4"/>
                <w:sz w:val="24"/>
              </w:rPr>
              <w:t xml:space="preserve"> </w:t>
            </w:r>
            <w:r>
              <w:rPr>
                <w:sz w:val="24"/>
              </w:rPr>
              <w:t>благополучия человека по Республике Саха (Якутия) (далее – Управление Роспотребнадзора по РС(Я))</w:t>
            </w:r>
            <w:r>
              <w:rPr>
                <w:sz w:val="24"/>
              </w:rPr>
              <w:t xml:space="preserve"> </w:t>
            </w:r>
            <w:r>
              <w:rPr>
                <w:sz w:val="24"/>
              </w:rPr>
              <w:t xml:space="preserve">(по </w:t>
            </w:r>
            <w:r>
              <w:rPr>
                <w:spacing w:val="-2"/>
                <w:sz w:val="24"/>
              </w:rPr>
              <w:t>согласованию);</w:t>
            </w:r>
          </w:p>
          <w:p w14:paraId="50000000">
            <w:pPr>
              <w:pStyle w:val="Style_6"/>
              <w:tabs>
                <w:tab w:leader="none" w:pos="14317" w:val="left"/>
              </w:tabs>
              <w:ind w:left="61" w:right="284"/>
              <w:jc w:val="both"/>
              <w:rPr>
                <w:sz w:val="24"/>
              </w:rPr>
            </w:pPr>
            <w:r>
              <w:rPr>
                <w:sz w:val="24"/>
              </w:rPr>
              <w:t xml:space="preserve">- </w:t>
            </w:r>
            <w:r>
              <w:rPr>
                <w:sz w:val="24"/>
              </w:rPr>
              <w:t>Управление</w:t>
            </w:r>
            <w:r>
              <w:rPr>
                <w:spacing w:val="-4"/>
                <w:sz w:val="24"/>
              </w:rPr>
              <w:t xml:space="preserve"> </w:t>
            </w:r>
            <w:r>
              <w:rPr>
                <w:sz w:val="24"/>
              </w:rPr>
              <w:t>Федеральной</w:t>
            </w:r>
            <w:r>
              <w:rPr>
                <w:spacing w:val="-5"/>
                <w:sz w:val="24"/>
              </w:rPr>
              <w:t xml:space="preserve"> </w:t>
            </w:r>
            <w:r>
              <w:rPr>
                <w:sz w:val="24"/>
              </w:rPr>
              <w:t>службы</w:t>
            </w:r>
            <w:r>
              <w:rPr>
                <w:spacing w:val="-5"/>
                <w:sz w:val="24"/>
              </w:rPr>
              <w:t xml:space="preserve"> </w:t>
            </w:r>
            <w:r>
              <w:rPr>
                <w:sz w:val="24"/>
              </w:rPr>
              <w:t>по</w:t>
            </w:r>
            <w:r>
              <w:rPr>
                <w:spacing w:val="-4"/>
                <w:sz w:val="24"/>
              </w:rPr>
              <w:t xml:space="preserve"> </w:t>
            </w:r>
            <w:r>
              <w:rPr>
                <w:sz w:val="24"/>
              </w:rPr>
              <w:t>ветеринарному</w:t>
            </w:r>
            <w:r>
              <w:rPr>
                <w:spacing w:val="-4"/>
                <w:sz w:val="24"/>
              </w:rPr>
              <w:t xml:space="preserve"> </w:t>
            </w:r>
            <w:r>
              <w:rPr>
                <w:sz w:val="24"/>
              </w:rPr>
              <w:t>и</w:t>
            </w:r>
            <w:r>
              <w:rPr>
                <w:spacing w:val="-5"/>
                <w:sz w:val="24"/>
              </w:rPr>
              <w:t xml:space="preserve"> </w:t>
            </w:r>
            <w:r>
              <w:rPr>
                <w:sz w:val="24"/>
              </w:rPr>
              <w:t>фитосанитарному</w:t>
            </w:r>
            <w:r>
              <w:rPr>
                <w:spacing w:val="-4"/>
                <w:sz w:val="24"/>
              </w:rPr>
              <w:t xml:space="preserve"> </w:t>
            </w:r>
            <w:r>
              <w:rPr>
                <w:sz w:val="24"/>
              </w:rPr>
              <w:t>надзору</w:t>
            </w:r>
            <w:r>
              <w:rPr>
                <w:spacing w:val="-4"/>
                <w:sz w:val="24"/>
              </w:rPr>
              <w:t xml:space="preserve"> </w:t>
            </w:r>
            <w:r>
              <w:rPr>
                <w:sz w:val="24"/>
              </w:rPr>
              <w:t>по</w:t>
            </w:r>
            <w:r>
              <w:rPr>
                <w:spacing w:val="-4"/>
                <w:sz w:val="24"/>
              </w:rPr>
              <w:t xml:space="preserve"> </w:t>
            </w:r>
            <w:r>
              <w:rPr>
                <w:sz w:val="24"/>
              </w:rPr>
              <w:t xml:space="preserve">Амурской области и Республике Саха (Якутия) (далее - Управление </w:t>
            </w:r>
            <w:r>
              <w:rPr>
                <w:sz w:val="24"/>
              </w:rPr>
              <w:t>Россельхознадзора</w:t>
            </w:r>
            <w:r>
              <w:rPr>
                <w:sz w:val="24"/>
              </w:rPr>
              <w:t xml:space="preserve"> по Амурской области и Республике Саха (Якутия)) (по согласованию);</w:t>
            </w:r>
          </w:p>
          <w:p w14:paraId="51000000">
            <w:pPr>
              <w:pStyle w:val="Style_6"/>
              <w:tabs>
                <w:tab w:leader="none" w:pos="14317" w:val="left"/>
              </w:tabs>
              <w:ind w:left="61" w:right="284"/>
              <w:jc w:val="both"/>
              <w:rPr>
                <w:sz w:val="24"/>
              </w:rPr>
            </w:pPr>
            <w:r>
              <w:rPr>
                <w:sz w:val="24"/>
              </w:rPr>
              <w:t>- Управление федеральной налоговой службы по Республике Саха (Якутия) (далее - УФНС России по Республике Саха (Якутия) (по согласованию);</w:t>
            </w:r>
          </w:p>
          <w:p w14:paraId="52000000">
            <w:pPr>
              <w:pStyle w:val="Style_6"/>
              <w:tabs>
                <w:tab w:leader="none" w:pos="14317" w:val="left"/>
              </w:tabs>
              <w:ind w:left="61" w:right="284"/>
              <w:jc w:val="both"/>
              <w:rPr>
                <w:sz w:val="24"/>
              </w:rPr>
            </w:pPr>
            <w:r>
              <w:rPr>
                <w:sz w:val="24"/>
              </w:rPr>
              <w:t xml:space="preserve">- </w:t>
            </w:r>
            <w:r>
              <w:rPr>
                <w:sz w:val="24"/>
              </w:rPr>
              <w:t>Федеральное</w:t>
            </w:r>
            <w:r>
              <w:rPr>
                <w:spacing w:val="-7"/>
                <w:sz w:val="24"/>
              </w:rPr>
              <w:t xml:space="preserve"> </w:t>
            </w:r>
            <w:r>
              <w:rPr>
                <w:sz w:val="24"/>
              </w:rPr>
              <w:t>бюджетное</w:t>
            </w:r>
            <w:r>
              <w:rPr>
                <w:spacing w:val="-6"/>
                <w:sz w:val="24"/>
              </w:rPr>
              <w:t xml:space="preserve"> </w:t>
            </w:r>
            <w:r>
              <w:rPr>
                <w:sz w:val="24"/>
              </w:rPr>
              <w:t>учреждение</w:t>
            </w:r>
            <w:r>
              <w:rPr>
                <w:spacing w:val="-6"/>
                <w:sz w:val="24"/>
              </w:rPr>
              <w:t xml:space="preserve"> </w:t>
            </w:r>
            <w:r>
              <w:rPr>
                <w:sz w:val="24"/>
              </w:rPr>
              <w:t>«Государственный</w:t>
            </w:r>
            <w:r>
              <w:rPr>
                <w:spacing w:val="-7"/>
                <w:sz w:val="24"/>
              </w:rPr>
              <w:t xml:space="preserve"> </w:t>
            </w:r>
            <w:r>
              <w:rPr>
                <w:sz w:val="24"/>
              </w:rPr>
              <w:t>региональный</w:t>
            </w:r>
            <w:r>
              <w:rPr>
                <w:spacing w:val="-6"/>
                <w:sz w:val="24"/>
              </w:rPr>
              <w:t xml:space="preserve"> </w:t>
            </w:r>
            <w:r>
              <w:rPr>
                <w:sz w:val="24"/>
              </w:rPr>
              <w:t>центр</w:t>
            </w:r>
            <w:r>
              <w:rPr>
                <w:spacing w:val="-6"/>
                <w:sz w:val="24"/>
              </w:rPr>
              <w:t xml:space="preserve"> </w:t>
            </w:r>
            <w:r>
              <w:rPr>
                <w:sz w:val="24"/>
              </w:rPr>
              <w:t>стандартизации, метрологии и испытаний в Республике Саха (Якутия) (по согласованию);</w:t>
            </w:r>
          </w:p>
          <w:p w14:paraId="53000000">
            <w:pPr>
              <w:pStyle w:val="Style_6"/>
              <w:tabs>
                <w:tab w:leader="none" w:pos="14317" w:val="left"/>
              </w:tabs>
              <w:ind w:left="61" w:right="284"/>
              <w:jc w:val="both"/>
              <w:rPr>
                <w:sz w:val="24"/>
              </w:rPr>
            </w:pPr>
            <w:r>
              <w:rPr>
                <w:sz w:val="24"/>
              </w:rPr>
              <w:t xml:space="preserve">- </w:t>
            </w:r>
            <w:r>
              <w:rPr>
                <w:sz w:val="24"/>
              </w:rPr>
              <w:t>Управление</w:t>
            </w:r>
            <w:r>
              <w:rPr>
                <w:spacing w:val="-4"/>
                <w:sz w:val="24"/>
              </w:rPr>
              <w:t xml:space="preserve"> </w:t>
            </w:r>
            <w:r>
              <w:rPr>
                <w:sz w:val="24"/>
              </w:rPr>
              <w:t>Федеральной</w:t>
            </w:r>
            <w:r>
              <w:rPr>
                <w:spacing w:val="-5"/>
                <w:sz w:val="24"/>
              </w:rPr>
              <w:t xml:space="preserve"> </w:t>
            </w:r>
            <w:r>
              <w:rPr>
                <w:sz w:val="24"/>
              </w:rPr>
              <w:t>службы</w:t>
            </w:r>
            <w:r>
              <w:rPr>
                <w:spacing w:val="-5"/>
                <w:sz w:val="24"/>
              </w:rPr>
              <w:t xml:space="preserve"> </w:t>
            </w:r>
            <w:r>
              <w:rPr>
                <w:sz w:val="24"/>
              </w:rPr>
              <w:t>по</w:t>
            </w:r>
            <w:r>
              <w:rPr>
                <w:spacing w:val="-4"/>
                <w:sz w:val="24"/>
              </w:rPr>
              <w:t xml:space="preserve"> </w:t>
            </w:r>
            <w:r>
              <w:rPr>
                <w:sz w:val="24"/>
              </w:rPr>
              <w:t>надзору</w:t>
            </w:r>
            <w:r>
              <w:rPr>
                <w:spacing w:val="-4"/>
                <w:sz w:val="24"/>
              </w:rPr>
              <w:t xml:space="preserve"> </w:t>
            </w:r>
            <w:r>
              <w:rPr>
                <w:sz w:val="24"/>
              </w:rPr>
              <w:t>в</w:t>
            </w:r>
            <w:r>
              <w:rPr>
                <w:spacing w:val="-4"/>
                <w:sz w:val="24"/>
              </w:rPr>
              <w:t xml:space="preserve"> </w:t>
            </w:r>
            <w:r>
              <w:rPr>
                <w:sz w:val="24"/>
              </w:rPr>
              <w:t>сфере</w:t>
            </w:r>
            <w:r>
              <w:rPr>
                <w:spacing w:val="-4"/>
                <w:sz w:val="24"/>
              </w:rPr>
              <w:t xml:space="preserve"> </w:t>
            </w:r>
            <w:r>
              <w:rPr>
                <w:sz w:val="24"/>
              </w:rPr>
              <w:t>связи,</w:t>
            </w:r>
            <w:r>
              <w:rPr>
                <w:spacing w:val="-4"/>
                <w:sz w:val="24"/>
              </w:rPr>
              <w:t xml:space="preserve"> </w:t>
            </w:r>
            <w:r>
              <w:rPr>
                <w:sz w:val="24"/>
              </w:rPr>
              <w:t>информационных</w:t>
            </w:r>
            <w:r>
              <w:rPr>
                <w:spacing w:val="-4"/>
                <w:sz w:val="24"/>
              </w:rPr>
              <w:t xml:space="preserve"> </w:t>
            </w:r>
            <w:r>
              <w:rPr>
                <w:sz w:val="24"/>
              </w:rPr>
              <w:t>технологий</w:t>
            </w:r>
            <w:r>
              <w:rPr>
                <w:spacing w:val="-5"/>
                <w:sz w:val="24"/>
              </w:rPr>
              <w:t xml:space="preserve"> </w:t>
            </w:r>
            <w:r>
              <w:rPr>
                <w:sz w:val="24"/>
              </w:rPr>
              <w:t>и массовых коммуникаций по Республике Саха (Якутия) (по согласованию);</w:t>
            </w:r>
          </w:p>
          <w:p w14:paraId="54000000">
            <w:pPr>
              <w:pStyle w:val="Style_6"/>
              <w:tabs>
                <w:tab w:leader="none" w:pos="14317" w:val="left"/>
              </w:tabs>
              <w:ind w:left="61" w:right="284"/>
              <w:jc w:val="both"/>
              <w:rPr>
                <w:sz w:val="24"/>
              </w:rPr>
            </w:pPr>
            <w:r>
              <w:rPr>
                <w:sz w:val="24"/>
              </w:rPr>
              <w:t xml:space="preserve">- </w:t>
            </w:r>
            <w:r>
              <w:rPr>
                <w:sz w:val="24"/>
              </w:rPr>
              <w:t>Территориальный</w:t>
            </w:r>
            <w:r>
              <w:rPr>
                <w:spacing w:val="-6"/>
                <w:sz w:val="24"/>
              </w:rPr>
              <w:t xml:space="preserve"> </w:t>
            </w:r>
            <w:r>
              <w:rPr>
                <w:sz w:val="24"/>
              </w:rPr>
              <w:t>отдел</w:t>
            </w:r>
            <w:r>
              <w:rPr>
                <w:spacing w:val="-5"/>
                <w:sz w:val="24"/>
              </w:rPr>
              <w:t xml:space="preserve"> </w:t>
            </w:r>
            <w:r>
              <w:rPr>
                <w:sz w:val="24"/>
              </w:rPr>
              <w:t>государственного</w:t>
            </w:r>
            <w:r>
              <w:rPr>
                <w:spacing w:val="-5"/>
                <w:sz w:val="24"/>
              </w:rPr>
              <w:t xml:space="preserve"> </w:t>
            </w:r>
            <w:r>
              <w:rPr>
                <w:sz w:val="24"/>
              </w:rPr>
              <w:t>автодорожного</w:t>
            </w:r>
            <w:r>
              <w:rPr>
                <w:spacing w:val="-5"/>
                <w:sz w:val="24"/>
              </w:rPr>
              <w:t xml:space="preserve"> </w:t>
            </w:r>
            <w:r>
              <w:rPr>
                <w:sz w:val="24"/>
              </w:rPr>
              <w:t>надзора</w:t>
            </w:r>
            <w:r>
              <w:rPr>
                <w:spacing w:val="-5"/>
                <w:sz w:val="24"/>
              </w:rPr>
              <w:t xml:space="preserve"> </w:t>
            </w:r>
            <w:r>
              <w:rPr>
                <w:sz w:val="24"/>
              </w:rPr>
              <w:t>по</w:t>
            </w:r>
            <w:r>
              <w:rPr>
                <w:spacing w:val="-5"/>
                <w:sz w:val="24"/>
              </w:rPr>
              <w:t xml:space="preserve"> </w:t>
            </w:r>
            <w:r>
              <w:rPr>
                <w:sz w:val="24"/>
              </w:rPr>
              <w:t>Республике</w:t>
            </w:r>
            <w:r>
              <w:rPr>
                <w:spacing w:val="-6"/>
                <w:sz w:val="24"/>
              </w:rPr>
              <w:t xml:space="preserve"> </w:t>
            </w:r>
            <w:r>
              <w:rPr>
                <w:sz w:val="24"/>
              </w:rPr>
              <w:t>Саха</w:t>
            </w:r>
            <w:r>
              <w:rPr>
                <w:spacing w:val="-5"/>
                <w:sz w:val="24"/>
              </w:rPr>
              <w:t xml:space="preserve"> </w:t>
            </w:r>
            <w:r>
              <w:rPr>
                <w:sz w:val="24"/>
              </w:rPr>
              <w:t xml:space="preserve">(Якутия) Межрегионального территориального управления Федеральной службы по надзору в сфере транспорта по Дальневосточному федеральному округу (далее ТОГАДН по РС(Я)) (по </w:t>
            </w:r>
            <w:r>
              <w:rPr>
                <w:spacing w:val="-2"/>
                <w:sz w:val="24"/>
              </w:rPr>
              <w:t>согласованию);</w:t>
            </w:r>
          </w:p>
          <w:p w14:paraId="55000000">
            <w:pPr>
              <w:pStyle w:val="Style_6"/>
              <w:tabs>
                <w:tab w:leader="none" w:pos="14317" w:val="left"/>
              </w:tabs>
              <w:ind w:left="61" w:right="284"/>
              <w:jc w:val="both"/>
              <w:rPr>
                <w:sz w:val="24"/>
              </w:rPr>
            </w:pPr>
            <w:r>
              <w:rPr>
                <w:sz w:val="24"/>
              </w:rPr>
              <w:t xml:space="preserve">- </w:t>
            </w:r>
            <w:r>
              <w:rPr>
                <w:sz w:val="24"/>
              </w:rPr>
              <w:t>Государственное автономное учреждение «Многофункциональный центр предоставления государственных и муниципальных услуг в Республике Саха (Якутия)»</w:t>
            </w:r>
            <w:r>
              <w:rPr>
                <w:sz w:val="24"/>
              </w:rPr>
              <w:t xml:space="preserve"> </w:t>
            </w:r>
            <w:r>
              <w:rPr>
                <w:sz w:val="24"/>
              </w:rPr>
              <w:t>(по согласованию);</w:t>
            </w:r>
          </w:p>
          <w:p w14:paraId="56000000">
            <w:pPr>
              <w:pStyle w:val="Style_6"/>
              <w:tabs>
                <w:tab w:leader="none" w:pos="14317" w:val="left"/>
              </w:tabs>
              <w:ind w:left="61" w:right="284"/>
              <w:jc w:val="both"/>
              <w:rPr>
                <w:sz w:val="24"/>
              </w:rPr>
            </w:pPr>
            <w:r>
              <w:rPr>
                <w:sz w:val="24"/>
              </w:rPr>
              <w:t xml:space="preserve"> </w:t>
            </w:r>
            <w:r>
              <w:rPr>
                <w:sz w:val="24"/>
              </w:rPr>
              <w:t xml:space="preserve">- </w:t>
            </w:r>
            <w:r>
              <w:rPr>
                <w:sz w:val="24"/>
              </w:rPr>
              <w:t>Союз «Торгово-промышленная палата Республики Саха (Якутия)» (по согласованию); Автономная</w:t>
            </w:r>
            <w:r>
              <w:rPr>
                <w:spacing w:val="-8"/>
                <w:sz w:val="24"/>
              </w:rPr>
              <w:t xml:space="preserve"> </w:t>
            </w:r>
            <w:r>
              <w:rPr>
                <w:sz w:val="24"/>
              </w:rPr>
              <w:t>некоммерческая</w:t>
            </w:r>
            <w:r>
              <w:rPr>
                <w:spacing w:val="-8"/>
                <w:sz w:val="24"/>
              </w:rPr>
              <w:t xml:space="preserve"> </w:t>
            </w:r>
            <w:r>
              <w:rPr>
                <w:sz w:val="24"/>
              </w:rPr>
              <w:t>организация</w:t>
            </w:r>
            <w:r>
              <w:rPr>
                <w:spacing w:val="-8"/>
                <w:sz w:val="24"/>
              </w:rPr>
              <w:t xml:space="preserve"> </w:t>
            </w:r>
            <w:r>
              <w:rPr>
                <w:sz w:val="24"/>
              </w:rPr>
              <w:t>«</w:t>
            </w:r>
            <w:r>
              <w:rPr>
                <w:sz w:val="24"/>
              </w:rPr>
              <w:t>Союзэкпертиза</w:t>
            </w:r>
            <w:r>
              <w:rPr>
                <w:sz w:val="24"/>
              </w:rPr>
              <w:t>»</w:t>
            </w:r>
            <w:r>
              <w:rPr>
                <w:spacing w:val="-8"/>
                <w:sz w:val="24"/>
              </w:rPr>
              <w:t xml:space="preserve"> </w:t>
            </w:r>
            <w:r>
              <w:rPr>
                <w:sz w:val="24"/>
              </w:rPr>
              <w:t>Торгово-промышленной</w:t>
            </w:r>
            <w:r>
              <w:rPr>
                <w:spacing w:val="-9"/>
                <w:sz w:val="24"/>
              </w:rPr>
              <w:t xml:space="preserve"> </w:t>
            </w:r>
            <w:r>
              <w:rPr>
                <w:sz w:val="24"/>
              </w:rPr>
              <w:t>палаты Республики Саха (Якутия) (по согласованию);</w:t>
            </w:r>
          </w:p>
          <w:p w14:paraId="57000000">
            <w:pPr>
              <w:pStyle w:val="Style_6"/>
              <w:tabs>
                <w:tab w:leader="none" w:pos="14317" w:val="left"/>
              </w:tabs>
              <w:ind w:left="61" w:right="284"/>
              <w:jc w:val="both"/>
              <w:rPr>
                <w:sz w:val="24"/>
              </w:rPr>
            </w:pPr>
            <w:r>
              <w:rPr>
                <w:sz w:val="24"/>
              </w:rPr>
              <w:t xml:space="preserve">- </w:t>
            </w:r>
            <w:r>
              <w:rPr>
                <w:sz w:val="24"/>
              </w:rPr>
              <w:t>Федеральное бюджетное учреждение здравоохранения «Центр гигиены и эпидемиологии в Республике</w:t>
            </w:r>
            <w:r>
              <w:rPr>
                <w:spacing w:val="-3"/>
                <w:sz w:val="24"/>
              </w:rPr>
              <w:t xml:space="preserve"> </w:t>
            </w:r>
            <w:r>
              <w:rPr>
                <w:sz w:val="24"/>
              </w:rPr>
              <w:t>Саха</w:t>
            </w:r>
            <w:r>
              <w:rPr>
                <w:spacing w:val="-4"/>
                <w:sz w:val="24"/>
              </w:rPr>
              <w:t xml:space="preserve"> </w:t>
            </w:r>
            <w:r>
              <w:rPr>
                <w:sz w:val="24"/>
              </w:rPr>
              <w:t>(Якутия)»</w:t>
            </w:r>
            <w:r>
              <w:rPr>
                <w:spacing w:val="-3"/>
                <w:sz w:val="24"/>
              </w:rPr>
              <w:t xml:space="preserve"> </w:t>
            </w:r>
            <w:r>
              <w:rPr>
                <w:sz w:val="24"/>
              </w:rPr>
              <w:t>(далее</w:t>
            </w:r>
            <w:r>
              <w:rPr>
                <w:spacing w:val="-3"/>
                <w:sz w:val="24"/>
              </w:rPr>
              <w:t xml:space="preserve"> </w:t>
            </w:r>
            <w:r>
              <w:rPr>
                <w:sz w:val="24"/>
              </w:rPr>
              <w:t>-</w:t>
            </w:r>
            <w:r>
              <w:rPr>
                <w:spacing w:val="-3"/>
                <w:sz w:val="24"/>
              </w:rPr>
              <w:t xml:space="preserve"> </w:t>
            </w:r>
            <w:r>
              <w:rPr>
                <w:sz w:val="24"/>
              </w:rPr>
              <w:t>ФБУЗ</w:t>
            </w:r>
            <w:r>
              <w:rPr>
                <w:spacing w:val="-3"/>
                <w:sz w:val="24"/>
              </w:rPr>
              <w:t xml:space="preserve"> </w:t>
            </w:r>
            <w:r>
              <w:rPr>
                <w:sz w:val="24"/>
              </w:rPr>
              <w:t>«Центр</w:t>
            </w:r>
            <w:r>
              <w:rPr>
                <w:spacing w:val="-3"/>
                <w:sz w:val="24"/>
              </w:rPr>
              <w:t xml:space="preserve"> </w:t>
            </w:r>
            <w:r>
              <w:rPr>
                <w:sz w:val="24"/>
              </w:rPr>
              <w:t>гигиены</w:t>
            </w:r>
            <w:r>
              <w:rPr>
                <w:spacing w:val="-3"/>
                <w:sz w:val="24"/>
              </w:rPr>
              <w:t xml:space="preserve"> </w:t>
            </w:r>
            <w:r>
              <w:rPr>
                <w:sz w:val="24"/>
              </w:rPr>
              <w:t>и</w:t>
            </w:r>
            <w:r>
              <w:rPr>
                <w:spacing w:val="-4"/>
                <w:sz w:val="24"/>
              </w:rPr>
              <w:t xml:space="preserve"> </w:t>
            </w:r>
            <w:r>
              <w:rPr>
                <w:sz w:val="24"/>
              </w:rPr>
              <w:t>эпидемиологии</w:t>
            </w:r>
            <w:r>
              <w:rPr>
                <w:spacing w:val="-4"/>
                <w:sz w:val="24"/>
              </w:rPr>
              <w:t xml:space="preserve"> </w:t>
            </w:r>
            <w:r>
              <w:rPr>
                <w:sz w:val="24"/>
              </w:rPr>
              <w:t>в</w:t>
            </w:r>
            <w:r>
              <w:rPr>
                <w:spacing w:val="-4"/>
                <w:sz w:val="24"/>
              </w:rPr>
              <w:t xml:space="preserve"> </w:t>
            </w:r>
            <w:r>
              <w:rPr>
                <w:sz w:val="24"/>
              </w:rPr>
              <w:t>Республике</w:t>
            </w:r>
            <w:r>
              <w:rPr>
                <w:spacing w:val="-3"/>
                <w:sz w:val="24"/>
              </w:rPr>
              <w:t xml:space="preserve"> </w:t>
            </w:r>
            <w:r>
              <w:rPr>
                <w:sz w:val="24"/>
              </w:rPr>
              <w:t>Саха (Якутия)»)</w:t>
            </w:r>
            <w:r>
              <w:rPr>
                <w:sz w:val="24"/>
              </w:rPr>
              <w:t xml:space="preserve"> </w:t>
            </w:r>
            <w:r>
              <w:rPr>
                <w:sz w:val="24"/>
              </w:rPr>
              <w:t>(по согласованию);</w:t>
            </w:r>
          </w:p>
          <w:p w14:paraId="58000000">
            <w:pPr>
              <w:pStyle w:val="Style_6"/>
              <w:tabs>
                <w:tab w:leader="none" w:pos="14317" w:val="left"/>
              </w:tabs>
              <w:ind w:left="61" w:right="284"/>
              <w:jc w:val="both"/>
              <w:rPr>
                <w:sz w:val="24"/>
              </w:rPr>
            </w:pPr>
            <w:r>
              <w:rPr>
                <w:sz w:val="24"/>
              </w:rPr>
              <w:t xml:space="preserve">-  </w:t>
            </w:r>
            <w:r>
              <w:rPr>
                <w:sz w:val="24"/>
              </w:rPr>
              <w:t>Региональное</w:t>
            </w:r>
            <w:r>
              <w:rPr>
                <w:spacing w:val="-6"/>
                <w:sz w:val="24"/>
              </w:rPr>
              <w:t xml:space="preserve"> </w:t>
            </w:r>
            <w:r>
              <w:rPr>
                <w:sz w:val="24"/>
              </w:rPr>
              <w:t>отделение</w:t>
            </w:r>
            <w:r>
              <w:rPr>
                <w:spacing w:val="-5"/>
                <w:sz w:val="24"/>
              </w:rPr>
              <w:t xml:space="preserve"> </w:t>
            </w:r>
            <w:r>
              <w:rPr>
                <w:sz w:val="24"/>
              </w:rPr>
              <w:t>Общероссийской</w:t>
            </w:r>
            <w:r>
              <w:rPr>
                <w:spacing w:val="-6"/>
                <w:sz w:val="24"/>
              </w:rPr>
              <w:t xml:space="preserve"> </w:t>
            </w:r>
            <w:r>
              <w:rPr>
                <w:sz w:val="24"/>
              </w:rPr>
              <w:t>общественной</w:t>
            </w:r>
            <w:r>
              <w:rPr>
                <w:spacing w:val="-6"/>
                <w:sz w:val="24"/>
              </w:rPr>
              <w:t xml:space="preserve"> </w:t>
            </w:r>
            <w:r>
              <w:rPr>
                <w:sz w:val="24"/>
              </w:rPr>
              <w:t>организации</w:t>
            </w:r>
            <w:r>
              <w:rPr>
                <w:spacing w:val="-6"/>
                <w:sz w:val="24"/>
              </w:rPr>
              <w:t xml:space="preserve"> </w:t>
            </w:r>
            <w:r>
              <w:rPr>
                <w:sz w:val="24"/>
              </w:rPr>
              <w:t>малого</w:t>
            </w:r>
            <w:r>
              <w:rPr>
                <w:spacing w:val="-5"/>
                <w:sz w:val="24"/>
              </w:rPr>
              <w:t xml:space="preserve"> </w:t>
            </w:r>
            <w:r>
              <w:rPr>
                <w:sz w:val="24"/>
              </w:rPr>
              <w:t>и</w:t>
            </w:r>
            <w:r>
              <w:rPr>
                <w:spacing w:val="-6"/>
                <w:sz w:val="24"/>
              </w:rPr>
              <w:t xml:space="preserve"> </w:t>
            </w:r>
            <w:r>
              <w:rPr>
                <w:sz w:val="24"/>
              </w:rPr>
              <w:t>среднего предпринимательства «Опора России» (по согласованию);</w:t>
            </w:r>
          </w:p>
          <w:p w14:paraId="59000000">
            <w:pPr>
              <w:pStyle w:val="Style_6"/>
              <w:tabs>
                <w:tab w:leader="none" w:pos="14317" w:val="left"/>
              </w:tabs>
              <w:ind w:left="61" w:right="284"/>
              <w:jc w:val="both"/>
              <w:rPr>
                <w:spacing w:val="-2"/>
                <w:sz w:val="24"/>
              </w:rPr>
            </w:pPr>
            <w:r>
              <w:rPr>
                <w:sz w:val="24"/>
              </w:rPr>
              <w:t xml:space="preserve">- </w:t>
            </w:r>
            <w:r>
              <w:rPr>
                <w:sz w:val="24"/>
              </w:rPr>
              <w:t>Учреждения</w:t>
            </w:r>
            <w:r>
              <w:rPr>
                <w:spacing w:val="-1"/>
                <w:sz w:val="24"/>
              </w:rPr>
              <w:t xml:space="preserve"> </w:t>
            </w:r>
            <w:r>
              <w:rPr>
                <w:sz w:val="24"/>
              </w:rPr>
              <w:t>среднего</w:t>
            </w:r>
            <w:r>
              <w:rPr>
                <w:spacing w:val="-1"/>
                <w:sz w:val="24"/>
              </w:rPr>
              <w:t xml:space="preserve"> </w:t>
            </w:r>
            <w:r>
              <w:rPr>
                <w:sz w:val="24"/>
              </w:rPr>
              <w:t>профессионального</w:t>
            </w:r>
            <w:r>
              <w:rPr>
                <w:spacing w:val="-1"/>
                <w:sz w:val="24"/>
              </w:rPr>
              <w:t xml:space="preserve"> </w:t>
            </w:r>
            <w:r>
              <w:rPr>
                <w:sz w:val="24"/>
              </w:rPr>
              <w:t>и</w:t>
            </w:r>
            <w:r>
              <w:rPr>
                <w:spacing w:val="-1"/>
                <w:sz w:val="24"/>
              </w:rPr>
              <w:t xml:space="preserve"> </w:t>
            </w:r>
            <w:r>
              <w:rPr>
                <w:sz w:val="24"/>
              </w:rPr>
              <w:t>высшего</w:t>
            </w:r>
            <w:r>
              <w:rPr>
                <w:spacing w:val="-1"/>
                <w:sz w:val="24"/>
              </w:rPr>
              <w:t xml:space="preserve"> </w:t>
            </w:r>
            <w:r>
              <w:rPr>
                <w:sz w:val="24"/>
              </w:rPr>
              <w:t>образования</w:t>
            </w:r>
            <w:r>
              <w:rPr>
                <w:spacing w:val="-1"/>
                <w:sz w:val="24"/>
              </w:rPr>
              <w:t xml:space="preserve"> </w:t>
            </w:r>
            <w:r>
              <w:rPr>
                <w:sz w:val="24"/>
              </w:rPr>
              <w:t xml:space="preserve">(по </w:t>
            </w:r>
            <w:r>
              <w:rPr>
                <w:spacing w:val="-2"/>
                <w:sz w:val="24"/>
              </w:rPr>
              <w:t>согласованию);</w:t>
            </w:r>
          </w:p>
          <w:p w14:paraId="5A000000">
            <w:pPr>
              <w:pStyle w:val="Style_6"/>
              <w:tabs>
                <w:tab w:leader="none" w:pos="14317" w:val="left"/>
              </w:tabs>
              <w:ind w:left="61" w:right="284"/>
              <w:jc w:val="both"/>
              <w:rPr>
                <w:spacing w:val="-2"/>
                <w:sz w:val="24"/>
              </w:rPr>
            </w:pPr>
            <w:r>
              <w:rPr>
                <w:sz w:val="24"/>
              </w:rPr>
              <w:t xml:space="preserve">- </w:t>
            </w:r>
            <w:r>
              <w:rPr>
                <w:sz w:val="24"/>
              </w:rPr>
              <w:t xml:space="preserve">Региональный центр поддержки маркировки «Честный знак» (по </w:t>
            </w:r>
            <w:r>
              <w:rPr>
                <w:spacing w:val="-2"/>
                <w:sz w:val="24"/>
              </w:rPr>
              <w:t>согласованию);</w:t>
            </w:r>
          </w:p>
          <w:p w14:paraId="5B000000">
            <w:pPr>
              <w:pStyle w:val="Style_6"/>
              <w:tabs>
                <w:tab w:leader="none" w:pos="14317" w:val="left"/>
              </w:tabs>
              <w:ind w:left="61" w:right="284"/>
              <w:jc w:val="both"/>
              <w:rPr>
                <w:sz w:val="24"/>
              </w:rPr>
            </w:pPr>
            <w:r>
              <w:rPr>
                <w:sz w:val="24"/>
              </w:rPr>
              <w:t xml:space="preserve">- </w:t>
            </w:r>
            <w:r>
              <w:rPr>
                <w:sz w:val="24"/>
              </w:rPr>
              <w:t>Государственное</w:t>
            </w:r>
            <w:r>
              <w:rPr>
                <w:spacing w:val="-5"/>
                <w:sz w:val="24"/>
              </w:rPr>
              <w:t xml:space="preserve"> </w:t>
            </w:r>
            <w:r>
              <w:rPr>
                <w:sz w:val="24"/>
              </w:rPr>
              <w:t>казенное</w:t>
            </w:r>
            <w:r>
              <w:rPr>
                <w:spacing w:val="-6"/>
                <w:sz w:val="24"/>
              </w:rPr>
              <w:t xml:space="preserve"> </w:t>
            </w:r>
            <w:r>
              <w:rPr>
                <w:sz w:val="24"/>
              </w:rPr>
              <w:t>учреждение</w:t>
            </w:r>
            <w:r>
              <w:rPr>
                <w:spacing w:val="-5"/>
                <w:sz w:val="24"/>
              </w:rPr>
              <w:t xml:space="preserve"> </w:t>
            </w:r>
            <w:r>
              <w:rPr>
                <w:sz w:val="24"/>
              </w:rPr>
              <w:t>Республики</w:t>
            </w:r>
            <w:r>
              <w:rPr>
                <w:spacing w:val="-6"/>
                <w:sz w:val="24"/>
              </w:rPr>
              <w:t xml:space="preserve"> </w:t>
            </w:r>
            <w:r>
              <w:rPr>
                <w:sz w:val="24"/>
              </w:rPr>
              <w:t>Саха</w:t>
            </w:r>
            <w:r>
              <w:rPr>
                <w:spacing w:val="-5"/>
                <w:sz w:val="24"/>
              </w:rPr>
              <w:t xml:space="preserve"> </w:t>
            </w:r>
            <w:r>
              <w:rPr>
                <w:sz w:val="24"/>
              </w:rPr>
              <w:t>(Якутия)</w:t>
            </w:r>
            <w:r>
              <w:rPr>
                <w:spacing w:val="-5"/>
                <w:sz w:val="24"/>
              </w:rPr>
              <w:t xml:space="preserve"> </w:t>
            </w:r>
            <w:r>
              <w:rPr>
                <w:sz w:val="24"/>
              </w:rPr>
              <w:t>«Национальная</w:t>
            </w:r>
            <w:r>
              <w:rPr>
                <w:spacing w:val="-5"/>
                <w:sz w:val="24"/>
              </w:rPr>
              <w:t xml:space="preserve"> </w:t>
            </w:r>
            <w:r>
              <w:rPr>
                <w:sz w:val="24"/>
              </w:rPr>
              <w:t>библиотека Республики Саха (Якутия)»;</w:t>
            </w:r>
          </w:p>
          <w:p w14:paraId="5C000000">
            <w:pPr>
              <w:pStyle w:val="Style_6"/>
              <w:tabs>
                <w:tab w:leader="none" w:pos="14317" w:val="left"/>
              </w:tabs>
              <w:ind w:left="61" w:right="284"/>
              <w:jc w:val="both"/>
              <w:rPr>
                <w:sz w:val="24"/>
              </w:rPr>
            </w:pPr>
            <w:r>
              <w:rPr>
                <w:sz w:val="24"/>
              </w:rPr>
              <w:t xml:space="preserve">- </w:t>
            </w:r>
            <w:r>
              <w:rPr>
                <w:sz w:val="24"/>
              </w:rPr>
              <w:t>Национальная вещательная компания «Саха» (НВК «Саха») (по согласованию);</w:t>
            </w:r>
          </w:p>
          <w:p w14:paraId="5D000000">
            <w:pPr>
              <w:pStyle w:val="Style_6"/>
              <w:tabs>
                <w:tab w:leader="none" w:pos="14317" w:val="left"/>
              </w:tabs>
              <w:ind w:left="61" w:right="284"/>
              <w:jc w:val="both"/>
              <w:rPr>
                <w:sz w:val="24"/>
              </w:rPr>
            </w:pPr>
            <w:r>
              <w:rPr>
                <w:sz w:val="24"/>
              </w:rPr>
              <w:t xml:space="preserve">- </w:t>
            </w:r>
            <w:r>
              <w:rPr>
                <w:sz w:val="24"/>
              </w:rPr>
              <w:t>Государственное автономное учреждение Республики Саха (Якутия) "САХАПЕЧАТЬ" (по согласованию);</w:t>
            </w:r>
          </w:p>
          <w:p w14:paraId="5E000000">
            <w:pPr>
              <w:pStyle w:val="Style_6"/>
              <w:tabs>
                <w:tab w:leader="none" w:pos="14317" w:val="left"/>
              </w:tabs>
              <w:ind w:left="61" w:right="284"/>
              <w:jc w:val="both"/>
              <w:rPr>
                <w:sz w:val="24"/>
              </w:rPr>
            </w:pPr>
            <w:r>
              <w:rPr>
                <w:sz w:val="24"/>
              </w:rPr>
              <w:t xml:space="preserve">- </w:t>
            </w: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5F000000">
            <w:pPr>
              <w:pStyle w:val="Style_6"/>
              <w:tabs>
                <w:tab w:leader="none" w:pos="14317" w:val="left"/>
              </w:tabs>
              <w:ind w:left="61" w:right="284"/>
              <w:jc w:val="both"/>
              <w:rPr>
                <w:sz w:val="24"/>
              </w:rPr>
            </w:pPr>
            <w:r>
              <w:rPr>
                <w:sz w:val="24"/>
              </w:rPr>
              <w:t xml:space="preserve">- </w:t>
            </w:r>
            <w:r>
              <w:rPr>
                <w:sz w:val="24"/>
              </w:rPr>
              <w:t>Автономное учреждение Республики Саха (Якутия) «Якутское-Саха информационное агентство» (по согласованию);</w:t>
            </w:r>
          </w:p>
          <w:p w14:paraId="60000000">
            <w:pPr>
              <w:pStyle w:val="Style_6"/>
              <w:numPr>
                <w:numId w:val="2"/>
              </w:numPr>
              <w:tabs>
                <w:tab w:leader="none" w:pos="14317" w:val="left"/>
              </w:tabs>
              <w:ind w:right="284"/>
              <w:jc w:val="both"/>
              <w:rPr>
                <w:sz w:val="24"/>
              </w:rPr>
            </w:pPr>
            <w:r>
              <w:rPr>
                <w:sz w:val="24"/>
              </w:rPr>
              <w:t xml:space="preserve">Общественные организации по защите прав потребителей (по согласованию) </w:t>
            </w:r>
          </w:p>
          <w:p w14:paraId="61000000">
            <w:pPr>
              <w:pStyle w:val="Style_6"/>
              <w:tabs>
                <w:tab w:leader="none" w:pos="14317" w:val="left"/>
              </w:tabs>
              <w:ind w:left="61" w:right="284"/>
              <w:jc w:val="both"/>
              <w:rPr>
                <w:sz w:val="24"/>
              </w:rPr>
            </w:pPr>
          </w:p>
        </w:tc>
      </w:tr>
      <w:tr>
        <w:trPr>
          <w:trHeight w:hRule="atLeast" w:val="3598"/>
        </w:trPr>
        <w:tc>
          <w:tcPr>
            <w:tcW w:type="dxa" w:w="3402"/>
            <w:tcBorders>
              <w:top w:color="000000" w:sz="4" w:val="single"/>
              <w:left w:color="000000" w:sz="4" w:val="single"/>
              <w:bottom w:color="000000" w:sz="4" w:val="single"/>
              <w:right w:color="000000" w:sz="4" w:val="single"/>
            </w:tcBorders>
          </w:tcPr>
          <w:p w14:paraId="62000000">
            <w:pPr>
              <w:pStyle w:val="Style_6"/>
              <w:ind w:left="61"/>
              <w:rPr>
                <w:b w:val="1"/>
                <w:sz w:val="24"/>
              </w:rPr>
            </w:pPr>
            <w:r>
              <w:rPr>
                <w:b w:val="1"/>
                <w:sz w:val="24"/>
              </w:rPr>
              <w:t>Цель</w:t>
            </w:r>
            <w:r>
              <w:rPr>
                <w:b w:val="1"/>
                <w:spacing w:val="-4"/>
                <w:sz w:val="24"/>
              </w:rPr>
              <w:t xml:space="preserve">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tcPr>
          <w:p w14:paraId="63000000">
            <w:pPr>
              <w:pStyle w:val="Style_6"/>
              <w:ind w:left="61" w:right="284"/>
              <w:jc w:val="both"/>
              <w:rPr>
                <w:sz w:val="24"/>
              </w:rPr>
            </w:pPr>
            <w:r>
              <w:rPr>
                <w:sz w:val="24"/>
              </w:rPr>
              <w:t xml:space="preserve">- Создать и укрепить систему защиты прав потребителей в Республике Саха (Якутия), </w:t>
            </w:r>
            <w:r>
              <w:rPr>
                <w:sz w:val="24"/>
              </w:rPr>
              <w:t>минимизируя</w:t>
            </w:r>
            <w:r>
              <w:rPr>
                <w:sz w:val="24"/>
              </w:rPr>
              <w:t xml:space="preserve"> риски ущемления законных интересов граждан и обеспечивая эффективные механизмы правовой защиты от недобросовестных действий хозяйствующих субъектов.</w:t>
            </w:r>
          </w:p>
          <w:p w14:paraId="64000000">
            <w:pPr>
              <w:pStyle w:val="Style_6"/>
              <w:ind w:left="61" w:right="284"/>
              <w:jc w:val="both"/>
              <w:rPr>
                <w:sz w:val="24"/>
              </w:rPr>
            </w:pPr>
            <w:r>
              <w:rPr>
                <w:sz w:val="24"/>
              </w:rPr>
              <w:t>- Гарантировать защиту интересов всех слоев населения, предоставляя равный доступ к безопасным товарам, услугам и работам, с особым вниманием к социально уязвимым группам.</w:t>
            </w:r>
          </w:p>
          <w:p w14:paraId="65000000">
            <w:pPr>
              <w:pStyle w:val="Style_6"/>
              <w:ind w:left="61" w:right="284"/>
              <w:jc w:val="both"/>
              <w:rPr>
                <w:sz w:val="24"/>
              </w:rPr>
            </w:pPr>
            <w:r>
              <w:rPr>
                <w:sz w:val="24"/>
              </w:rPr>
              <w:t>- Обеспечить надлежащие условия для реализации потребителями прав, установленных законодательством Российской Федерации, включая Закон «О защите прав потребителей», федеральные законы, иные нормативные правовые акты России и Республики Саха (Якутия), а также акты Евразийского экономического союза, регулирующие отношения в области защиты прав потребителей, и требования, связанные с обязательной маркировкой товаров средствами идентификации.</w:t>
            </w:r>
          </w:p>
          <w:p w14:paraId="66000000">
            <w:pPr>
              <w:pStyle w:val="Style_6"/>
              <w:ind w:left="61" w:right="284"/>
              <w:jc w:val="both"/>
              <w:rPr>
                <w:spacing w:val="-2"/>
                <w:sz w:val="24"/>
              </w:rPr>
            </w:pPr>
            <w:r>
              <w:rPr>
                <w:sz w:val="24"/>
              </w:rPr>
              <w:t>- Предотвращать правонарушения в сфере защиты прав потребителей и оборота товаров, подлежащих обязательной маркировке средствами идентификации.</w:t>
            </w:r>
          </w:p>
        </w:tc>
      </w:tr>
      <w:tr>
        <w:trPr>
          <w:trHeight w:hRule="atLeast" w:val="1128"/>
        </w:trPr>
        <w:tc>
          <w:tcPr>
            <w:tcW w:type="dxa" w:w="3402"/>
            <w:tcBorders>
              <w:top w:color="000000" w:sz="4" w:val="single"/>
              <w:left w:color="000000" w:sz="4" w:val="single"/>
              <w:bottom w:color="000000" w:sz="4" w:val="single"/>
              <w:right w:color="000000" w:sz="4" w:val="single"/>
            </w:tcBorders>
          </w:tcPr>
          <w:p w14:paraId="67000000">
            <w:pPr>
              <w:pStyle w:val="Style_6"/>
              <w:ind w:left="61"/>
              <w:rPr>
                <w:b w:val="1"/>
                <w:sz w:val="24"/>
              </w:rPr>
            </w:pPr>
            <w:r>
              <w:rPr>
                <w:b w:val="1"/>
                <w:sz w:val="24"/>
              </w:rPr>
              <w:t>Задачи</w:t>
            </w:r>
            <w:r>
              <w:rPr>
                <w:b w:val="1"/>
                <w:spacing w:val="-3"/>
                <w:sz w:val="24"/>
              </w:rPr>
              <w:t xml:space="preserve">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tcPr>
          <w:p w14:paraId="68000000">
            <w:pPr>
              <w:pStyle w:val="Style_6"/>
              <w:tabs>
                <w:tab w:leader="none" w:pos="9496" w:val="left"/>
              </w:tabs>
              <w:ind w:right="143"/>
              <w:jc w:val="both"/>
              <w:rPr>
                <w:b w:val="1"/>
                <w:spacing w:val="-2"/>
                <w:sz w:val="24"/>
              </w:rPr>
            </w:pPr>
            <w:r>
              <w:rPr>
                <w:b w:val="1"/>
                <w:spacing w:val="-2"/>
                <w:sz w:val="24"/>
              </w:rPr>
              <w:t xml:space="preserve">Стратегическое соответствие: </w:t>
            </w:r>
            <w:r>
              <w:rPr>
                <w:spacing w:val="-2"/>
                <w:sz w:val="24"/>
              </w:rPr>
              <w:t>Обеспечение полного выполнения мероприятий, предусмотренных Стратегией государственной политики Российской Федерации в области защиты прав потребителей на период до 2030 года, с особым акцентом на повышение уровня защищенности прав потребителей в Республике Саха (Якутия).</w:t>
            </w:r>
          </w:p>
          <w:p w14:paraId="69000000">
            <w:pPr>
              <w:pStyle w:val="Style_6"/>
              <w:tabs>
                <w:tab w:leader="none" w:pos="9496" w:val="left"/>
              </w:tabs>
              <w:ind w:right="143"/>
              <w:jc w:val="both"/>
              <w:rPr>
                <w:spacing w:val="-2"/>
                <w:sz w:val="24"/>
              </w:rPr>
            </w:pPr>
            <w:r>
              <w:rPr>
                <w:b w:val="1"/>
                <w:spacing w:val="-2"/>
                <w:sz w:val="24"/>
              </w:rPr>
              <w:t xml:space="preserve">Координация и синергия: </w:t>
            </w:r>
            <w:r>
              <w:rPr>
                <w:spacing w:val="-2"/>
                <w:sz w:val="24"/>
              </w:rPr>
              <w:t>Эффективная координация деятельности всех участников Программы для достижения поставленных целей, а также повышение уровня правовой грамотности и формирование культуры рационального потребительского поведения среди населения Республики Саха (Якутия).</w:t>
            </w:r>
          </w:p>
          <w:p w14:paraId="6A000000">
            <w:pPr>
              <w:pStyle w:val="Style_6"/>
              <w:tabs>
                <w:tab w:leader="none" w:pos="9496" w:val="left"/>
              </w:tabs>
              <w:ind w:right="143"/>
              <w:jc w:val="both"/>
              <w:rPr>
                <w:spacing w:val="-2"/>
                <w:sz w:val="24"/>
              </w:rPr>
            </w:pPr>
            <w:r>
              <w:rPr>
                <w:b w:val="1"/>
                <w:spacing w:val="-2"/>
                <w:sz w:val="24"/>
              </w:rPr>
              <w:t xml:space="preserve">Поддержка и содействие: </w:t>
            </w:r>
            <w:r>
              <w:rPr>
                <w:spacing w:val="-2"/>
                <w:sz w:val="24"/>
              </w:rPr>
              <w:t>Оказание всесторонней помощи органам местного самоуправления и общественным организациям Республики Саха (Якутия) в решении задач по защите прав потребителей.</w:t>
            </w:r>
          </w:p>
          <w:p w14:paraId="6B000000">
            <w:pPr>
              <w:pStyle w:val="Style_6"/>
              <w:tabs>
                <w:tab w:leader="none" w:pos="9496" w:val="left"/>
              </w:tabs>
              <w:ind w:right="143"/>
              <w:jc w:val="both"/>
              <w:rPr>
                <w:spacing w:val="-2"/>
                <w:sz w:val="24"/>
              </w:rPr>
            </w:pPr>
            <w:r>
              <w:rPr>
                <w:b w:val="1"/>
                <w:spacing w:val="-2"/>
                <w:sz w:val="24"/>
              </w:rPr>
              <w:t xml:space="preserve">Информационная прозрачность: </w:t>
            </w:r>
            <w:r>
              <w:rPr>
                <w:spacing w:val="-2"/>
                <w:sz w:val="24"/>
              </w:rPr>
              <w:t>Создание и развитие современной системы оперативного обмена информацией в сфере защиты прав потребителей. Это включает в себя информирование потребителей о качестве товаров, работ и услуг, предлагаемых на территории Республики Саха (Якутия), включая продукцию, подлежащую обязательной маркировке средствами идентификации.</w:t>
            </w:r>
          </w:p>
          <w:p w14:paraId="6C000000">
            <w:pPr>
              <w:pStyle w:val="Style_6"/>
              <w:tabs>
                <w:tab w:leader="none" w:pos="9496" w:val="left"/>
              </w:tabs>
              <w:ind w:right="143"/>
              <w:jc w:val="both"/>
              <w:rPr>
                <w:spacing w:val="-2"/>
                <w:sz w:val="24"/>
              </w:rPr>
            </w:pPr>
            <w:r>
              <w:rPr>
                <w:b w:val="1"/>
                <w:spacing w:val="-2"/>
                <w:sz w:val="24"/>
              </w:rPr>
              <w:t xml:space="preserve">Профессиональное развитие: </w:t>
            </w:r>
            <w:r>
              <w:rPr>
                <w:spacing w:val="-2"/>
                <w:sz w:val="24"/>
              </w:rPr>
              <w:t>Совершенствование системы подготовки и повышения квалификации специалистов, осуществляющих деятельность в области защиты прав потребителей.</w:t>
            </w:r>
          </w:p>
          <w:p w14:paraId="6D000000">
            <w:pPr>
              <w:pStyle w:val="Style_6"/>
              <w:tabs>
                <w:tab w:leader="none" w:pos="9496" w:val="left"/>
              </w:tabs>
              <w:ind w:right="143"/>
              <w:jc w:val="both"/>
              <w:rPr>
                <w:spacing w:val="-2"/>
                <w:sz w:val="24"/>
              </w:rPr>
            </w:pPr>
            <w:r>
              <w:rPr>
                <w:b w:val="1"/>
                <w:spacing w:val="-2"/>
                <w:sz w:val="24"/>
              </w:rPr>
              <w:t xml:space="preserve">Ответственность бизнеса: </w:t>
            </w:r>
            <w:r>
              <w:rPr>
                <w:spacing w:val="-2"/>
                <w:sz w:val="24"/>
              </w:rPr>
              <w:t>Формирование высокого уровня социальной ответственности и правовой грамотности среди хозяйствующих субъектов, функционирующих на потребительском рынке Республики Саха (Якутия), включая участников оборота товаров, подлежащих обязательной маркировке.</w:t>
            </w:r>
          </w:p>
          <w:p w14:paraId="6E000000">
            <w:pPr>
              <w:pStyle w:val="Style_6"/>
              <w:tabs>
                <w:tab w:leader="none" w:pos="9496" w:val="left"/>
              </w:tabs>
              <w:ind w:right="143"/>
              <w:jc w:val="both"/>
              <w:rPr>
                <w:b w:val="1"/>
                <w:spacing w:val="-2"/>
                <w:sz w:val="24"/>
              </w:rPr>
            </w:pPr>
            <w:r>
              <w:rPr>
                <w:b w:val="1"/>
                <w:spacing w:val="-2"/>
                <w:sz w:val="24"/>
              </w:rPr>
              <w:t xml:space="preserve">Качество и безопасность: </w:t>
            </w:r>
            <w:r>
              <w:rPr>
                <w:spacing w:val="-2"/>
                <w:sz w:val="24"/>
              </w:rPr>
              <w:t>Создание благоприятных условий для неуклонного повышения качества и безопасности реализуемых в Республике Саха (Якутия) товаров, работ и услуг, в том числе продукции с обязательной маркировкой.</w:t>
            </w:r>
          </w:p>
          <w:p w14:paraId="6F000000">
            <w:pPr>
              <w:pStyle w:val="Style_6"/>
              <w:tabs>
                <w:tab w:leader="none" w:pos="9496" w:val="left"/>
              </w:tabs>
              <w:ind w:right="143"/>
              <w:jc w:val="both"/>
              <w:rPr>
                <w:b w:val="1"/>
                <w:spacing w:val="-2"/>
                <w:sz w:val="24"/>
              </w:rPr>
            </w:pPr>
            <w:r>
              <w:rPr>
                <w:b w:val="1"/>
                <w:spacing w:val="-2"/>
                <w:sz w:val="24"/>
              </w:rPr>
              <w:t xml:space="preserve">Информированность и доступность: </w:t>
            </w:r>
            <w:r>
              <w:rPr>
                <w:spacing w:val="-2"/>
                <w:sz w:val="24"/>
              </w:rPr>
              <w:t>Гарантирование прав потребителей на получение полной и достоверной информации о товарах, работах и услугах. Повышение доступности правовой и экспертной помощи, с фокусом на социально уязвимые категории населения.</w:t>
            </w:r>
          </w:p>
          <w:p w14:paraId="70000000">
            <w:pPr>
              <w:pStyle w:val="Style_6"/>
              <w:tabs>
                <w:tab w:leader="none" w:pos="9496" w:val="left"/>
              </w:tabs>
              <w:ind w:right="143"/>
              <w:jc w:val="both"/>
              <w:rPr>
                <w:spacing w:val="-2"/>
                <w:sz w:val="24"/>
              </w:rPr>
            </w:pPr>
            <w:r>
              <w:rPr>
                <w:b w:val="1"/>
                <w:spacing w:val="-2"/>
                <w:sz w:val="24"/>
              </w:rPr>
              <w:t xml:space="preserve">Досудебное урегулирование: </w:t>
            </w:r>
            <w:r>
              <w:rPr>
                <w:spacing w:val="-2"/>
                <w:sz w:val="24"/>
              </w:rPr>
              <w:t>Развитие и усовершенствование системы досудебного урегулирования потребительских споров в Республике Саха (Якутия).</w:t>
            </w:r>
          </w:p>
          <w:p w14:paraId="71000000">
            <w:pPr>
              <w:pStyle w:val="Style_6"/>
              <w:tabs>
                <w:tab w:leader="none" w:pos="9496" w:val="left"/>
              </w:tabs>
              <w:ind w:right="143"/>
              <w:jc w:val="both"/>
              <w:rPr>
                <w:spacing w:val="-2"/>
                <w:sz w:val="24"/>
              </w:rPr>
            </w:pPr>
            <w:r>
              <w:rPr>
                <w:b w:val="1"/>
                <w:spacing w:val="-2"/>
                <w:sz w:val="24"/>
              </w:rPr>
              <w:t xml:space="preserve">Вовлечение граждан: </w:t>
            </w:r>
            <w:r>
              <w:rPr>
                <w:spacing w:val="-2"/>
                <w:sz w:val="24"/>
              </w:rPr>
              <w:t>Стимулирование развития волонтерского движения для активного вовлечения населения в реализацию мероприятий Программы.</w:t>
            </w:r>
          </w:p>
          <w:p w14:paraId="72000000">
            <w:pPr>
              <w:pStyle w:val="Style_6"/>
              <w:tabs>
                <w:tab w:leader="none" w:pos="9496" w:val="left"/>
              </w:tabs>
              <w:ind w:right="143"/>
              <w:jc w:val="both"/>
              <w:rPr>
                <w:spacing w:val="-2"/>
                <w:sz w:val="24"/>
              </w:rPr>
            </w:pPr>
            <w:r>
              <w:rPr>
                <w:b w:val="1"/>
                <w:spacing w:val="-2"/>
                <w:sz w:val="24"/>
              </w:rPr>
              <w:t xml:space="preserve">Масштабное информирование: </w:t>
            </w:r>
            <w:r>
              <w:rPr>
                <w:spacing w:val="-2"/>
                <w:sz w:val="24"/>
              </w:rPr>
              <w:t xml:space="preserve">Активное содействие в разработке и распространении информационных материалов и программ о правах потребителя через различные каналы: средства массовой информации, официальные </w:t>
            </w:r>
            <w:r>
              <w:rPr>
                <w:spacing w:val="-2"/>
                <w:sz w:val="24"/>
              </w:rPr>
              <w:t>интернет-ресурсы</w:t>
            </w:r>
            <w:r>
              <w:rPr>
                <w:spacing w:val="-2"/>
                <w:sz w:val="24"/>
              </w:rPr>
              <w:t xml:space="preserve"> органов местного самоуправления, министерств и ведомств, а также подведомственных им организаций. Особое внимание будет уделено информированию о недопустимости приобретения контрафактной, нелегально ввезенной продукции, товаров с явными признаками подделки, а также опасных для жизни и здоровья товаров, работ и услуг.</w:t>
            </w:r>
          </w:p>
          <w:p w14:paraId="73000000">
            <w:pPr>
              <w:pStyle w:val="Style_6"/>
              <w:ind w:left="61" w:right="143"/>
              <w:jc w:val="both"/>
              <w:rPr>
                <w:b w:val="1"/>
                <w:spacing w:val="-2"/>
                <w:sz w:val="24"/>
              </w:rPr>
            </w:pPr>
            <w:r>
              <w:rPr>
                <w:b w:val="1"/>
                <w:spacing w:val="-2"/>
                <w:sz w:val="24"/>
              </w:rPr>
              <w:t xml:space="preserve">Восстановление институтов: </w:t>
            </w:r>
            <w:r>
              <w:rPr>
                <w:spacing w:val="-2"/>
                <w:sz w:val="24"/>
              </w:rPr>
              <w:t>Возобновление и обеспечение эффективной работы комиссий по защите прав потребителей в муниципальных образованиях Республики Саха (Якутия).</w:t>
            </w:r>
          </w:p>
        </w:tc>
      </w:tr>
      <w:tr>
        <w:trPr>
          <w:trHeight w:hRule="atLeast" w:val="676"/>
        </w:trPr>
        <w:tc>
          <w:tcPr>
            <w:tcW w:type="dxa" w:w="3402"/>
            <w:tcBorders>
              <w:top w:color="000000" w:sz="4" w:val="single"/>
              <w:left w:color="000000" w:sz="4" w:val="single"/>
              <w:bottom w:color="000000" w:sz="4" w:val="single"/>
              <w:right w:color="000000" w:sz="4" w:val="single"/>
            </w:tcBorders>
          </w:tcPr>
          <w:p w14:paraId="74000000">
            <w:pPr>
              <w:pStyle w:val="Style_6"/>
              <w:ind w:left="61"/>
              <w:rPr>
                <w:b w:val="1"/>
                <w:sz w:val="24"/>
              </w:rPr>
            </w:pPr>
            <w:r>
              <w:rPr>
                <w:b w:val="1"/>
                <w:sz w:val="24"/>
              </w:rPr>
              <w:t>Сроки</w:t>
            </w:r>
            <w:r>
              <w:rPr>
                <w:b w:val="1"/>
                <w:spacing w:val="-15"/>
                <w:sz w:val="24"/>
              </w:rPr>
              <w:t xml:space="preserve"> </w:t>
            </w:r>
            <w:r>
              <w:rPr>
                <w:b w:val="1"/>
                <w:sz w:val="24"/>
              </w:rPr>
              <w:t>(этапы)</w:t>
            </w:r>
            <w:r>
              <w:rPr>
                <w:b w:val="1"/>
                <w:spacing w:val="-15"/>
                <w:sz w:val="24"/>
              </w:rPr>
              <w:t xml:space="preserve"> </w:t>
            </w:r>
            <w:r>
              <w:rPr>
                <w:b w:val="1"/>
                <w:sz w:val="24"/>
              </w:rPr>
              <w:t xml:space="preserve">реализации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tcPr>
          <w:p w14:paraId="75000000">
            <w:pPr>
              <w:pStyle w:val="Style_6"/>
              <w:ind w:left="61"/>
              <w:rPr>
                <w:sz w:val="24"/>
              </w:rPr>
            </w:pPr>
            <w:r>
              <w:rPr>
                <w:sz w:val="24"/>
              </w:rPr>
              <w:t xml:space="preserve">2026 – </w:t>
            </w:r>
            <w:r>
              <w:rPr>
                <w:spacing w:val="-4"/>
                <w:sz w:val="24"/>
              </w:rPr>
              <w:t>2030 годы</w:t>
            </w:r>
            <w:r>
              <w:rPr>
                <w:spacing w:val="-4"/>
                <w:sz w:val="24"/>
              </w:rPr>
              <w:t>.</w:t>
            </w:r>
          </w:p>
        </w:tc>
      </w:tr>
      <w:tr>
        <w:trPr>
          <w:trHeight w:hRule="atLeast" w:val="714"/>
        </w:trPr>
        <w:tc>
          <w:tcPr>
            <w:tcW w:type="dxa" w:w="3402"/>
            <w:tcBorders>
              <w:top w:color="000000" w:sz="4" w:val="single"/>
              <w:left w:color="000000" w:sz="4" w:val="single"/>
              <w:bottom w:color="000000" w:sz="4" w:val="single"/>
              <w:right w:color="000000" w:sz="4" w:val="single"/>
            </w:tcBorders>
          </w:tcPr>
          <w:p w14:paraId="76000000">
            <w:pPr>
              <w:pStyle w:val="Style_6"/>
              <w:ind w:left="61"/>
              <w:rPr>
                <w:b w:val="1"/>
                <w:sz w:val="24"/>
              </w:rPr>
            </w:pPr>
            <w:r>
              <w:rPr>
                <w:b w:val="1"/>
                <w:sz w:val="24"/>
              </w:rPr>
              <w:t>Финансовое</w:t>
            </w:r>
            <w:r>
              <w:rPr>
                <w:b w:val="1"/>
                <w:spacing w:val="-15"/>
                <w:sz w:val="24"/>
              </w:rPr>
              <w:t xml:space="preserve"> </w:t>
            </w:r>
            <w:r>
              <w:rPr>
                <w:b w:val="1"/>
                <w:sz w:val="24"/>
              </w:rPr>
              <w:t xml:space="preserve">обеспечение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tcPr>
          <w:p w14:paraId="77000000">
            <w:pPr>
              <w:pStyle w:val="Style_6"/>
              <w:ind w:left="61"/>
              <w:rPr>
                <w:sz w:val="24"/>
              </w:rPr>
            </w:pPr>
            <w:r>
              <w:rPr>
                <w:sz w:val="24"/>
              </w:rPr>
              <w:t xml:space="preserve">Финансирования для реализации </w:t>
            </w:r>
            <w:r>
              <w:rPr>
                <w:sz w:val="24"/>
              </w:rPr>
              <w:t>П</w:t>
            </w:r>
            <w:r>
              <w:rPr>
                <w:sz w:val="24"/>
              </w:rPr>
              <w:t>рограм</w:t>
            </w:r>
            <w:r>
              <w:rPr>
                <w:sz w:val="24"/>
              </w:rPr>
              <w:t>мы не требуется</w:t>
            </w:r>
            <w:r>
              <w:rPr>
                <w:sz w:val="24"/>
              </w:rPr>
              <w:t>.</w:t>
            </w:r>
          </w:p>
        </w:tc>
      </w:tr>
      <w:tr>
        <w:trPr>
          <w:trHeight w:hRule="atLeast" w:val="2535"/>
        </w:trPr>
        <w:tc>
          <w:tcPr>
            <w:tcW w:type="dxa" w:w="3402"/>
            <w:tcBorders>
              <w:top w:color="000000" w:sz="4" w:val="single"/>
              <w:left w:color="000000" w:sz="4" w:val="single"/>
              <w:bottom w:color="000000" w:sz="4" w:val="single"/>
              <w:right w:color="000000" w:sz="4" w:val="single"/>
            </w:tcBorders>
            <w:shd w:fill="auto" w:val="clear"/>
          </w:tcPr>
          <w:p w14:paraId="78000000">
            <w:pPr>
              <w:pStyle w:val="Style_6"/>
              <w:ind w:left="61" w:right="1"/>
              <w:jc w:val="both"/>
              <w:rPr>
                <w:b w:val="1"/>
                <w:sz w:val="24"/>
              </w:rPr>
            </w:pPr>
            <w:r>
              <w:rPr>
                <w:b w:val="1"/>
                <w:sz w:val="24"/>
              </w:rPr>
              <w:t>Целевые</w:t>
            </w:r>
            <w:r>
              <w:rPr>
                <w:b w:val="1"/>
                <w:spacing w:val="-15"/>
                <w:sz w:val="24"/>
              </w:rPr>
              <w:t xml:space="preserve"> </w:t>
            </w:r>
            <w:r>
              <w:rPr>
                <w:b w:val="1"/>
                <w:sz w:val="24"/>
              </w:rPr>
              <w:t xml:space="preserve">индикаторы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shd w:fill="auto" w:val="clear"/>
          </w:tcPr>
          <w:p w14:paraId="79000000">
            <w:pPr>
              <w:pStyle w:val="Style_6"/>
              <w:ind w:left="61" w:right="284"/>
              <w:jc w:val="both"/>
              <w:rPr>
                <w:sz w:val="24"/>
              </w:rPr>
            </w:pPr>
            <w:r>
              <w:rPr>
                <w:sz w:val="24"/>
              </w:rPr>
              <w:t xml:space="preserve">- </w:t>
            </w:r>
            <w:r>
              <w:rPr>
                <w:sz w:val="24"/>
              </w:rPr>
              <w:t>Количество размещенных информационных материалов в области защиты прав потребителей на официальных сайтах органов местного самоуправления и подведомственных им организациям</w:t>
            </w:r>
            <w:r>
              <w:rPr>
                <w:sz w:val="24"/>
              </w:rPr>
              <w:t>;</w:t>
            </w:r>
          </w:p>
          <w:p w14:paraId="7A000000">
            <w:pPr>
              <w:pStyle w:val="Style_6"/>
              <w:ind w:left="61" w:right="284"/>
              <w:jc w:val="both"/>
              <w:rPr>
                <w:sz w:val="24"/>
              </w:rPr>
            </w:pPr>
            <w:r>
              <w:rPr>
                <w:sz w:val="24"/>
              </w:rPr>
              <w:t>Снижение количества отклонений при обороте товаров, подлежащих обязательной маркировке средствами идентификации</w:t>
            </w:r>
            <w:r>
              <w:rPr>
                <w:sz w:val="24"/>
              </w:rPr>
              <w:t>;</w:t>
            </w:r>
          </w:p>
          <w:p w14:paraId="7B000000">
            <w:pPr>
              <w:pStyle w:val="Style_6"/>
              <w:ind w:left="61" w:right="284"/>
              <w:jc w:val="both"/>
              <w:rPr>
                <w:sz w:val="24"/>
              </w:rPr>
            </w:pPr>
            <w:r>
              <w:rPr>
                <w:sz w:val="24"/>
              </w:rPr>
              <w:t>Количество граждан (потребителей) и представителей предпринимательского сообщества, принявших участие в мероприятиях, направленных на правовое просвещение в сфере защиты прав потребителей</w:t>
            </w:r>
            <w:r>
              <w:rPr>
                <w:sz w:val="24"/>
              </w:rPr>
              <w:t>;</w:t>
            </w:r>
          </w:p>
          <w:p w14:paraId="7C000000">
            <w:pPr>
              <w:pStyle w:val="Style_6"/>
              <w:ind w:left="61" w:right="284"/>
              <w:jc w:val="both"/>
              <w:rPr>
                <w:sz w:val="24"/>
              </w:rPr>
            </w:pPr>
            <w:r>
              <w:rPr>
                <w:sz w:val="24"/>
              </w:rPr>
              <w:t>Доля удовлетворённых исков в общем количестве исков, поданных государственным органом, уполномоченным на защиту прав потребителей, в защиту неопределённого круга потребителей и (или) коллективных исков</w:t>
            </w:r>
            <w:r>
              <w:rPr>
                <w:sz w:val="24"/>
              </w:rPr>
              <w:t>.</w:t>
            </w:r>
          </w:p>
        </w:tc>
      </w:tr>
      <w:tr>
        <w:trPr>
          <w:trHeight w:hRule="atLeast" w:val="986"/>
        </w:trPr>
        <w:tc>
          <w:tcPr>
            <w:tcW w:type="dxa" w:w="3402"/>
            <w:tcBorders>
              <w:top w:color="000000" w:sz="4" w:val="single"/>
              <w:left w:color="000000" w:sz="4" w:val="single"/>
              <w:bottom w:color="000000" w:sz="4" w:val="single"/>
              <w:right w:color="000000" w:sz="4" w:val="single"/>
            </w:tcBorders>
            <w:shd w:fill="auto" w:val="clear"/>
          </w:tcPr>
          <w:p w14:paraId="7D000000">
            <w:pPr>
              <w:pStyle w:val="Style_6"/>
              <w:ind w:left="61" w:right="1"/>
              <w:jc w:val="both"/>
              <w:rPr>
                <w:b w:val="1"/>
                <w:sz w:val="24"/>
              </w:rPr>
            </w:pPr>
            <w:r>
              <w:rPr>
                <w:sz w:val="24"/>
              </w:rPr>
              <w:t xml:space="preserve"> </w:t>
            </w:r>
            <w:r>
              <w:rPr>
                <w:b w:val="1"/>
                <w:sz w:val="24"/>
              </w:rPr>
              <w:t>Ожидаемые</w:t>
            </w:r>
            <w:r>
              <w:rPr>
                <w:b w:val="1"/>
                <w:spacing w:val="-15"/>
                <w:sz w:val="24"/>
              </w:rPr>
              <w:t xml:space="preserve"> </w:t>
            </w:r>
            <w:r>
              <w:rPr>
                <w:b w:val="1"/>
                <w:sz w:val="24"/>
              </w:rPr>
              <w:t>результаты реализации</w:t>
            </w:r>
            <w:r>
              <w:rPr>
                <w:b w:val="1"/>
                <w:spacing w:val="-10"/>
                <w:sz w:val="24"/>
              </w:rPr>
              <w:t xml:space="preserve"> </w:t>
            </w:r>
            <w:r>
              <w:rPr>
                <w:b w:val="1"/>
                <w:spacing w:val="-2"/>
                <w:sz w:val="24"/>
              </w:rPr>
              <w:t>Программы</w:t>
            </w:r>
          </w:p>
        </w:tc>
        <w:tc>
          <w:tcPr>
            <w:tcW w:type="dxa" w:w="10348"/>
            <w:tcBorders>
              <w:top w:color="000000" w:sz="4" w:val="single"/>
              <w:left w:color="000000" w:sz="4" w:val="single"/>
              <w:bottom w:color="000000" w:sz="4" w:val="single"/>
              <w:right w:color="000000" w:sz="4" w:val="single"/>
            </w:tcBorders>
            <w:shd w:fill="auto" w:val="clear"/>
          </w:tcPr>
          <w:p w14:paraId="7E000000">
            <w:pPr>
              <w:pStyle w:val="Style_6"/>
              <w:ind w:left="61" w:right="284"/>
              <w:jc w:val="both"/>
              <w:rPr>
                <w:sz w:val="24"/>
              </w:rPr>
            </w:pPr>
            <w:r>
              <w:rPr>
                <w:b w:val="1"/>
                <w:sz w:val="24"/>
              </w:rPr>
              <w:t>Создание комплексной региональной системы:</w:t>
            </w:r>
            <w:r>
              <w:rPr>
                <w:sz w:val="24"/>
              </w:rPr>
              <w:t xml:space="preserve"> Формирование надежной и эффективной системы защиты прав потребителей, основанной на гармоничном взаимодействии всех уровней государственной власти, органов местного самоуправления и активном участии общественных организаций. Такой подход обеспечит всестороннюю защиту интересов потребителей в Республике Саха (Якутия).</w:t>
            </w:r>
          </w:p>
          <w:p w14:paraId="7F000000">
            <w:pPr>
              <w:pStyle w:val="Style_6"/>
              <w:ind w:left="61" w:right="284"/>
              <w:jc w:val="both"/>
              <w:rPr>
                <w:sz w:val="24"/>
              </w:rPr>
            </w:pPr>
            <w:r>
              <w:rPr>
                <w:b w:val="1"/>
                <w:sz w:val="24"/>
              </w:rPr>
              <w:t>Активизация органов местного самоуправления:</w:t>
            </w:r>
            <w:r>
              <w:rPr>
                <w:sz w:val="24"/>
              </w:rPr>
              <w:t xml:space="preserve"> Стимулирование органов местного самоуправления к повышению информированности населения и бизнес-сообщества о механизмах защиты прав потребителей и строгом соблюдении законодательства в предпринимательской деятельности.</w:t>
            </w:r>
          </w:p>
          <w:p w14:paraId="80000000">
            <w:pPr>
              <w:pStyle w:val="Style_6"/>
              <w:ind w:left="61" w:right="284"/>
              <w:jc w:val="both"/>
              <w:rPr>
                <w:sz w:val="24"/>
              </w:rPr>
            </w:pPr>
            <w:r>
              <w:rPr>
                <w:b w:val="1"/>
                <w:sz w:val="24"/>
              </w:rPr>
              <w:t>Развитие гражданского общества:</w:t>
            </w:r>
            <w:r>
              <w:rPr>
                <w:sz w:val="24"/>
              </w:rPr>
              <w:t xml:space="preserve"> Усиление роли волонтерского движения, средств массовой информации и общественных организаций в деле продвижения и защиты прав потребителей на территории Республики Саха (Якутия).</w:t>
            </w:r>
          </w:p>
          <w:p w14:paraId="81000000">
            <w:pPr>
              <w:pStyle w:val="Style_6"/>
              <w:ind w:left="61" w:right="284"/>
              <w:jc w:val="both"/>
              <w:rPr>
                <w:sz w:val="24"/>
              </w:rPr>
            </w:pPr>
            <w:r>
              <w:rPr>
                <w:b w:val="1"/>
                <w:sz w:val="24"/>
              </w:rPr>
              <w:t>Повышение информированности граждан:</w:t>
            </w:r>
            <w:r>
              <w:rPr>
                <w:sz w:val="24"/>
              </w:rPr>
              <w:t xml:space="preserve"> Обеспечение высокого качества и доступности информации о правах потребителей и предусмотренных российским законодательством механизмах их реализации.</w:t>
            </w:r>
          </w:p>
          <w:p w14:paraId="82000000">
            <w:pPr>
              <w:pStyle w:val="Style_6"/>
              <w:ind w:left="61" w:right="284"/>
              <w:jc w:val="both"/>
              <w:rPr>
                <w:sz w:val="24"/>
              </w:rPr>
            </w:pPr>
            <w:r>
              <w:rPr>
                <w:b w:val="1"/>
                <w:sz w:val="24"/>
              </w:rPr>
              <w:t xml:space="preserve">Соблюдение обязательных требований при обороте </w:t>
            </w:r>
            <w:r>
              <w:rPr>
                <w:b w:val="1"/>
                <w:sz w:val="24"/>
              </w:rPr>
              <w:t>марккированных</w:t>
            </w:r>
            <w:r>
              <w:rPr>
                <w:b w:val="1"/>
                <w:sz w:val="24"/>
              </w:rPr>
              <w:t xml:space="preserve"> товаров:</w:t>
            </w:r>
            <w:r>
              <w:rPr>
                <w:sz w:val="24"/>
              </w:rPr>
              <w:t xml:space="preserve"> Существенное сокращение количества нарушений при реализации товаров, подлежащих обязательной маркировке средствами идентификации, и увеличение зарегистрированных</w:t>
            </w:r>
            <w:r>
              <w:rPr>
                <w:sz w:val="24"/>
              </w:rPr>
              <w:t xml:space="preserve"> в Государственной информационной системе</w:t>
            </w:r>
            <w:r>
              <w:rPr>
                <w:sz w:val="24"/>
              </w:rPr>
              <w:t xml:space="preserve"> мониторинга (</w:t>
            </w:r>
            <w:r>
              <w:rPr>
                <w:sz w:val="24"/>
              </w:rPr>
              <w:t xml:space="preserve">далее - </w:t>
            </w:r>
            <w:r>
              <w:rPr>
                <w:sz w:val="24"/>
              </w:rPr>
              <w:t>ГИС М</w:t>
            </w:r>
            <w:r>
              <w:rPr>
                <w:sz w:val="24"/>
              </w:rPr>
              <w:t>Т) участников оборота маркированных товаров.</w:t>
            </w:r>
          </w:p>
          <w:p w14:paraId="83000000">
            <w:pPr>
              <w:pStyle w:val="Style_6"/>
              <w:ind w:left="61" w:right="284"/>
              <w:jc w:val="both"/>
              <w:rPr>
                <w:sz w:val="24"/>
              </w:rPr>
            </w:pPr>
            <w:r>
              <w:rPr>
                <w:b w:val="1"/>
                <w:sz w:val="24"/>
              </w:rPr>
              <w:t xml:space="preserve">Борьба с </w:t>
            </w:r>
            <w:r>
              <w:rPr>
                <w:b w:val="1"/>
                <w:sz w:val="24"/>
              </w:rPr>
              <w:t xml:space="preserve">контрафактом и </w:t>
            </w:r>
            <w:r>
              <w:rPr>
                <w:b w:val="1"/>
                <w:sz w:val="24"/>
              </w:rPr>
              <w:t>фальсификатом:</w:t>
            </w:r>
            <w:r>
              <w:rPr>
                <w:sz w:val="24"/>
              </w:rPr>
              <w:t xml:space="preserve"> Значительное уменьшение оборота контрафактной, фальсифицированной и нелегально ввезенной продукции на территории Республики Саха (Якутия).</w:t>
            </w:r>
          </w:p>
          <w:p w14:paraId="84000000">
            <w:pPr>
              <w:pStyle w:val="Style_6"/>
              <w:ind w:left="61" w:right="284"/>
              <w:jc w:val="both"/>
              <w:rPr>
                <w:sz w:val="24"/>
              </w:rPr>
            </w:pPr>
            <w:r>
              <w:rPr>
                <w:b w:val="1"/>
                <w:sz w:val="24"/>
              </w:rPr>
              <w:t>Гарантия качества и законности:</w:t>
            </w:r>
            <w:r>
              <w:rPr>
                <w:sz w:val="24"/>
              </w:rPr>
              <w:t xml:space="preserve"> Повышение качества товаров, работ и услуг, реализуемых гражданам, а также минимизация нарушений законодательства Российской Федерации, Республики Саха (Якутия) и правовых актов Евразийского экономического союза, регулирующих сферу защиты прав потребителей, включая обязательные требования при обороте маркированных товаров.</w:t>
            </w:r>
          </w:p>
          <w:p w14:paraId="85000000">
            <w:pPr>
              <w:pStyle w:val="Style_6"/>
              <w:ind w:left="61" w:right="284"/>
              <w:jc w:val="both"/>
              <w:rPr>
                <w:sz w:val="24"/>
              </w:rPr>
            </w:pPr>
            <w:r>
              <w:rPr>
                <w:b w:val="1"/>
                <w:sz w:val="24"/>
              </w:rPr>
              <w:t>Рост правосознания:</w:t>
            </w:r>
            <w:r>
              <w:rPr>
                <w:sz w:val="24"/>
              </w:rPr>
              <w:t xml:space="preserve"> Повышение уровня правовой грамотности населения Республики Саха (Якутия).</w:t>
            </w:r>
          </w:p>
          <w:p w14:paraId="86000000">
            <w:pPr>
              <w:pStyle w:val="Style_6"/>
              <w:ind w:left="61" w:right="284"/>
              <w:jc w:val="both"/>
              <w:rPr>
                <w:sz w:val="24"/>
              </w:rPr>
            </w:pPr>
            <w:r>
              <w:rPr>
                <w:b w:val="1"/>
                <w:sz w:val="24"/>
              </w:rPr>
              <w:t>Укрепление доверия к бизнесу:</w:t>
            </w:r>
            <w:r>
              <w:rPr>
                <w:sz w:val="24"/>
              </w:rPr>
              <w:t xml:space="preserve"> Повышение защищенности потребителей от недобросовестных действий продавцов и производителей, увеличение числа случаев добровольного удовлетворения законных требований потребителей, в том числе с применением медиативных процедур. Реализация комплекса мер, направленных на профилактику нарушений прав потребителей и обязательных требований при обороте маркированных товаров.</w:t>
            </w:r>
          </w:p>
          <w:p w14:paraId="87000000">
            <w:pPr>
              <w:pStyle w:val="Style_6"/>
              <w:ind w:right="284"/>
              <w:jc w:val="both"/>
              <w:rPr>
                <w:b w:val="1"/>
                <w:sz w:val="24"/>
              </w:rPr>
            </w:pPr>
            <w:r>
              <w:rPr>
                <w:b w:val="1"/>
                <w:sz w:val="24"/>
              </w:rPr>
              <w:t>Улучшение качества жизни:</w:t>
            </w:r>
            <w:r>
              <w:rPr>
                <w:sz w:val="24"/>
              </w:rPr>
              <w:t xml:space="preserve"> Повышение общего уровня и качества жизни населения Республики Саха (Якутия) за счет обеспечения надежной защиты их потребительских прав.</w:t>
            </w:r>
          </w:p>
        </w:tc>
      </w:tr>
    </w:tbl>
    <w:p w14:paraId="88000000">
      <w:pPr>
        <w:pStyle w:val="Style_3"/>
        <w:tabs>
          <w:tab w:leader="none" w:pos="2603" w:val="left"/>
        </w:tabs>
        <w:ind w:left="2603"/>
      </w:pPr>
    </w:p>
    <w:p w14:paraId="89000000">
      <w:pPr>
        <w:pStyle w:val="Style_3"/>
        <w:numPr>
          <w:ilvl w:val="1"/>
          <w:numId w:val="1"/>
        </w:numPr>
        <w:tabs>
          <w:tab w:leader="none" w:pos="0" w:val="left"/>
        </w:tabs>
        <w:ind w:firstLine="0" w:left="0"/>
        <w:jc w:val="center"/>
      </w:pPr>
      <w:r>
        <w:t>Характеристика</w:t>
      </w:r>
      <w:r>
        <w:rPr>
          <w:spacing w:val="-3"/>
        </w:rPr>
        <w:t xml:space="preserve"> </w:t>
      </w:r>
      <w:r>
        <w:t>текущего</w:t>
      </w:r>
      <w:r>
        <w:rPr>
          <w:spacing w:val="-2"/>
        </w:rPr>
        <w:t xml:space="preserve"> </w:t>
      </w:r>
      <w:r>
        <w:t>состояния</w:t>
      </w:r>
      <w:r>
        <w:rPr>
          <w:spacing w:val="-2"/>
        </w:rPr>
        <w:t xml:space="preserve"> </w:t>
      </w:r>
      <w:r>
        <w:t>сферы</w:t>
      </w:r>
      <w:r>
        <w:rPr>
          <w:spacing w:val="-3"/>
        </w:rPr>
        <w:t xml:space="preserve"> </w:t>
      </w:r>
      <w:r>
        <w:t>защиты</w:t>
      </w:r>
      <w:r>
        <w:rPr>
          <w:spacing w:val="-2"/>
        </w:rPr>
        <w:t xml:space="preserve"> </w:t>
      </w:r>
      <w:r>
        <w:t>прав</w:t>
      </w:r>
      <w:r>
        <w:rPr>
          <w:spacing w:val="-3"/>
        </w:rPr>
        <w:t xml:space="preserve"> </w:t>
      </w:r>
      <w:r>
        <w:t>потребителей</w:t>
      </w:r>
      <w:r>
        <w:rPr>
          <w:spacing w:val="-4"/>
        </w:rPr>
        <w:t xml:space="preserve"> </w:t>
      </w:r>
      <w:r>
        <w:t>в</w:t>
      </w:r>
      <w:r>
        <w:rPr>
          <w:spacing w:val="-3"/>
        </w:rPr>
        <w:t xml:space="preserve"> </w:t>
      </w:r>
      <w:r>
        <w:t>Республике</w:t>
      </w:r>
      <w:r>
        <w:rPr>
          <w:spacing w:val="-2"/>
        </w:rPr>
        <w:t xml:space="preserve"> </w:t>
      </w:r>
      <w:r>
        <w:t>Саха</w:t>
      </w:r>
      <w:r>
        <w:rPr>
          <w:spacing w:val="-2"/>
        </w:rPr>
        <w:t xml:space="preserve"> (Якутия)</w:t>
      </w:r>
      <w:r>
        <w:rPr>
          <w:spacing w:val="-2"/>
        </w:rPr>
        <w:t>.</w:t>
      </w:r>
    </w:p>
    <w:p w14:paraId="8A000000">
      <w:pPr>
        <w:pStyle w:val="Style_2"/>
        <w:rPr>
          <w:color w:val="000000"/>
        </w:rPr>
      </w:pPr>
    </w:p>
    <w:p w14:paraId="8B000000">
      <w:pPr>
        <w:widowControl w:val="1"/>
        <w:ind w:firstLine="851"/>
        <w:jc w:val="both"/>
        <w:rPr>
          <w:color w:val="000000"/>
          <w:sz w:val="28"/>
        </w:rPr>
      </w:pPr>
      <w:r>
        <w:rPr>
          <w:color w:val="000000"/>
          <w:sz w:val="28"/>
        </w:rPr>
        <w:t>Государственная политика в области защиты прав потребителей выступает фундаментальным элементом, обеспечивающим достижение основополагающей стратегической цели — поступательного повышения уровня и качества жизни граждан.</w:t>
      </w:r>
    </w:p>
    <w:p w14:paraId="8C000000">
      <w:pPr>
        <w:widowControl w:val="1"/>
        <w:ind/>
        <w:jc w:val="both"/>
        <w:rPr>
          <w:color w:val="000000"/>
          <w:sz w:val="28"/>
        </w:rPr>
      </w:pPr>
    </w:p>
    <w:p w14:paraId="8D000000">
      <w:pPr>
        <w:widowControl w:val="1"/>
        <w:ind w:firstLine="851"/>
        <w:jc w:val="both"/>
        <w:rPr>
          <w:color w:val="000000"/>
          <w:sz w:val="28"/>
        </w:rPr>
      </w:pPr>
      <w:r>
        <w:rPr>
          <w:color w:val="000000"/>
          <w:sz w:val="28"/>
        </w:rPr>
        <w:t>В настоящее время перед государством стоит задача формирования и укрепления нормативно-правовой и организационной базы, способной адекватно уровню экономического и общественного развития определять и эффективно реализовывать весь спектр направлений национальной политики в сфере защиты прав потребителей.</w:t>
      </w:r>
    </w:p>
    <w:p w14:paraId="8E000000">
      <w:pPr>
        <w:widowControl w:val="1"/>
        <w:ind/>
        <w:jc w:val="both"/>
        <w:rPr>
          <w:color w:val="000000"/>
          <w:sz w:val="28"/>
        </w:rPr>
      </w:pPr>
    </w:p>
    <w:p w14:paraId="8F000000">
      <w:pPr>
        <w:widowControl w:val="1"/>
        <w:ind w:firstLine="851"/>
        <w:jc w:val="both"/>
        <w:rPr>
          <w:color w:val="000000"/>
          <w:sz w:val="28"/>
        </w:rPr>
      </w:pPr>
      <w:r>
        <w:rPr>
          <w:color w:val="000000"/>
          <w:sz w:val="28"/>
        </w:rPr>
        <w:t>Национальная система защиты прав потребителей представляет собой комплекс федеральных органов исполнительной власти, органов исполнительной власти субъектов Российской Федерации, органов местного самоуправления, а также общественных объединений потребителей.</w:t>
      </w:r>
    </w:p>
    <w:p w14:paraId="90000000">
      <w:pPr>
        <w:widowControl w:val="1"/>
        <w:ind w:firstLine="851"/>
        <w:jc w:val="both"/>
        <w:rPr>
          <w:color w:val="000000"/>
          <w:sz w:val="28"/>
        </w:rPr>
      </w:pPr>
    </w:p>
    <w:p w14:paraId="91000000">
      <w:pPr>
        <w:widowControl w:val="1"/>
        <w:ind w:firstLine="851"/>
        <w:jc w:val="both"/>
        <w:rPr>
          <w:color w:val="000000"/>
          <w:sz w:val="28"/>
        </w:rPr>
      </w:pPr>
      <w:r>
        <w:rPr>
          <w:color w:val="000000"/>
          <w:sz w:val="28"/>
        </w:rPr>
        <w:t>Рейтинг уровня защищенности прав потребителей в Республике Саха (Якутия), ежегодно публикуемый Объединением потребителей России на основе двухгодичного мониторинга начиная с 2010 года, красноречиво демонстрирует тревожную тенденцию. Отсутствие комплексной, действующей на региональном уровне программы защиты прав потребителей, предусматривающей построение сбалансированной и эффективно функционирующей системы, опирающейся на скоординированное взаимодействие органов государственной власти всех уровней, органов местного самоуправления и общественных организаций, приводит к снижению общего уровня правовой защищенности потребителей. Этот спад наглядно отражается в динамике рейтинговых позиций:</w:t>
      </w:r>
    </w:p>
    <w:p w14:paraId="92000000">
      <w:pPr>
        <w:widowControl w:val="1"/>
        <w:ind/>
        <w:jc w:val="both"/>
        <w:rPr>
          <w:color w:val="000000"/>
          <w:sz w:val="28"/>
        </w:rPr>
      </w:pPr>
      <w:r>
        <w:rPr>
          <w:color w:val="000000"/>
          <w:sz w:val="28"/>
        </w:rPr>
        <w:t>- 2018 год: 71 место (низкий уровень защищенности);</w:t>
      </w:r>
    </w:p>
    <w:p w14:paraId="93000000">
      <w:pPr>
        <w:widowControl w:val="1"/>
        <w:ind/>
        <w:jc w:val="both"/>
        <w:rPr>
          <w:color w:val="000000"/>
          <w:sz w:val="28"/>
        </w:rPr>
      </w:pPr>
      <w:r>
        <w:rPr>
          <w:color w:val="000000"/>
          <w:sz w:val="28"/>
        </w:rPr>
        <w:t>- 2021 год: 19 место (средний уровень защищенности);</w:t>
      </w:r>
    </w:p>
    <w:p w14:paraId="94000000">
      <w:pPr>
        <w:widowControl w:val="1"/>
        <w:ind/>
        <w:jc w:val="both"/>
        <w:rPr>
          <w:color w:val="000000"/>
          <w:sz w:val="28"/>
        </w:rPr>
      </w:pPr>
      <w:r>
        <w:rPr>
          <w:color w:val="000000"/>
          <w:sz w:val="28"/>
        </w:rPr>
        <w:t>- 2023 год: 26 место (средний уровень защищенности);</w:t>
      </w:r>
    </w:p>
    <w:p w14:paraId="95000000">
      <w:pPr>
        <w:widowControl w:val="1"/>
        <w:ind/>
        <w:jc w:val="both"/>
        <w:rPr>
          <w:color w:val="000000"/>
          <w:sz w:val="28"/>
        </w:rPr>
      </w:pPr>
      <w:r>
        <w:rPr>
          <w:color w:val="000000"/>
          <w:sz w:val="28"/>
        </w:rPr>
        <w:t>- 2025 год: 66 место (низкий уровень защищенности).</w:t>
      </w:r>
    </w:p>
    <w:p w14:paraId="96000000">
      <w:pPr>
        <w:widowControl w:val="1"/>
        <w:ind w:firstLine="851"/>
        <w:jc w:val="both"/>
        <w:rPr>
          <w:color w:val="000000"/>
          <w:sz w:val="28"/>
        </w:rPr>
      </w:pPr>
    </w:p>
    <w:p w14:paraId="97000000">
      <w:pPr>
        <w:widowControl w:val="1"/>
        <w:ind w:firstLine="851"/>
        <w:jc w:val="both"/>
        <w:rPr>
          <w:b w:val="1"/>
          <w:color w:val="000000"/>
          <w:sz w:val="28"/>
        </w:rPr>
      </w:pPr>
      <w:r>
        <w:rPr>
          <w:b w:val="1"/>
          <w:color w:val="000000"/>
          <w:sz w:val="28"/>
        </w:rPr>
        <w:t>Ключевые критерии, учитываемые при формировании указанных рейтингов, включают:</w:t>
      </w:r>
    </w:p>
    <w:p w14:paraId="98000000">
      <w:pPr>
        <w:widowControl w:val="1"/>
        <w:ind w:firstLine="851"/>
        <w:jc w:val="both"/>
        <w:rPr>
          <w:color w:val="000000"/>
          <w:sz w:val="28"/>
        </w:rPr>
      </w:pPr>
      <w:r>
        <w:rPr>
          <w:color w:val="000000"/>
          <w:sz w:val="28"/>
        </w:rPr>
        <w:t xml:space="preserve">- Достаточность и доступность информации, предназначенной для информирования и консультирования потребителей, публикуемой на официальных </w:t>
      </w:r>
      <w:r>
        <w:rPr>
          <w:color w:val="000000"/>
          <w:sz w:val="28"/>
        </w:rPr>
        <w:t>интернет-ресурсах</w:t>
      </w:r>
      <w:r>
        <w:rPr>
          <w:color w:val="000000"/>
          <w:sz w:val="28"/>
        </w:rPr>
        <w:t xml:space="preserve"> исполнительных органов государственной власти субъекта Российской Федерации и территориальных органов федеральных органов исполнительной власти.</w:t>
      </w:r>
    </w:p>
    <w:p w14:paraId="99000000">
      <w:pPr>
        <w:widowControl w:val="1"/>
        <w:ind w:firstLine="851"/>
        <w:jc w:val="both"/>
        <w:rPr>
          <w:color w:val="000000"/>
          <w:sz w:val="28"/>
        </w:rPr>
      </w:pPr>
      <w:r>
        <w:rPr>
          <w:color w:val="000000"/>
          <w:sz w:val="28"/>
        </w:rPr>
        <w:t>- Эффективность применяемых методов и форм формирования навыков рационального потребительского поведения и повышения общей информированности граждан в области защиты их прав.</w:t>
      </w:r>
    </w:p>
    <w:p w14:paraId="9A000000">
      <w:pPr>
        <w:widowControl w:val="1"/>
        <w:ind w:firstLine="851"/>
        <w:jc w:val="both"/>
        <w:rPr>
          <w:color w:val="000000"/>
          <w:sz w:val="28"/>
        </w:rPr>
      </w:pPr>
      <w:r>
        <w:rPr>
          <w:color w:val="000000"/>
          <w:sz w:val="28"/>
        </w:rPr>
        <w:t>- Степень открытости и прозрачности информации о деятельности координационных (совещательных) органов и общественных советов.</w:t>
      </w:r>
    </w:p>
    <w:p w14:paraId="9B000000">
      <w:pPr>
        <w:widowControl w:val="1"/>
        <w:ind w:firstLine="851"/>
        <w:jc w:val="both"/>
        <w:rPr>
          <w:color w:val="000000"/>
          <w:sz w:val="28"/>
        </w:rPr>
      </w:pPr>
      <w:r>
        <w:rPr>
          <w:color w:val="000000"/>
          <w:sz w:val="28"/>
        </w:rPr>
        <w:t>- Наличие и качество реализации целевых программ, направленных на обеспечение прав потребителей.</w:t>
      </w:r>
    </w:p>
    <w:p w14:paraId="9C000000">
      <w:pPr>
        <w:widowControl w:val="1"/>
        <w:ind w:firstLine="851"/>
        <w:jc w:val="both"/>
        <w:rPr>
          <w:color w:val="000000"/>
          <w:sz w:val="28"/>
        </w:rPr>
      </w:pPr>
      <w:r>
        <w:rPr>
          <w:color w:val="000000"/>
          <w:sz w:val="28"/>
        </w:rPr>
        <w:t>- Наличие и доступность информационных и консультационных ресурсов для граждан по вопросам защиты прав потребителей на муниципальном уровне.</w:t>
      </w:r>
    </w:p>
    <w:p w14:paraId="9D000000">
      <w:pPr>
        <w:widowControl w:val="1"/>
        <w:ind w:firstLine="851"/>
        <w:jc w:val="both"/>
        <w:rPr>
          <w:color w:val="000000"/>
          <w:sz w:val="28"/>
        </w:rPr>
      </w:pPr>
      <w:r>
        <w:rPr>
          <w:color w:val="000000"/>
          <w:sz w:val="28"/>
        </w:rPr>
        <w:t>- Информированность потребителей о качественных характеристиках продукции (услуг) и сведениях о производителях товаров (исполнителях услуг).</w:t>
      </w:r>
    </w:p>
    <w:p w14:paraId="9E000000">
      <w:pPr>
        <w:widowControl w:val="1"/>
        <w:ind w:firstLine="851"/>
        <w:jc w:val="both"/>
        <w:rPr>
          <w:color w:val="000000"/>
          <w:sz w:val="28"/>
        </w:rPr>
      </w:pPr>
      <w:r>
        <w:rPr>
          <w:color w:val="000000"/>
          <w:sz w:val="28"/>
        </w:rPr>
        <w:t>- Совершенствование действующих механизмов, направленных на реализацию и защиту прав потребителей.</w:t>
      </w:r>
    </w:p>
    <w:p w14:paraId="9F000000">
      <w:pPr>
        <w:widowControl w:val="1"/>
        <w:ind w:firstLine="851"/>
        <w:jc w:val="both"/>
        <w:rPr>
          <w:color w:val="000000"/>
          <w:sz w:val="28"/>
        </w:rPr>
      </w:pPr>
      <w:r>
        <w:rPr>
          <w:color w:val="000000"/>
          <w:sz w:val="28"/>
        </w:rPr>
        <w:t>Программа защиты прав потребителей в Республике Саха (Якутия) представляет собой неотъемлемую часть системной работы по обеспечению соблюдения интересов граждан в этой сфере. Однако, на сегодняшний день утвержденная Программа отсутствует, а действие ранее действующей программы истекло в 2023 году (Распоряжение Главы Республики №1067-РГ от 20 декабря 2018 года).</w:t>
      </w:r>
    </w:p>
    <w:p w14:paraId="A0000000">
      <w:pPr>
        <w:widowControl w:val="1"/>
        <w:ind/>
        <w:jc w:val="both"/>
        <w:rPr>
          <w:color w:val="000000"/>
          <w:sz w:val="28"/>
        </w:rPr>
      </w:pPr>
    </w:p>
    <w:p w14:paraId="A1000000">
      <w:pPr>
        <w:widowControl w:val="1"/>
        <w:ind w:firstLine="851"/>
        <w:jc w:val="both"/>
        <w:rPr>
          <w:color w:val="000000"/>
          <w:sz w:val="28"/>
        </w:rPr>
      </w:pPr>
      <w:r>
        <w:rPr>
          <w:color w:val="000000"/>
          <w:sz w:val="28"/>
        </w:rPr>
        <w:t>Для эффективного повышения уровня защищенности населения Республики Саха (Якутия) в области защиты прав потребителей, настоятельно требуется комплексный подход. Данный подход предполагает активное вовлечение органов местного самоуправления в реализацию ряда ключевых мероприятий, среди которых:</w:t>
      </w:r>
    </w:p>
    <w:p w14:paraId="A2000000">
      <w:pPr>
        <w:pStyle w:val="Style_4"/>
        <w:widowControl w:val="1"/>
        <w:numPr>
          <w:ilvl w:val="0"/>
          <w:numId w:val="3"/>
        </w:numPr>
        <w:ind w:firstLine="851" w:left="0"/>
        <w:jc w:val="both"/>
        <w:rPr>
          <w:color w:val="000000"/>
          <w:sz w:val="28"/>
        </w:rPr>
      </w:pPr>
      <w:r>
        <w:rPr>
          <w:color w:val="000000"/>
          <w:sz w:val="28"/>
        </w:rPr>
        <w:t>Обеспечение выполнения мероприятий, предусмотренных Стратегией государственной политики Российской Федерации в области защиты прав потребителей на период до 2030 года, с целью повышения уровня защищенности потребителей в Республике Саха (Якутия).</w:t>
      </w:r>
    </w:p>
    <w:p w14:paraId="A3000000">
      <w:pPr>
        <w:pStyle w:val="Style_4"/>
        <w:widowControl w:val="1"/>
        <w:numPr>
          <w:ilvl w:val="0"/>
          <w:numId w:val="3"/>
        </w:numPr>
        <w:ind w:firstLine="851" w:left="0"/>
        <w:jc w:val="both"/>
        <w:rPr>
          <w:color w:val="000000"/>
          <w:sz w:val="28"/>
        </w:rPr>
      </w:pPr>
      <w:r>
        <w:rPr>
          <w:color w:val="000000"/>
          <w:sz w:val="28"/>
        </w:rPr>
        <w:t>Повышение правовой грамотности и формирование у жителей Республики Саха (Якутия) навыков рационального потребительского поведения.</w:t>
      </w:r>
    </w:p>
    <w:p w14:paraId="A4000000">
      <w:pPr>
        <w:pStyle w:val="Style_4"/>
        <w:widowControl w:val="1"/>
        <w:numPr>
          <w:ilvl w:val="0"/>
          <w:numId w:val="3"/>
        </w:numPr>
        <w:ind w:firstLine="851" w:left="0"/>
        <w:jc w:val="both"/>
        <w:rPr>
          <w:color w:val="000000"/>
          <w:sz w:val="28"/>
        </w:rPr>
      </w:pPr>
      <w:r>
        <w:rPr>
          <w:color w:val="000000"/>
          <w:sz w:val="28"/>
        </w:rPr>
        <w:t>Оказание содействия органам местного самоуправления Республики Саха (Якутия) и общественным организациям региона в решении задач по защите прав потребителей.</w:t>
      </w:r>
    </w:p>
    <w:p w14:paraId="A5000000">
      <w:pPr>
        <w:pStyle w:val="Style_4"/>
        <w:widowControl w:val="1"/>
        <w:numPr>
          <w:ilvl w:val="0"/>
          <w:numId w:val="3"/>
        </w:numPr>
        <w:ind w:firstLine="851" w:left="0"/>
        <w:jc w:val="both"/>
        <w:rPr>
          <w:color w:val="000000"/>
          <w:sz w:val="28"/>
        </w:rPr>
      </w:pPr>
      <w:r>
        <w:rPr>
          <w:color w:val="000000"/>
          <w:sz w:val="28"/>
        </w:rPr>
        <w:t>Создание эффективной системы оперативного информационного обмена в сфере защиты прав потребителей. Это включает своевременное информирование потребителей о качестве предлагаемых в Республике товаров, работ и услуг, в том числе подлежащих обязательной маркировке средствами идентификации.</w:t>
      </w:r>
    </w:p>
    <w:p w14:paraId="A6000000">
      <w:pPr>
        <w:pStyle w:val="Style_4"/>
        <w:widowControl w:val="1"/>
        <w:numPr>
          <w:ilvl w:val="0"/>
          <w:numId w:val="3"/>
        </w:numPr>
        <w:ind w:firstLine="851" w:left="0"/>
        <w:jc w:val="both"/>
        <w:rPr>
          <w:color w:val="000000"/>
          <w:sz w:val="28"/>
        </w:rPr>
      </w:pPr>
      <w:r>
        <w:rPr>
          <w:color w:val="000000"/>
          <w:sz w:val="28"/>
        </w:rPr>
        <w:t>Развитие системы профессиональной подготовки и повышения квалификации специалистов, задействованных в сфере защиты прав потребителей.</w:t>
      </w:r>
    </w:p>
    <w:p w14:paraId="A7000000">
      <w:pPr>
        <w:pStyle w:val="Style_4"/>
        <w:widowControl w:val="1"/>
        <w:numPr>
          <w:ilvl w:val="0"/>
          <w:numId w:val="3"/>
        </w:numPr>
        <w:ind w:firstLine="851" w:left="0"/>
        <w:jc w:val="both"/>
        <w:rPr>
          <w:color w:val="000000"/>
          <w:sz w:val="28"/>
        </w:rPr>
      </w:pPr>
      <w:r>
        <w:rPr>
          <w:color w:val="000000"/>
          <w:sz w:val="28"/>
        </w:rPr>
        <w:t>Повышение уровня социальной ответственности и правовой грамотности хозяйствующих субъектов, ведущих деятельность на потребительском рынке Республики Саха (Якутия), включая участников оборота товаров, подлежащих обязательной маркировке.</w:t>
      </w:r>
    </w:p>
    <w:p w14:paraId="A8000000">
      <w:pPr>
        <w:pStyle w:val="Style_4"/>
        <w:widowControl w:val="1"/>
        <w:numPr>
          <w:ilvl w:val="0"/>
          <w:numId w:val="3"/>
        </w:numPr>
        <w:ind w:firstLine="851" w:left="0"/>
        <w:jc w:val="both"/>
        <w:rPr>
          <w:color w:val="000000"/>
          <w:sz w:val="28"/>
        </w:rPr>
      </w:pPr>
      <w:r>
        <w:rPr>
          <w:color w:val="000000"/>
          <w:sz w:val="28"/>
        </w:rPr>
        <w:t>Создание условий, способствующих повышению качества и безопасности реализуемых в Республике Саха (Якутия) товаров, работ и услуг, в том числе обязательной маркировки.</w:t>
      </w:r>
    </w:p>
    <w:p w14:paraId="A9000000">
      <w:pPr>
        <w:pStyle w:val="Style_4"/>
        <w:widowControl w:val="1"/>
        <w:numPr>
          <w:ilvl w:val="0"/>
          <w:numId w:val="3"/>
        </w:numPr>
        <w:ind w:firstLine="851" w:left="0"/>
        <w:jc w:val="both"/>
        <w:rPr>
          <w:color w:val="000000"/>
          <w:sz w:val="28"/>
        </w:rPr>
      </w:pPr>
      <w:r>
        <w:rPr>
          <w:color w:val="000000"/>
          <w:sz w:val="28"/>
        </w:rPr>
        <w:t>Гарантирование права потребителей на получение полной и достоверной информации о товаре (работе, услуге), а также повышение доступности правовой и экспертной помощи, с особым вниманием к уязвимым группам населения.</w:t>
      </w:r>
    </w:p>
    <w:p w14:paraId="AA000000">
      <w:pPr>
        <w:pStyle w:val="Style_4"/>
        <w:widowControl w:val="1"/>
        <w:numPr>
          <w:ilvl w:val="0"/>
          <w:numId w:val="3"/>
        </w:numPr>
        <w:ind w:firstLine="851" w:left="0"/>
        <w:jc w:val="both"/>
        <w:rPr>
          <w:color w:val="000000"/>
          <w:sz w:val="28"/>
        </w:rPr>
      </w:pPr>
      <w:r>
        <w:rPr>
          <w:color w:val="000000"/>
          <w:sz w:val="28"/>
        </w:rPr>
        <w:t>Развитие системы досудебного урегулирования потребительских споров в Республике Саха (Якутия).</w:t>
      </w:r>
    </w:p>
    <w:p w14:paraId="AB000000">
      <w:pPr>
        <w:pStyle w:val="Style_4"/>
        <w:widowControl w:val="1"/>
        <w:numPr>
          <w:ilvl w:val="0"/>
          <w:numId w:val="3"/>
        </w:numPr>
        <w:ind w:firstLine="851" w:left="0"/>
        <w:jc w:val="both"/>
        <w:rPr>
          <w:color w:val="000000"/>
          <w:sz w:val="28"/>
        </w:rPr>
      </w:pPr>
      <w:r>
        <w:rPr>
          <w:color w:val="000000"/>
          <w:sz w:val="28"/>
        </w:rPr>
        <w:t>Развитие волонтерского движения для активного вовлечения граждан в различные программы и мероприятия.</w:t>
      </w:r>
    </w:p>
    <w:p w14:paraId="AC000000">
      <w:pPr>
        <w:pStyle w:val="Style_4"/>
        <w:widowControl w:val="1"/>
        <w:numPr>
          <w:ilvl w:val="0"/>
          <w:numId w:val="3"/>
        </w:numPr>
        <w:ind w:firstLine="851" w:left="0"/>
        <w:jc w:val="both"/>
        <w:rPr>
          <w:color w:val="000000"/>
          <w:sz w:val="28"/>
        </w:rPr>
      </w:pPr>
      <w:r>
        <w:rPr>
          <w:color w:val="000000"/>
          <w:sz w:val="28"/>
        </w:rPr>
        <w:t>Систематическое информирование населения о правах потребителей через средства массовой информации, официальные сайты органов местного самоуправления и подведомственных им организаций. Формирование негативного отношения к приобретению товаров в несанкционированных местах, контрафактной продукции, товаров нелегального оборота, а также товаров, работ и услуг, представляющих опасность для жизни и здоровья.</w:t>
      </w:r>
    </w:p>
    <w:p w14:paraId="AD000000">
      <w:pPr>
        <w:pStyle w:val="Style_4"/>
        <w:widowControl w:val="1"/>
        <w:numPr>
          <w:ilvl w:val="0"/>
          <w:numId w:val="3"/>
        </w:numPr>
        <w:ind w:firstLine="851" w:left="0"/>
        <w:jc w:val="both"/>
        <w:rPr>
          <w:color w:val="000000"/>
          <w:sz w:val="28"/>
        </w:rPr>
      </w:pPr>
      <w:r>
        <w:rPr>
          <w:color w:val="000000"/>
          <w:sz w:val="28"/>
        </w:rPr>
        <w:t>Активизация работы комиссий по защите прав потребителей в муниципальных образованиях Республики Саха (Якутия).</w:t>
      </w:r>
    </w:p>
    <w:p w14:paraId="AE000000">
      <w:pPr>
        <w:widowControl w:val="1"/>
        <w:ind w:firstLine="851"/>
        <w:jc w:val="both"/>
        <w:rPr>
          <w:sz w:val="28"/>
        </w:rPr>
      </w:pPr>
    </w:p>
    <w:p w14:paraId="AF000000">
      <w:pPr>
        <w:widowControl w:val="1"/>
        <w:ind w:firstLine="851"/>
        <w:jc w:val="both"/>
        <w:rPr>
          <w:color w:val="000000"/>
          <w:sz w:val="28"/>
        </w:rPr>
      </w:pPr>
      <w:r>
        <w:rPr>
          <w:color w:val="000000"/>
          <w:sz w:val="28"/>
        </w:rPr>
        <w:t>Нормативной базой регулирующей отношения в сфере защиты прав потребителей является Закон Российской Федерации «О защите прав потребителей», другие федеральные законы и иные нормативные правовые акты Российской Федерации и Республики Саха (Якутия), а также акты, составляющие право Евразийского экономического союза, регулирующими отношения в области защиты прав потребителей и требований, предусмотренных правилами маркировки отдельных видов товаров, подлежащих обязательной маркировке средствами идентификации и Стратегия государственной политики РФ в области защиты прав потребителей на период до 2030 года утвержденная</w:t>
      </w:r>
      <w:r>
        <w:rPr>
          <w:sz w:val="28"/>
        </w:rPr>
        <w:t xml:space="preserve"> </w:t>
      </w:r>
      <w:r>
        <w:rPr>
          <w:color w:val="000000"/>
          <w:sz w:val="28"/>
        </w:rPr>
        <w:t>распоряжением Правительства РФ от 28 августа 2017 года №1837-р. председателем Правительства Российской Федерации Д.А. Медведевым.</w:t>
      </w:r>
    </w:p>
    <w:p w14:paraId="B0000000">
      <w:pPr>
        <w:widowControl w:val="1"/>
        <w:ind/>
        <w:jc w:val="both"/>
        <w:rPr>
          <w:sz w:val="28"/>
        </w:rPr>
      </w:pPr>
    </w:p>
    <w:p w14:paraId="B1000000">
      <w:pPr>
        <w:widowControl w:val="1"/>
        <w:ind w:firstLine="851"/>
        <w:jc w:val="both"/>
        <w:rPr>
          <w:sz w:val="28"/>
        </w:rPr>
      </w:pPr>
      <w:r>
        <w:rPr>
          <w:sz w:val="28"/>
        </w:rPr>
        <w:t>На период 2026–2030 годов в Республике Саха (Якутия) приоритетными направлениями для устойчивого повышения уровня защищенности прав, что предусматривает достижение следующих ключевых целей:</w:t>
      </w:r>
    </w:p>
    <w:p w14:paraId="B2000000">
      <w:pPr>
        <w:widowControl w:val="1"/>
        <w:ind w:firstLine="851"/>
        <w:jc w:val="both"/>
        <w:rPr>
          <w:sz w:val="28"/>
        </w:rPr>
      </w:pPr>
      <w:r>
        <w:rPr>
          <w:b w:val="1"/>
          <w:sz w:val="28"/>
        </w:rPr>
        <w:t>Централизованная координация:</w:t>
      </w:r>
      <w:r>
        <w:rPr>
          <w:sz w:val="28"/>
        </w:rPr>
        <w:t xml:space="preserve"> Установление единой системы координации всех мероприятий по защите прав потребителей на территории Республики Саха (Якутия).</w:t>
      </w:r>
    </w:p>
    <w:p w14:paraId="B3000000">
      <w:pPr>
        <w:widowControl w:val="1"/>
        <w:ind w:firstLine="851"/>
        <w:jc w:val="both"/>
        <w:rPr>
          <w:sz w:val="28"/>
        </w:rPr>
      </w:pPr>
      <w:r>
        <w:rPr>
          <w:b w:val="1"/>
          <w:sz w:val="28"/>
        </w:rPr>
        <w:t xml:space="preserve">Эффективная обработка обращений: </w:t>
      </w:r>
      <w:r>
        <w:rPr>
          <w:sz w:val="28"/>
        </w:rPr>
        <w:t>Обеспечение оперативной и качественной обработки как индивидуальных обращений граждан по вопросам защиты прав потребителей, так и входящих запросов от Центра развития перспективных технологий (далее – ЦРПТ).</w:t>
      </w:r>
    </w:p>
    <w:p w14:paraId="B4000000">
      <w:pPr>
        <w:widowControl w:val="1"/>
        <w:ind w:firstLine="851"/>
        <w:jc w:val="both"/>
        <w:rPr>
          <w:sz w:val="28"/>
        </w:rPr>
      </w:pPr>
      <w:r>
        <w:rPr>
          <w:b w:val="1"/>
          <w:sz w:val="28"/>
        </w:rPr>
        <w:t>Цифровизация</w:t>
      </w:r>
      <w:r>
        <w:rPr>
          <w:b w:val="1"/>
          <w:sz w:val="28"/>
        </w:rPr>
        <w:t xml:space="preserve"> и прозрачность рынков:</w:t>
      </w:r>
      <w:r>
        <w:rPr>
          <w:sz w:val="28"/>
        </w:rPr>
        <w:t xml:space="preserve"> Активная реализация государственной политики, направленной на </w:t>
      </w:r>
      <w:r>
        <w:rPr>
          <w:sz w:val="28"/>
        </w:rPr>
        <w:t>цифровзацию</w:t>
      </w:r>
      <w:r>
        <w:rPr>
          <w:sz w:val="28"/>
        </w:rPr>
        <w:t xml:space="preserve"> систем контроля за оборотом товаров, повышение прозрачности товарных рынков и обеспечение добросовестной конкуренции.</w:t>
      </w:r>
    </w:p>
    <w:p w14:paraId="B5000000">
      <w:pPr>
        <w:widowControl w:val="1"/>
        <w:ind w:firstLine="851"/>
        <w:jc w:val="both"/>
        <w:rPr>
          <w:sz w:val="28"/>
        </w:rPr>
      </w:pPr>
      <w:r>
        <w:rPr>
          <w:b w:val="1"/>
          <w:sz w:val="28"/>
        </w:rPr>
        <w:t>Гарантия судебной защиты:</w:t>
      </w:r>
      <w:r>
        <w:rPr>
          <w:sz w:val="28"/>
        </w:rPr>
        <w:t xml:space="preserve"> Обеспечение полного доступа потребителей к механизмам судебной защиты их законных прав и интересов.</w:t>
      </w:r>
    </w:p>
    <w:p w14:paraId="B6000000">
      <w:pPr>
        <w:widowControl w:val="1"/>
        <w:ind w:firstLine="851"/>
        <w:jc w:val="both"/>
        <w:rPr>
          <w:sz w:val="28"/>
        </w:rPr>
      </w:pPr>
      <w:r>
        <w:rPr>
          <w:b w:val="1"/>
          <w:sz w:val="28"/>
        </w:rPr>
        <w:t>Деятельность надзорных органов:</w:t>
      </w:r>
      <w:r>
        <w:rPr>
          <w:sz w:val="28"/>
        </w:rPr>
        <w:t xml:space="preserve"> Осуществление системного надзора и контроля в сфере защиты прав потребителей в строгом соответствии с законодательством.</w:t>
      </w:r>
    </w:p>
    <w:p w14:paraId="B7000000">
      <w:pPr>
        <w:widowControl w:val="1"/>
        <w:ind w:firstLine="851"/>
        <w:jc w:val="both"/>
        <w:rPr>
          <w:sz w:val="28"/>
        </w:rPr>
      </w:pPr>
      <w:r>
        <w:rPr>
          <w:b w:val="1"/>
          <w:sz w:val="28"/>
        </w:rPr>
        <w:t>Расширение полномочий местного самоуправления:</w:t>
      </w:r>
      <w:r>
        <w:rPr>
          <w:sz w:val="28"/>
        </w:rPr>
        <w:t xml:space="preserve"> Наделение органов местного самоуправления необходимыми полномочиями и ресурсами для эффективной защиты прав потребителей на муниципальном уровне.</w:t>
      </w:r>
    </w:p>
    <w:p w14:paraId="B8000000">
      <w:pPr>
        <w:widowControl w:val="1"/>
        <w:ind w:firstLine="851"/>
        <w:jc w:val="both"/>
        <w:rPr>
          <w:sz w:val="28"/>
        </w:rPr>
      </w:pPr>
      <w:r>
        <w:rPr>
          <w:b w:val="1"/>
          <w:sz w:val="28"/>
        </w:rPr>
        <w:t>Сотрудничество с общественными организациями:</w:t>
      </w:r>
      <w:r>
        <w:rPr>
          <w:sz w:val="28"/>
        </w:rPr>
        <w:t xml:space="preserve"> Укрепление взаимодействия с общественными объединениями потребителей для формирования единого фронта в деле отстаивания прав граждан.</w:t>
      </w:r>
    </w:p>
    <w:p w14:paraId="B9000000">
      <w:pPr>
        <w:widowControl w:val="1"/>
        <w:ind w:firstLine="851"/>
        <w:jc w:val="both"/>
        <w:rPr>
          <w:sz w:val="28"/>
        </w:rPr>
      </w:pPr>
      <w:r>
        <w:rPr>
          <w:b w:val="1"/>
          <w:sz w:val="28"/>
        </w:rPr>
        <w:t>Качественное информационное обеспечение:</w:t>
      </w:r>
      <w:r>
        <w:rPr>
          <w:sz w:val="28"/>
        </w:rPr>
        <w:t xml:space="preserve"> Предоставление потребителям исчерпывающей, достоверной и своевременной информации о товарах, работах и услугах, в том числе на родных языках народов Республики Саха (Якутия).</w:t>
      </w:r>
    </w:p>
    <w:p w14:paraId="BA000000">
      <w:pPr>
        <w:widowControl w:val="1"/>
        <w:ind w:firstLine="851"/>
        <w:jc w:val="both"/>
        <w:rPr>
          <w:sz w:val="28"/>
        </w:rPr>
      </w:pPr>
      <w:r>
        <w:rPr>
          <w:b w:val="1"/>
          <w:sz w:val="28"/>
        </w:rPr>
        <w:t>Широкое просвещение:</w:t>
      </w:r>
      <w:r>
        <w:rPr>
          <w:sz w:val="28"/>
        </w:rPr>
        <w:t xml:space="preserve"> Масштабное информирование населения и представителей предпринимательского сообщества о действующем законодательстве, а также об эффективных инструментах и механизмах защиты и реализации своих прав.</w:t>
      </w:r>
    </w:p>
    <w:p w14:paraId="BB000000">
      <w:pPr>
        <w:widowControl w:val="1"/>
        <w:ind w:firstLine="851"/>
        <w:jc w:val="both"/>
        <w:rPr>
          <w:sz w:val="28"/>
        </w:rPr>
      </w:pPr>
    </w:p>
    <w:p w14:paraId="BC000000">
      <w:pPr>
        <w:widowControl w:val="1"/>
        <w:ind w:firstLine="851"/>
        <w:jc w:val="both"/>
        <w:rPr>
          <w:sz w:val="28"/>
        </w:rPr>
      </w:pPr>
      <w:r>
        <w:rPr>
          <w:sz w:val="28"/>
        </w:rPr>
        <w:t>По состоянию на 2025 год в Республике Саха (Якутия) осуществляется действенный комплекс мер, призванный обеспечить полное соответствие Стратегии государственной политики Российской Федерации в области защиты прав потребителей на период до 2030 года, а также неукоснительное соблюдение обязательных требований, касающихся оборота товаров, подлежащих обязательной маркировке средствами идентификации.</w:t>
      </w:r>
    </w:p>
    <w:p w14:paraId="BD000000">
      <w:pPr>
        <w:widowControl w:val="1"/>
        <w:ind/>
        <w:jc w:val="both"/>
        <w:rPr>
          <w:sz w:val="28"/>
        </w:rPr>
      </w:pPr>
    </w:p>
    <w:p w14:paraId="BE000000">
      <w:pPr>
        <w:pStyle w:val="Style_4"/>
        <w:widowControl w:val="1"/>
        <w:numPr>
          <w:ilvl w:val="0"/>
          <w:numId w:val="4"/>
        </w:numPr>
        <w:tabs>
          <w:tab w:leader="none" w:pos="284" w:val="left"/>
        </w:tabs>
        <w:ind w:firstLine="851" w:left="0"/>
        <w:jc w:val="both"/>
        <w:rPr>
          <w:b w:val="1"/>
          <w:sz w:val="28"/>
        </w:rPr>
      </w:pPr>
      <w:r>
        <w:rPr>
          <w:b w:val="1"/>
          <w:sz w:val="28"/>
        </w:rPr>
        <w:t>Координация</w:t>
      </w:r>
      <w:r>
        <w:rPr>
          <w:b w:val="1"/>
          <w:sz w:val="28"/>
        </w:rPr>
        <w:t xml:space="preserve"> деятельности по защите прав </w:t>
      </w:r>
      <w:r>
        <w:rPr>
          <w:b w:val="1"/>
          <w:sz w:val="28"/>
        </w:rPr>
        <w:t>в Республике Саха (Якутия)</w:t>
      </w:r>
      <w:r>
        <w:rPr>
          <w:b w:val="1"/>
          <w:sz w:val="28"/>
        </w:rPr>
        <w:t>.</w:t>
      </w:r>
    </w:p>
    <w:p w14:paraId="BF000000">
      <w:pPr>
        <w:pStyle w:val="Style_4"/>
        <w:widowControl w:val="1"/>
        <w:ind w:firstLine="0" w:left="1436"/>
        <w:jc w:val="both"/>
        <w:rPr>
          <w:b w:val="1"/>
          <w:sz w:val="28"/>
        </w:rPr>
      </w:pPr>
    </w:p>
    <w:p w14:paraId="C0000000">
      <w:pPr>
        <w:widowControl w:val="1"/>
        <w:ind w:firstLine="851"/>
        <w:jc w:val="both"/>
        <w:rPr>
          <w:sz w:val="28"/>
        </w:rPr>
      </w:pPr>
      <w:r>
        <w:rPr>
          <w:sz w:val="28"/>
        </w:rPr>
        <w:t>Для обеспечения эффективного взаимодействия исполнительных органов государственной власти Республики Саха (Якутия), территориальных федеральных органов исполнительной власти Российской Федерации, территориального учреждения Банка России, правоохранительных органов, органов местного самоуправления и общественных объединений в сфере защиты прав потребителей, а также для создания благоприятных условий, способствующих реализации потребительских прав, просвещению населения и проведению региональной торговой и промышленной политики с учетом интересов потребителей, было утверждено Распоряжение Главы Республики Саха (Якутия) от 29 сентября 2017 года № 839-РГ «О межведомственном координационном совете при Главе Республике Саха (Якутия) по созданию благоприятных условий для обеспечения прав потребителей, просвещения населения в области прав потребителей, реализации региональной торговой и промышленной политики с учетом прав потребителей».</w:t>
      </w:r>
    </w:p>
    <w:p w14:paraId="C1000000">
      <w:pPr>
        <w:widowControl w:val="1"/>
        <w:ind w:firstLine="851"/>
        <w:jc w:val="both"/>
        <w:rPr>
          <w:sz w:val="28"/>
        </w:rPr>
      </w:pPr>
      <w:r>
        <w:rPr>
          <w:sz w:val="28"/>
        </w:rPr>
        <w:t>Председателем данного Совета является Глава Республики Саха (Якутия). В состав Совета включены представители органов исполнительной власти Республики Саха (Якутия), федеральных органов власти, действующих на территории республики, общественных организаций, а также органов местного самоуправления городского округа «город Якутск».</w:t>
      </w:r>
    </w:p>
    <w:p w14:paraId="C2000000">
      <w:pPr>
        <w:widowControl w:val="1"/>
        <w:ind w:firstLine="851"/>
        <w:jc w:val="both"/>
        <w:rPr>
          <w:sz w:val="28"/>
        </w:rPr>
      </w:pPr>
      <w:r>
        <w:rPr>
          <w:sz w:val="28"/>
        </w:rPr>
        <w:t>Заседания Совета проводятся по мере необходимости, но не реже одного раза в полугодие. Результаты заседаний оформляются протоколом, который подписывается председательствующим и секретарем Совета.</w:t>
      </w:r>
    </w:p>
    <w:p w14:paraId="C3000000">
      <w:pPr>
        <w:widowControl w:val="1"/>
        <w:ind w:firstLine="851"/>
        <w:jc w:val="both"/>
        <w:rPr>
          <w:sz w:val="28"/>
        </w:rPr>
      </w:pPr>
      <w:r>
        <w:rPr>
          <w:sz w:val="28"/>
        </w:rPr>
        <w:t>В соответствии с поручением Главы Республики Саха (Якутия) от 13.11.2025 г. № 1659-А3, направленным на оптимизацию координационных и совещательных (консультативных) органов, руководимых Главой Республики Саха (Якутия), инициирован проект распоряжения Правительства Республики Саха (Якутия) «О Межведомственном координационном совете при Правительстве Республики Саха (Якутия) по созданию благоприятных условий для обеспечения прав потребителей, просвещения населения в области прав потребителей, реализации региональной торговой и промышленной политики с учетом прав потребителей».</w:t>
      </w:r>
    </w:p>
    <w:p w14:paraId="C4000000">
      <w:pPr>
        <w:widowControl w:val="1"/>
        <w:ind w:firstLine="851"/>
        <w:jc w:val="both"/>
        <w:rPr>
          <w:sz w:val="28"/>
        </w:rPr>
      </w:pPr>
      <w:r>
        <w:rPr>
          <w:sz w:val="28"/>
        </w:rPr>
        <w:t>Основной целью данного проекта является передача полномочий Межведомственного координационного совета при Главе Республики Саха (Якутия) на уровень Правительства Республики Саха (Якутия). Это позволит оптимизировать управленческие процессы и ускорить принятие решений в сфере защиты прав потребителей.</w:t>
      </w:r>
    </w:p>
    <w:p w14:paraId="C5000000">
      <w:pPr>
        <w:widowControl w:val="1"/>
        <w:ind w:firstLine="851"/>
        <w:jc w:val="both"/>
        <w:rPr>
          <w:sz w:val="28"/>
        </w:rPr>
      </w:pPr>
      <w:r>
        <w:rPr>
          <w:sz w:val="28"/>
        </w:rPr>
        <w:t>Дополнительно, для эффективной координации деятельности по защите прав потребителей и обеспечения соблюдения обязательных требований при обороте товаров, подлежащих обязательной маркировке средствами идентификации, в Республике Саха (Якутия) функционируют следующие органы:</w:t>
      </w:r>
    </w:p>
    <w:p w14:paraId="C6000000">
      <w:pPr>
        <w:widowControl w:val="1"/>
        <w:numPr>
          <w:ilvl w:val="0"/>
          <w:numId w:val="5"/>
        </w:numPr>
        <w:ind w:firstLine="851" w:left="0"/>
        <w:jc w:val="both"/>
        <w:rPr>
          <w:sz w:val="28"/>
        </w:rPr>
      </w:pPr>
      <w:r>
        <w:rPr>
          <w:sz w:val="28"/>
        </w:rPr>
        <w:t>Межведомственная комиссия при Правительстве Республики Саха (Якутия) по вопросам развития потребительского рынка и регулирования производства товаров и услуг в Республике Саха (Якутия) (Распоряжение Правительства Республики Саха (Якутия) от 20 ноября 2014 года № 1349-р «О Межведомственной комиссии по вопросам развития потребительского рынка в Республике Саха (Якутия)»).</w:t>
      </w:r>
    </w:p>
    <w:p w14:paraId="C7000000">
      <w:pPr>
        <w:widowControl w:val="1"/>
        <w:numPr>
          <w:ilvl w:val="0"/>
          <w:numId w:val="5"/>
        </w:numPr>
        <w:ind w:firstLine="851" w:left="0"/>
        <w:jc w:val="both"/>
        <w:rPr>
          <w:sz w:val="28"/>
        </w:rPr>
      </w:pPr>
      <w:r>
        <w:rPr>
          <w:sz w:val="28"/>
        </w:rPr>
        <w:t>Комиссия по противодействию незаконному обороту промышленной продукции в Республике Саха (Якутия) (Указ Главы Республики Саха (Якутия) от 21 июля 2015 г. № 617 "О комиссии по противодействию незаконному обороту промышленной продукции в Республике Саха (Якутия)").</w:t>
      </w:r>
    </w:p>
    <w:p w14:paraId="C8000000">
      <w:pPr>
        <w:widowControl w:val="1"/>
        <w:numPr>
          <w:ilvl w:val="0"/>
          <w:numId w:val="5"/>
        </w:numPr>
        <w:ind w:firstLine="851" w:left="0"/>
        <w:jc w:val="both"/>
        <w:rPr>
          <w:sz w:val="28"/>
        </w:rPr>
      </w:pPr>
      <w:r>
        <w:rPr>
          <w:sz w:val="28"/>
        </w:rPr>
        <w:t>Межведомственная комиссия по обеспечению законности в сфере предпринимательской деятельности при Главе Республики Саха (Якутия) (Указ Главы Республики Саха (Якутия) от 28 января 2019 года № 350 «О межведомственной комиссии по обеспечению законности в сфере предпринимательской деятельности при Главе Республики Саха (Якутия)»).</w:t>
      </w:r>
    </w:p>
    <w:p w14:paraId="C9000000">
      <w:pPr>
        <w:widowControl w:val="1"/>
        <w:numPr>
          <w:ilvl w:val="0"/>
          <w:numId w:val="5"/>
        </w:numPr>
        <w:ind w:firstLine="851" w:left="0"/>
        <w:jc w:val="both"/>
        <w:rPr>
          <w:sz w:val="28"/>
        </w:rPr>
      </w:pPr>
      <w:r>
        <w:rPr>
          <w:sz w:val="28"/>
        </w:rPr>
        <w:t>Межведомственный оперативный штаб по контролю ситуации в части введения маркировки товаров средствами идентификации в Республике Саха (Якутия) (Распоряжение Правительства Республики Саха (Якутия) от 1 июля 2020 года № 577-р «О межведомственном оперативном штабе по контролю ситуации в части введения маркировки товаров средствами идентификации в Республике Саха (Якутия)»).</w:t>
      </w:r>
    </w:p>
    <w:p w14:paraId="CA000000">
      <w:pPr>
        <w:widowControl w:val="1"/>
        <w:ind/>
        <w:jc w:val="both"/>
        <w:rPr>
          <w:sz w:val="28"/>
        </w:rPr>
      </w:pPr>
    </w:p>
    <w:p w14:paraId="CB000000">
      <w:pPr>
        <w:ind w:firstLine="851"/>
        <w:contextualSpacing w:val="1"/>
        <w:jc w:val="both"/>
        <w:rPr>
          <w:b w:val="1"/>
          <w:sz w:val="28"/>
        </w:rPr>
      </w:pPr>
      <w:r>
        <w:rPr>
          <w:b w:val="1"/>
          <w:sz w:val="28"/>
        </w:rPr>
        <w:t>2</w:t>
      </w:r>
      <w:r>
        <w:rPr>
          <w:b w:val="1"/>
          <w:sz w:val="28"/>
        </w:rPr>
        <w:t>. Рассмотрение обращений граждан в области защиты прав потребителей и обращений потребителей поступающих Центр развития перспективных технологий (далее – ЦРПТ).</w:t>
      </w:r>
    </w:p>
    <w:p w14:paraId="CC000000">
      <w:pPr>
        <w:ind w:firstLine="851"/>
        <w:contextualSpacing w:val="1"/>
        <w:jc w:val="both"/>
        <w:rPr>
          <w:sz w:val="28"/>
        </w:rPr>
      </w:pPr>
    </w:p>
    <w:p w14:paraId="CD000000">
      <w:pPr>
        <w:pStyle w:val="Style_7"/>
        <w:spacing w:after="0" w:before="0"/>
        <w:ind w:firstLine="851"/>
        <w:jc w:val="both"/>
        <w:rPr>
          <w:sz w:val="28"/>
        </w:rPr>
      </w:pPr>
      <w:r>
        <w:rPr>
          <w:sz w:val="28"/>
        </w:rPr>
        <w:t>За период с 2023 по 2025 год Управлением Роспотребнадзора по Республике Саха (Якутия) было рассмотрено 4589 обращений граждан в сфере защиты прав потребителей, что демонстрирует рост на 36%.</w:t>
      </w:r>
    </w:p>
    <w:p w14:paraId="CE000000">
      <w:pPr>
        <w:pStyle w:val="Style_7"/>
        <w:spacing w:after="0" w:before="0"/>
        <w:ind w:firstLine="851"/>
        <w:jc w:val="both"/>
        <w:rPr>
          <w:sz w:val="28"/>
        </w:rPr>
      </w:pPr>
      <w:r>
        <w:rPr>
          <w:sz w:val="28"/>
        </w:rPr>
        <w:t>По результатам рассмотрения обращений, в 65% случаев были предоставлены необходимые разъяснения. 14% обращений были направлены в соответствующие инстанции по подведомственности. В 2% случаев поступившая информация послужила основанием для проведения контрольно-надзорных мероприятий. За указанный период было объявлено 390 предостережений, подано 48 исковых заявлений в интересах потребителей. Общая сумма денежных средств, присужденных потребителям по решениям суда, превысила 1 миллион рублей.</w:t>
      </w:r>
    </w:p>
    <w:p w14:paraId="CF000000">
      <w:pPr>
        <w:pStyle w:val="Style_7"/>
        <w:spacing w:after="0" w:before="0"/>
        <w:ind/>
        <w:jc w:val="both"/>
        <w:rPr>
          <w:sz w:val="28"/>
        </w:rPr>
      </w:pPr>
    </w:p>
    <w:p w14:paraId="D0000000">
      <w:pPr>
        <w:pStyle w:val="Style_7"/>
        <w:spacing w:after="0" w:before="0"/>
        <w:ind w:firstLine="567"/>
        <w:jc w:val="center"/>
        <w:rPr>
          <w:b w:val="1"/>
          <w:sz w:val="28"/>
        </w:rPr>
      </w:pPr>
      <w:r>
        <w:rPr>
          <w:b w:val="1"/>
          <w:sz w:val="28"/>
        </w:rPr>
        <w:t>Детализация по годам</w:t>
      </w:r>
    </w:p>
    <w:tbl>
      <w:tblPr>
        <w:tblStyle w:val="Style_8"/>
        <w:tblW w:type="auto" w:w="0"/>
        <w:jc w:val="center"/>
        <w:tblLayout w:type="fixed"/>
      </w:tblPr>
      <w:tblGrid>
        <w:gridCol w:w="1089"/>
        <w:gridCol w:w="1741"/>
        <w:gridCol w:w="1594"/>
        <w:gridCol w:w="2446"/>
        <w:gridCol w:w="2823"/>
        <w:gridCol w:w="2071"/>
        <w:gridCol w:w="1225"/>
      </w:tblGrid>
      <w:tr>
        <w:tc>
          <w:tcPr>
            <w:tcW w:type="dxa" w:w="1089"/>
            <w:vAlign w:val="center"/>
          </w:tcPr>
          <w:p w14:paraId="D1000000">
            <w:pPr>
              <w:ind/>
              <w:jc w:val="center"/>
              <w:rPr>
                <w:b w:val="1"/>
                <w:sz w:val="24"/>
              </w:rPr>
            </w:pPr>
            <w:r>
              <w:rPr>
                <w:b w:val="1"/>
                <w:sz w:val="24"/>
              </w:rPr>
              <w:t>Год</w:t>
            </w:r>
          </w:p>
        </w:tc>
        <w:tc>
          <w:tcPr>
            <w:tcW w:type="dxa" w:w="1741"/>
            <w:vAlign w:val="center"/>
          </w:tcPr>
          <w:p w14:paraId="D2000000">
            <w:pPr>
              <w:ind/>
              <w:jc w:val="center"/>
              <w:rPr>
                <w:b w:val="1"/>
                <w:sz w:val="24"/>
              </w:rPr>
            </w:pPr>
            <w:r>
              <w:rPr>
                <w:b w:val="1"/>
                <w:sz w:val="24"/>
              </w:rPr>
              <w:t>Всего обращений в сфере ЗПП</w:t>
            </w:r>
          </w:p>
        </w:tc>
        <w:tc>
          <w:tcPr>
            <w:tcW w:type="dxa" w:w="1594"/>
            <w:vAlign w:val="center"/>
          </w:tcPr>
          <w:p w14:paraId="D3000000">
            <w:pPr>
              <w:ind/>
              <w:jc w:val="center"/>
              <w:rPr>
                <w:b w:val="1"/>
                <w:sz w:val="24"/>
              </w:rPr>
            </w:pPr>
            <w:r>
              <w:rPr>
                <w:b w:val="1"/>
                <w:sz w:val="24"/>
              </w:rPr>
              <w:t>Даны разъяснения</w:t>
            </w:r>
          </w:p>
        </w:tc>
        <w:tc>
          <w:tcPr>
            <w:tcW w:type="dxa" w:w="2446"/>
            <w:vAlign w:val="center"/>
          </w:tcPr>
          <w:p w14:paraId="D4000000">
            <w:pPr>
              <w:ind/>
              <w:jc w:val="center"/>
              <w:rPr>
                <w:b w:val="1"/>
                <w:sz w:val="24"/>
              </w:rPr>
            </w:pPr>
            <w:r>
              <w:rPr>
                <w:b w:val="1"/>
                <w:sz w:val="24"/>
              </w:rPr>
              <w:t>Направлены по подведомственность</w:t>
            </w:r>
          </w:p>
        </w:tc>
        <w:tc>
          <w:tcPr>
            <w:tcW w:type="dxa" w:w="2823"/>
            <w:vAlign w:val="center"/>
          </w:tcPr>
          <w:p w14:paraId="D5000000">
            <w:pPr>
              <w:ind/>
              <w:jc w:val="center"/>
              <w:rPr>
                <w:b w:val="1"/>
                <w:sz w:val="24"/>
              </w:rPr>
            </w:pPr>
            <w:r>
              <w:rPr>
                <w:b w:val="1"/>
                <w:sz w:val="24"/>
              </w:rPr>
              <w:t>Стали основанием для проведения КНМ</w:t>
            </w:r>
          </w:p>
        </w:tc>
        <w:tc>
          <w:tcPr>
            <w:tcW w:type="dxa" w:w="2071"/>
            <w:vAlign w:val="center"/>
          </w:tcPr>
          <w:p w14:paraId="D6000000">
            <w:pPr>
              <w:ind/>
              <w:jc w:val="center"/>
              <w:rPr>
                <w:b w:val="1"/>
                <w:sz w:val="24"/>
              </w:rPr>
            </w:pPr>
            <w:r>
              <w:rPr>
                <w:b w:val="1"/>
                <w:sz w:val="24"/>
              </w:rPr>
              <w:t>Объявлено предостережение</w:t>
            </w:r>
          </w:p>
        </w:tc>
        <w:tc>
          <w:tcPr>
            <w:tcW w:type="dxa" w:w="1225"/>
            <w:vAlign w:val="center"/>
          </w:tcPr>
          <w:p w14:paraId="D7000000">
            <w:pPr>
              <w:ind/>
              <w:jc w:val="center"/>
              <w:rPr>
                <w:b w:val="1"/>
                <w:sz w:val="24"/>
              </w:rPr>
            </w:pPr>
            <w:r>
              <w:rPr>
                <w:b w:val="1"/>
                <w:sz w:val="24"/>
              </w:rPr>
              <w:t>Подано исков</w:t>
            </w:r>
          </w:p>
        </w:tc>
      </w:tr>
      <w:tr>
        <w:tc>
          <w:tcPr>
            <w:tcW w:type="dxa" w:w="1089"/>
            <w:vAlign w:val="center"/>
          </w:tcPr>
          <w:p w14:paraId="D8000000">
            <w:pPr>
              <w:ind/>
              <w:jc w:val="center"/>
              <w:rPr>
                <w:sz w:val="24"/>
              </w:rPr>
            </w:pPr>
            <w:r>
              <w:rPr>
                <w:sz w:val="24"/>
              </w:rPr>
              <w:t>2023</w:t>
            </w:r>
          </w:p>
        </w:tc>
        <w:tc>
          <w:tcPr>
            <w:tcW w:type="dxa" w:w="1741"/>
            <w:vAlign w:val="center"/>
          </w:tcPr>
          <w:p w14:paraId="D9000000">
            <w:pPr>
              <w:ind/>
              <w:jc w:val="center"/>
              <w:rPr>
                <w:sz w:val="24"/>
              </w:rPr>
            </w:pPr>
            <w:r>
              <w:rPr>
                <w:sz w:val="24"/>
              </w:rPr>
              <w:t>1317</w:t>
            </w:r>
          </w:p>
        </w:tc>
        <w:tc>
          <w:tcPr>
            <w:tcW w:type="dxa" w:w="1594"/>
            <w:vAlign w:val="center"/>
          </w:tcPr>
          <w:p w14:paraId="DA000000">
            <w:pPr>
              <w:ind/>
              <w:jc w:val="center"/>
              <w:rPr>
                <w:sz w:val="24"/>
              </w:rPr>
            </w:pPr>
            <w:r>
              <w:rPr>
                <w:sz w:val="24"/>
              </w:rPr>
              <w:t>807</w:t>
            </w:r>
          </w:p>
        </w:tc>
        <w:tc>
          <w:tcPr>
            <w:tcW w:type="dxa" w:w="2446"/>
            <w:vAlign w:val="center"/>
          </w:tcPr>
          <w:p w14:paraId="DB000000">
            <w:pPr>
              <w:ind/>
              <w:jc w:val="center"/>
              <w:rPr>
                <w:sz w:val="24"/>
              </w:rPr>
            </w:pPr>
            <w:r>
              <w:rPr>
                <w:sz w:val="24"/>
              </w:rPr>
              <w:t>263</w:t>
            </w:r>
          </w:p>
        </w:tc>
        <w:tc>
          <w:tcPr>
            <w:tcW w:type="dxa" w:w="2823"/>
            <w:vAlign w:val="center"/>
          </w:tcPr>
          <w:p w14:paraId="DC000000">
            <w:pPr>
              <w:ind/>
              <w:jc w:val="center"/>
              <w:rPr>
                <w:sz w:val="24"/>
              </w:rPr>
            </w:pPr>
            <w:r>
              <w:rPr>
                <w:sz w:val="24"/>
              </w:rPr>
              <w:t>63</w:t>
            </w:r>
          </w:p>
        </w:tc>
        <w:tc>
          <w:tcPr>
            <w:tcW w:type="dxa" w:w="2071"/>
            <w:vAlign w:val="center"/>
          </w:tcPr>
          <w:p w14:paraId="DD000000">
            <w:pPr>
              <w:ind/>
              <w:jc w:val="center"/>
              <w:rPr>
                <w:sz w:val="24"/>
              </w:rPr>
            </w:pPr>
            <w:r>
              <w:rPr>
                <w:sz w:val="24"/>
              </w:rPr>
              <w:t>147</w:t>
            </w:r>
          </w:p>
        </w:tc>
        <w:tc>
          <w:tcPr>
            <w:tcW w:type="dxa" w:w="1225"/>
            <w:vAlign w:val="center"/>
          </w:tcPr>
          <w:p w14:paraId="DE000000">
            <w:pPr>
              <w:ind/>
              <w:jc w:val="center"/>
              <w:rPr>
                <w:sz w:val="24"/>
              </w:rPr>
            </w:pPr>
            <w:r>
              <w:rPr>
                <w:sz w:val="24"/>
              </w:rPr>
              <w:t>22</w:t>
            </w:r>
          </w:p>
        </w:tc>
      </w:tr>
      <w:tr>
        <w:tc>
          <w:tcPr>
            <w:tcW w:type="dxa" w:w="1089"/>
            <w:vAlign w:val="center"/>
          </w:tcPr>
          <w:p w14:paraId="DF000000">
            <w:pPr>
              <w:ind/>
              <w:jc w:val="center"/>
              <w:rPr>
                <w:sz w:val="24"/>
              </w:rPr>
            </w:pPr>
            <w:r>
              <w:rPr>
                <w:sz w:val="24"/>
              </w:rPr>
              <w:t>2024</w:t>
            </w:r>
          </w:p>
        </w:tc>
        <w:tc>
          <w:tcPr>
            <w:tcW w:type="dxa" w:w="1741"/>
            <w:vAlign w:val="center"/>
          </w:tcPr>
          <w:p w14:paraId="E0000000">
            <w:pPr>
              <w:ind/>
              <w:jc w:val="center"/>
              <w:rPr>
                <w:sz w:val="24"/>
              </w:rPr>
            </w:pPr>
            <w:r>
              <w:rPr>
                <w:sz w:val="24"/>
              </w:rPr>
              <w:t>1387</w:t>
            </w:r>
          </w:p>
        </w:tc>
        <w:tc>
          <w:tcPr>
            <w:tcW w:type="dxa" w:w="1594"/>
            <w:vAlign w:val="center"/>
          </w:tcPr>
          <w:p w14:paraId="E1000000">
            <w:pPr>
              <w:ind/>
              <w:jc w:val="center"/>
              <w:rPr>
                <w:sz w:val="24"/>
              </w:rPr>
            </w:pPr>
            <w:r>
              <w:rPr>
                <w:sz w:val="24"/>
              </w:rPr>
              <w:t>732</w:t>
            </w:r>
          </w:p>
        </w:tc>
        <w:tc>
          <w:tcPr>
            <w:tcW w:type="dxa" w:w="2446"/>
            <w:vAlign w:val="center"/>
          </w:tcPr>
          <w:p w14:paraId="E2000000">
            <w:pPr>
              <w:ind/>
              <w:jc w:val="center"/>
              <w:rPr>
                <w:sz w:val="24"/>
              </w:rPr>
            </w:pPr>
            <w:r>
              <w:rPr>
                <w:sz w:val="24"/>
              </w:rPr>
              <w:t>158</w:t>
            </w:r>
          </w:p>
        </w:tc>
        <w:tc>
          <w:tcPr>
            <w:tcW w:type="dxa" w:w="2823"/>
            <w:vAlign w:val="center"/>
          </w:tcPr>
          <w:p w14:paraId="E3000000">
            <w:pPr>
              <w:ind/>
              <w:jc w:val="center"/>
              <w:rPr>
                <w:sz w:val="24"/>
              </w:rPr>
            </w:pPr>
            <w:r>
              <w:rPr>
                <w:sz w:val="24"/>
              </w:rPr>
              <w:t>37</w:t>
            </w:r>
          </w:p>
        </w:tc>
        <w:tc>
          <w:tcPr>
            <w:tcW w:type="dxa" w:w="2071"/>
            <w:vAlign w:val="center"/>
          </w:tcPr>
          <w:p w14:paraId="E4000000">
            <w:pPr>
              <w:ind/>
              <w:jc w:val="center"/>
              <w:rPr>
                <w:sz w:val="24"/>
              </w:rPr>
            </w:pPr>
            <w:r>
              <w:rPr>
                <w:sz w:val="24"/>
              </w:rPr>
              <w:t>189</w:t>
            </w:r>
          </w:p>
        </w:tc>
        <w:tc>
          <w:tcPr>
            <w:tcW w:type="dxa" w:w="1225"/>
            <w:vAlign w:val="center"/>
          </w:tcPr>
          <w:p w14:paraId="E5000000">
            <w:pPr>
              <w:ind/>
              <w:jc w:val="center"/>
              <w:rPr>
                <w:sz w:val="24"/>
              </w:rPr>
            </w:pPr>
            <w:r>
              <w:rPr>
                <w:sz w:val="24"/>
              </w:rPr>
              <w:t>13</w:t>
            </w:r>
          </w:p>
        </w:tc>
      </w:tr>
      <w:tr>
        <w:tc>
          <w:tcPr>
            <w:tcW w:type="dxa" w:w="1089"/>
            <w:vAlign w:val="center"/>
          </w:tcPr>
          <w:p w14:paraId="E6000000">
            <w:pPr>
              <w:ind/>
              <w:jc w:val="center"/>
              <w:rPr>
                <w:sz w:val="24"/>
              </w:rPr>
            </w:pPr>
            <w:r>
              <w:rPr>
                <w:sz w:val="24"/>
              </w:rPr>
              <w:t>2025</w:t>
            </w:r>
          </w:p>
        </w:tc>
        <w:tc>
          <w:tcPr>
            <w:tcW w:type="dxa" w:w="1741"/>
            <w:vAlign w:val="center"/>
          </w:tcPr>
          <w:p w14:paraId="E7000000">
            <w:pPr>
              <w:ind/>
              <w:jc w:val="center"/>
              <w:rPr>
                <w:sz w:val="24"/>
              </w:rPr>
            </w:pPr>
            <w:r>
              <w:rPr>
                <w:sz w:val="24"/>
              </w:rPr>
              <w:t>1885</w:t>
            </w:r>
          </w:p>
        </w:tc>
        <w:tc>
          <w:tcPr>
            <w:tcW w:type="dxa" w:w="1594"/>
            <w:vAlign w:val="center"/>
          </w:tcPr>
          <w:p w14:paraId="E8000000">
            <w:pPr>
              <w:ind/>
              <w:jc w:val="center"/>
              <w:rPr>
                <w:sz w:val="24"/>
              </w:rPr>
            </w:pPr>
            <w:r>
              <w:rPr>
                <w:sz w:val="24"/>
              </w:rPr>
              <w:t>1439</w:t>
            </w:r>
          </w:p>
        </w:tc>
        <w:tc>
          <w:tcPr>
            <w:tcW w:type="dxa" w:w="2446"/>
            <w:vAlign w:val="center"/>
          </w:tcPr>
          <w:p w14:paraId="E9000000">
            <w:pPr>
              <w:ind/>
              <w:jc w:val="center"/>
              <w:rPr>
                <w:sz w:val="24"/>
              </w:rPr>
            </w:pPr>
            <w:r>
              <w:rPr>
                <w:sz w:val="24"/>
              </w:rPr>
              <w:t>210</w:t>
            </w:r>
          </w:p>
        </w:tc>
        <w:tc>
          <w:tcPr>
            <w:tcW w:type="dxa" w:w="2823"/>
            <w:vAlign w:val="center"/>
          </w:tcPr>
          <w:p w14:paraId="EA000000">
            <w:pPr>
              <w:ind/>
              <w:jc w:val="center"/>
              <w:rPr>
                <w:sz w:val="24"/>
              </w:rPr>
            </w:pPr>
            <w:r>
              <w:rPr>
                <w:sz w:val="24"/>
              </w:rPr>
              <w:t>5</w:t>
            </w:r>
          </w:p>
        </w:tc>
        <w:tc>
          <w:tcPr>
            <w:tcW w:type="dxa" w:w="2071"/>
            <w:vAlign w:val="center"/>
          </w:tcPr>
          <w:p w14:paraId="EB000000">
            <w:pPr>
              <w:ind/>
              <w:jc w:val="center"/>
              <w:rPr>
                <w:sz w:val="24"/>
              </w:rPr>
            </w:pPr>
            <w:r>
              <w:rPr>
                <w:sz w:val="24"/>
              </w:rPr>
              <w:t>54</w:t>
            </w:r>
          </w:p>
        </w:tc>
        <w:tc>
          <w:tcPr>
            <w:tcW w:type="dxa" w:w="1225"/>
            <w:vAlign w:val="center"/>
          </w:tcPr>
          <w:p w14:paraId="EC000000">
            <w:pPr>
              <w:ind/>
              <w:jc w:val="center"/>
              <w:rPr>
                <w:sz w:val="24"/>
              </w:rPr>
            </w:pPr>
            <w:r>
              <w:rPr>
                <w:sz w:val="24"/>
              </w:rPr>
              <w:t>13</w:t>
            </w:r>
          </w:p>
        </w:tc>
      </w:tr>
      <w:tr>
        <w:tc>
          <w:tcPr>
            <w:tcW w:type="dxa" w:w="1089"/>
            <w:vAlign w:val="center"/>
          </w:tcPr>
          <w:p w14:paraId="ED000000">
            <w:pPr>
              <w:ind/>
              <w:jc w:val="center"/>
              <w:rPr>
                <w:b w:val="1"/>
                <w:sz w:val="24"/>
              </w:rPr>
            </w:pPr>
            <w:r>
              <w:rPr>
                <w:b w:val="1"/>
                <w:sz w:val="24"/>
              </w:rPr>
              <w:t>ИТОГО</w:t>
            </w:r>
          </w:p>
        </w:tc>
        <w:tc>
          <w:tcPr>
            <w:tcW w:type="dxa" w:w="1741"/>
            <w:vAlign w:val="center"/>
          </w:tcPr>
          <w:p w14:paraId="EE000000">
            <w:pPr>
              <w:ind/>
              <w:jc w:val="center"/>
              <w:rPr>
                <w:b w:val="1"/>
                <w:sz w:val="24"/>
              </w:rPr>
            </w:pPr>
            <w:r>
              <w:rPr>
                <w:b w:val="1"/>
                <w:sz w:val="24"/>
              </w:rPr>
              <w:t>4589</w:t>
            </w:r>
          </w:p>
        </w:tc>
        <w:tc>
          <w:tcPr>
            <w:tcW w:type="dxa" w:w="1594"/>
            <w:vAlign w:val="center"/>
          </w:tcPr>
          <w:p w14:paraId="EF000000">
            <w:pPr>
              <w:ind/>
              <w:jc w:val="center"/>
              <w:rPr>
                <w:b w:val="1"/>
                <w:sz w:val="24"/>
              </w:rPr>
            </w:pPr>
            <w:r>
              <w:rPr>
                <w:b w:val="1"/>
                <w:sz w:val="24"/>
              </w:rPr>
              <w:t>2978</w:t>
            </w:r>
          </w:p>
        </w:tc>
        <w:tc>
          <w:tcPr>
            <w:tcW w:type="dxa" w:w="2446"/>
            <w:vAlign w:val="center"/>
          </w:tcPr>
          <w:p w14:paraId="F0000000">
            <w:pPr>
              <w:ind/>
              <w:jc w:val="center"/>
              <w:rPr>
                <w:b w:val="1"/>
                <w:sz w:val="24"/>
              </w:rPr>
            </w:pPr>
            <w:r>
              <w:rPr>
                <w:b w:val="1"/>
                <w:sz w:val="24"/>
              </w:rPr>
              <w:t>631</w:t>
            </w:r>
          </w:p>
        </w:tc>
        <w:tc>
          <w:tcPr>
            <w:tcW w:type="dxa" w:w="2823"/>
            <w:vAlign w:val="center"/>
          </w:tcPr>
          <w:p w14:paraId="F1000000">
            <w:pPr>
              <w:ind/>
              <w:jc w:val="center"/>
              <w:rPr>
                <w:b w:val="1"/>
                <w:sz w:val="24"/>
              </w:rPr>
            </w:pPr>
            <w:r>
              <w:rPr>
                <w:b w:val="1"/>
                <w:sz w:val="24"/>
              </w:rPr>
              <w:t>105</w:t>
            </w:r>
          </w:p>
        </w:tc>
        <w:tc>
          <w:tcPr>
            <w:tcW w:type="dxa" w:w="2071"/>
            <w:vAlign w:val="center"/>
          </w:tcPr>
          <w:p w14:paraId="F2000000">
            <w:pPr>
              <w:ind/>
              <w:jc w:val="center"/>
              <w:rPr>
                <w:b w:val="1"/>
                <w:sz w:val="24"/>
              </w:rPr>
            </w:pPr>
            <w:r>
              <w:rPr>
                <w:b w:val="1"/>
                <w:sz w:val="24"/>
              </w:rPr>
              <w:t>390</w:t>
            </w:r>
          </w:p>
        </w:tc>
        <w:tc>
          <w:tcPr>
            <w:tcW w:type="dxa" w:w="1225"/>
            <w:vAlign w:val="center"/>
          </w:tcPr>
          <w:p w14:paraId="F3000000">
            <w:pPr>
              <w:ind/>
              <w:jc w:val="center"/>
              <w:rPr>
                <w:b w:val="1"/>
                <w:sz w:val="24"/>
              </w:rPr>
            </w:pPr>
            <w:r>
              <w:rPr>
                <w:b w:val="1"/>
                <w:sz w:val="24"/>
              </w:rPr>
              <w:t>48</w:t>
            </w:r>
          </w:p>
        </w:tc>
      </w:tr>
    </w:tbl>
    <w:p w14:paraId="F4000000">
      <w:pPr>
        <w:ind w:firstLine="851"/>
        <w:jc w:val="both"/>
        <w:rPr>
          <w:sz w:val="28"/>
        </w:rPr>
      </w:pPr>
    </w:p>
    <w:p w14:paraId="F5000000">
      <w:pPr>
        <w:ind w:firstLine="851"/>
        <w:jc w:val="both"/>
        <w:rPr>
          <w:sz w:val="28"/>
        </w:rPr>
      </w:pPr>
      <w:r>
        <w:rPr>
          <w:sz w:val="28"/>
        </w:rPr>
        <w:t>Анализ структуры обращений за 2023-2025 годы показывает, что наибольшее количество жалоб (54%) связано с нарушениями прав потребителей при оказании услуг, в то время как вопросы нарушений в сфере розничной торговли составили 46%.</w:t>
      </w:r>
    </w:p>
    <w:p w14:paraId="F6000000">
      <w:pPr>
        <w:ind w:firstLine="851"/>
        <w:jc w:val="both"/>
        <w:rPr>
          <w:sz w:val="28"/>
        </w:rPr>
      </w:pPr>
      <w:r>
        <w:rPr>
          <w:sz w:val="28"/>
        </w:rPr>
        <w:t>В рамках сферы услуг, наибольший удельный вес обращений приходится на деятельность на финансовом рынке (30,8%), бытовые услуги (14%) и услуги связи (12,4%).</w:t>
      </w:r>
    </w:p>
    <w:p w14:paraId="F7000000">
      <w:pPr>
        <w:ind w:firstLine="851"/>
        <w:jc w:val="both"/>
        <w:rPr>
          <w:sz w:val="28"/>
        </w:rPr>
      </w:pPr>
    </w:p>
    <w:p w14:paraId="F8000000">
      <w:pPr>
        <w:widowControl w:val="1"/>
        <w:ind w:firstLine="851"/>
        <w:jc w:val="both"/>
        <w:rPr>
          <w:sz w:val="28"/>
        </w:rPr>
      </w:pPr>
      <w:r>
        <w:rPr>
          <w:b w:val="1"/>
          <w:sz w:val="28"/>
        </w:rPr>
        <w:t>Обработка обращений граждан, поступающих из Центра развития перспективных технологий.</w:t>
      </w:r>
    </w:p>
    <w:p w14:paraId="F9000000">
      <w:pPr>
        <w:widowControl w:val="1"/>
        <w:ind w:firstLine="851"/>
        <w:jc w:val="both"/>
        <w:rPr>
          <w:sz w:val="28"/>
        </w:rPr>
      </w:pPr>
    </w:p>
    <w:p w14:paraId="FA000000">
      <w:pPr>
        <w:widowControl w:val="1"/>
        <w:ind w:firstLine="851"/>
        <w:jc w:val="both"/>
        <w:rPr>
          <w:sz w:val="28"/>
        </w:rPr>
      </w:pPr>
      <w:r>
        <w:rPr>
          <w:sz w:val="28"/>
        </w:rPr>
        <w:t xml:space="preserve">Центр развития перспективных технологий (ЦРПТ) был учрежден в 2017 году с целью реализации масштабных проектов в сфере цифровой экономики и создания соответствующей технологической инфраструктуры. Одной из флагманских инициатив ЦРПТ является формирование и внедрение системы цифровой маркировки и </w:t>
      </w:r>
      <w:r>
        <w:rPr>
          <w:sz w:val="28"/>
        </w:rPr>
        <w:t>прослеживаемости</w:t>
      </w:r>
      <w:r>
        <w:rPr>
          <w:sz w:val="28"/>
        </w:rPr>
        <w:t xml:space="preserve"> товаров под названием «Честный знак».</w:t>
      </w:r>
    </w:p>
    <w:p w14:paraId="FB000000">
      <w:pPr>
        <w:widowControl w:val="1"/>
        <w:ind w:firstLine="851"/>
        <w:jc w:val="both"/>
        <w:rPr>
          <w:sz w:val="28"/>
        </w:rPr>
      </w:pPr>
      <w:r>
        <w:rPr>
          <w:sz w:val="28"/>
        </w:rPr>
        <w:t xml:space="preserve">Мобильное приложение «Честный ЗНАК» представляет собой бесплатный инструмент, призванный стать основным помощником потребителя при проверке подлинности и качества товаров непосредственно в торговых точках. Приложение позволяет осуществлять сканирование кодов </w:t>
      </w:r>
      <w:r>
        <w:rPr>
          <w:sz w:val="28"/>
        </w:rPr>
        <w:t>DataMatrix</w:t>
      </w:r>
      <w:r>
        <w:rPr>
          <w:sz w:val="28"/>
        </w:rPr>
        <w:t>, размещенных на упаковке товаров, и получать исчерпывающую информацию об их подлинности, истории распространения от производителя до розничной точки, а также о составе продукта. Кроме того, пользователи имеют возможность сообщать о выявленных нарушениях. Данное приложение является эффективным и доступным средством защиты от приобретения контрафактной продукции. Приложение разработано с учетом совместимости со всеми основными операционными системами.</w:t>
      </w:r>
    </w:p>
    <w:p w14:paraId="FC000000">
      <w:pPr>
        <w:widowControl w:val="1"/>
        <w:ind w:firstLine="851"/>
        <w:jc w:val="both"/>
        <w:rPr>
          <w:sz w:val="28"/>
        </w:rPr>
      </w:pPr>
      <w:r>
        <w:rPr>
          <w:sz w:val="28"/>
        </w:rPr>
        <w:t>Возможности мобильного приложения «Честный ЗНАК» включают:</w:t>
      </w:r>
    </w:p>
    <w:p w14:paraId="FD000000">
      <w:pPr>
        <w:widowControl w:val="1"/>
        <w:numPr>
          <w:ilvl w:val="0"/>
          <w:numId w:val="6"/>
        </w:numPr>
        <w:tabs>
          <w:tab w:leader="none" w:pos="284" w:val="left"/>
        </w:tabs>
        <w:ind w:firstLine="0" w:left="0"/>
        <w:jc w:val="both"/>
        <w:rPr>
          <w:sz w:val="28"/>
        </w:rPr>
      </w:pPr>
      <w:r>
        <w:rPr>
          <w:sz w:val="28"/>
        </w:rPr>
        <w:t>Проверку легальности происхождения и качества товара.</w:t>
      </w:r>
    </w:p>
    <w:p w14:paraId="FE000000">
      <w:pPr>
        <w:widowControl w:val="1"/>
        <w:numPr>
          <w:ilvl w:val="0"/>
          <w:numId w:val="6"/>
        </w:numPr>
        <w:tabs>
          <w:tab w:leader="none" w:pos="284" w:val="left"/>
        </w:tabs>
        <w:ind w:firstLine="0" w:left="0"/>
        <w:jc w:val="both"/>
        <w:rPr>
          <w:sz w:val="28"/>
        </w:rPr>
      </w:pPr>
      <w:r>
        <w:rPr>
          <w:sz w:val="28"/>
        </w:rPr>
        <w:t>Получение сведений о реальном сроке годности и составе продукта.</w:t>
      </w:r>
    </w:p>
    <w:p w14:paraId="FF000000">
      <w:pPr>
        <w:widowControl w:val="1"/>
        <w:numPr>
          <w:ilvl w:val="0"/>
          <w:numId w:val="6"/>
        </w:numPr>
        <w:tabs>
          <w:tab w:leader="none" w:pos="284" w:val="left"/>
        </w:tabs>
        <w:ind w:firstLine="0" w:left="0"/>
        <w:jc w:val="both"/>
        <w:rPr>
          <w:sz w:val="28"/>
        </w:rPr>
      </w:pPr>
      <w:r>
        <w:rPr>
          <w:sz w:val="28"/>
        </w:rPr>
        <w:t>Оперативное информирование о нарушениях.</w:t>
      </w:r>
    </w:p>
    <w:p w14:paraId="00010000">
      <w:pPr>
        <w:widowControl w:val="1"/>
        <w:ind w:firstLine="851"/>
        <w:jc w:val="both"/>
        <w:rPr>
          <w:sz w:val="28"/>
        </w:rPr>
      </w:pPr>
    </w:p>
    <w:p w14:paraId="01010000">
      <w:pPr>
        <w:widowControl w:val="1"/>
        <w:ind w:firstLine="851"/>
        <w:jc w:val="both"/>
        <w:rPr>
          <w:sz w:val="28"/>
        </w:rPr>
      </w:pPr>
      <w:r>
        <w:rPr>
          <w:sz w:val="28"/>
        </w:rPr>
        <w:t>В течение 2025 года Управление Роспотребнадзора по Республике Саха (Якутия) получило 191 обращение от граждан, поступившее через ГИС МТ. Все поступившие обращения были подвергнуты тщательному анализу и проработке. По результатам рассмотрения, в 132 случаях (что составляет 69% от общего числа обращений) были предприняты соответствующие меры реагирования, предусмотренные полномочиями ведомства, в соответствии с положениями Федерального закона от 31.07.2020 № 248-ФЗ «О государственном контроле (надзоре) и муниципальном контроле в Российской Федерации».</w:t>
      </w:r>
    </w:p>
    <w:p w14:paraId="02010000">
      <w:pPr>
        <w:widowControl w:val="1"/>
        <w:ind w:firstLine="851"/>
        <w:jc w:val="both"/>
        <w:rPr>
          <w:sz w:val="28"/>
        </w:rPr>
      </w:pPr>
    </w:p>
    <w:p w14:paraId="03010000">
      <w:pPr>
        <w:widowControl w:val="1"/>
        <w:ind w:firstLine="851"/>
        <w:jc w:val="both"/>
        <w:rPr>
          <w:sz w:val="28"/>
        </w:rPr>
      </w:pPr>
      <w:r>
        <w:rPr>
          <w:sz w:val="28"/>
        </w:rPr>
        <w:t>Наиболее часто обращения были связаны с следующими категориями товаров:</w:t>
      </w:r>
    </w:p>
    <w:p w14:paraId="04010000">
      <w:pPr>
        <w:widowControl w:val="1"/>
        <w:numPr>
          <w:ilvl w:val="0"/>
          <w:numId w:val="7"/>
        </w:numPr>
        <w:tabs>
          <w:tab w:leader="none" w:pos="284" w:val="left"/>
        </w:tabs>
        <w:ind w:firstLine="0" w:left="0"/>
        <w:jc w:val="both"/>
        <w:rPr>
          <w:sz w:val="28"/>
        </w:rPr>
      </w:pPr>
      <w:r>
        <w:rPr>
          <w:sz w:val="28"/>
        </w:rPr>
        <w:t>Молочная продукция – 82 обращения (43% от общего числа).</w:t>
      </w:r>
    </w:p>
    <w:p w14:paraId="05010000">
      <w:pPr>
        <w:widowControl w:val="1"/>
        <w:numPr>
          <w:ilvl w:val="0"/>
          <w:numId w:val="7"/>
        </w:numPr>
        <w:tabs>
          <w:tab w:leader="none" w:pos="284" w:val="left"/>
        </w:tabs>
        <w:ind w:firstLine="0" w:left="0"/>
        <w:jc w:val="both"/>
        <w:rPr>
          <w:sz w:val="28"/>
        </w:rPr>
      </w:pPr>
      <w:r>
        <w:rPr>
          <w:sz w:val="28"/>
        </w:rPr>
        <w:t>Соковая продукция и безалкогольные напитки – 54 обращения (28% от общего числа).</w:t>
      </w:r>
    </w:p>
    <w:p w14:paraId="06010000">
      <w:pPr>
        <w:widowControl w:val="1"/>
        <w:numPr>
          <w:ilvl w:val="0"/>
          <w:numId w:val="7"/>
        </w:numPr>
        <w:tabs>
          <w:tab w:leader="none" w:pos="284" w:val="left"/>
        </w:tabs>
        <w:ind w:firstLine="0" w:left="0"/>
        <w:jc w:val="both"/>
        <w:rPr>
          <w:sz w:val="28"/>
        </w:rPr>
      </w:pPr>
      <w:r>
        <w:rPr>
          <w:sz w:val="28"/>
        </w:rPr>
        <w:t>Никотинсодержащая</w:t>
      </w:r>
      <w:r>
        <w:rPr>
          <w:sz w:val="28"/>
        </w:rPr>
        <w:t xml:space="preserve"> продукция – 17 обращений (9% от общего числа).</w:t>
      </w:r>
    </w:p>
    <w:p w14:paraId="07010000">
      <w:pPr>
        <w:widowControl w:val="1"/>
        <w:ind w:firstLine="851"/>
        <w:jc w:val="both"/>
        <w:rPr>
          <w:sz w:val="28"/>
        </w:rPr>
      </w:pPr>
    </w:p>
    <w:p w14:paraId="08010000">
      <w:pPr>
        <w:widowControl w:val="1"/>
        <w:ind w:firstLine="851"/>
        <w:jc w:val="both"/>
        <w:rPr>
          <w:sz w:val="28"/>
        </w:rPr>
      </w:pPr>
      <w:r>
        <w:rPr>
          <w:sz w:val="28"/>
        </w:rPr>
        <w:t>Основная доля обращений была зарегистрирована от жителей следующих населенных пунктов:</w:t>
      </w:r>
    </w:p>
    <w:p w14:paraId="09010000">
      <w:pPr>
        <w:widowControl w:val="1"/>
        <w:tabs>
          <w:tab w:leader="none" w:pos="284" w:val="left"/>
        </w:tabs>
        <w:ind/>
        <w:jc w:val="both"/>
        <w:rPr>
          <w:sz w:val="28"/>
        </w:rPr>
      </w:pPr>
      <w:r>
        <w:rPr>
          <w:sz w:val="28"/>
        </w:rPr>
        <w:t>- Город Якутск – 112 обращений (58,6% от общего числа).</w:t>
      </w:r>
    </w:p>
    <w:p w14:paraId="0A010000">
      <w:pPr>
        <w:widowControl w:val="1"/>
        <w:tabs>
          <w:tab w:leader="none" w:pos="284" w:val="left"/>
        </w:tabs>
        <w:ind/>
        <w:jc w:val="both"/>
        <w:rPr>
          <w:sz w:val="28"/>
        </w:rPr>
      </w:pPr>
      <w:r>
        <w:rPr>
          <w:sz w:val="28"/>
        </w:rPr>
        <w:t>- Город Мирный – 26 обращений.</w:t>
      </w:r>
    </w:p>
    <w:p w14:paraId="0B010000">
      <w:pPr>
        <w:widowControl w:val="1"/>
        <w:tabs>
          <w:tab w:leader="none" w:pos="284" w:val="left"/>
        </w:tabs>
        <w:ind/>
        <w:jc w:val="both"/>
        <w:rPr>
          <w:sz w:val="28"/>
        </w:rPr>
      </w:pPr>
      <w:r>
        <w:rPr>
          <w:sz w:val="28"/>
        </w:rPr>
        <w:t>- Город Нерюнгри – 11 обращений.</w:t>
      </w:r>
    </w:p>
    <w:p w14:paraId="0C010000">
      <w:pPr>
        <w:widowControl w:val="1"/>
        <w:ind w:firstLine="851"/>
        <w:jc w:val="both"/>
        <w:rPr>
          <w:sz w:val="28"/>
        </w:rPr>
      </w:pPr>
    </w:p>
    <w:p w14:paraId="0D010000">
      <w:pPr>
        <w:widowControl w:val="1"/>
        <w:ind w:firstLine="851"/>
        <w:jc w:val="both"/>
        <w:rPr>
          <w:b w:val="1"/>
          <w:sz w:val="28"/>
        </w:rPr>
      </w:pPr>
      <w:r>
        <w:rPr>
          <w:b w:val="1"/>
          <w:sz w:val="28"/>
        </w:rPr>
        <w:t>3</w:t>
      </w:r>
      <w:r>
        <w:rPr>
          <w:b w:val="1"/>
          <w:sz w:val="28"/>
        </w:rPr>
        <w:t>. Осуществление государственной политики, направленной на цифровизацию систем контроля</w:t>
      </w:r>
      <w:r>
        <w:rPr>
          <w:b w:val="1"/>
          <w:sz w:val="28"/>
        </w:rPr>
        <w:t xml:space="preserve"> за оборотом товаров</w:t>
      </w:r>
      <w:r>
        <w:rPr>
          <w:b w:val="1"/>
          <w:sz w:val="28"/>
        </w:rPr>
        <w:t xml:space="preserve"> и обеспечение прозрачности рынка.</w:t>
      </w:r>
    </w:p>
    <w:p w14:paraId="0E010000">
      <w:pPr>
        <w:pStyle w:val="Style_4"/>
        <w:widowControl w:val="1"/>
        <w:ind w:firstLine="0" w:left="851"/>
        <w:jc w:val="both"/>
        <w:rPr>
          <w:b w:val="1"/>
          <w:sz w:val="28"/>
        </w:rPr>
      </w:pPr>
    </w:p>
    <w:p w14:paraId="0F010000">
      <w:pPr>
        <w:pStyle w:val="Style_2"/>
        <w:ind w:firstLine="851"/>
        <w:jc w:val="both"/>
      </w:pPr>
      <w:r>
        <w:t>В настоящем времени приоритетное направление развития комплексной системы мер связано с развитием государственной информационной системы мониторинга за оборотом товаров, подлежащих обязательной маркировке средствами идентификации. Реализация мероприятий в рамках данной системы направлена на достижение следующих целей: обеспечение конечного потребителя безопасными товарами заявленного качества, выравнивание конкурентной среды и исключение нелегального оборота продукции.</w:t>
      </w:r>
    </w:p>
    <w:p w14:paraId="10010000">
      <w:pPr>
        <w:pStyle w:val="Style_2"/>
        <w:ind/>
        <w:jc w:val="both"/>
      </w:pPr>
    </w:p>
    <w:p w14:paraId="11010000">
      <w:pPr>
        <w:pStyle w:val="Style_2"/>
        <w:ind w:firstLine="851"/>
        <w:jc w:val="both"/>
      </w:pPr>
      <w:r>
        <w:t>По состоянию на конец 2025 года, благодаря внедрению ГИС МТ, зафиксировано блокирование более 3 миллиардов единиц небезопасных товаров на кассах страны. Отмечено 122-кратное снижение объемов реализации просроченной пищевой продукции гражданам. В отраслях, где функционирует ГИС МТ, общий уровень нелегального оборота товаров снизился с 26% до 9%. Система «Честный знак» с момента своего запуска обеспечила поступление в бюджет дополнительных налогов и сборов на сумму порядка 1,8 триллиона рублей. Легальный бизнес, в свою очередь, получил более 1 триллиона рублей за счет вытеснения нелегальной продукции с рынка.</w:t>
      </w:r>
    </w:p>
    <w:p w14:paraId="12010000">
      <w:pPr>
        <w:pStyle w:val="Style_2"/>
      </w:pPr>
    </w:p>
    <w:p w14:paraId="13010000">
      <w:pPr>
        <w:pStyle w:val="Style_2"/>
        <w:rPr>
          <w:b w:val="1"/>
        </w:rPr>
      </w:pPr>
      <w:r>
        <w:rPr>
          <w:b w:val="1"/>
        </w:rPr>
        <w:t>Ключевые задачи, решаемые ГИС МТ, включают:</w:t>
      </w:r>
    </w:p>
    <w:p w14:paraId="14010000">
      <w:pPr>
        <w:pStyle w:val="Style_2"/>
      </w:pPr>
      <w:r>
        <w:t>- Противодействие обороту контрафактной продукции.</w:t>
      </w:r>
    </w:p>
    <w:p w14:paraId="15010000">
      <w:pPr>
        <w:pStyle w:val="Style_2"/>
      </w:pPr>
      <w:r>
        <w:t>- Защита прав потребителей.</w:t>
      </w:r>
    </w:p>
    <w:p w14:paraId="16010000">
      <w:pPr>
        <w:pStyle w:val="Style_2"/>
      </w:pPr>
      <w:r>
        <w:t>- Обеспечение защиты интересов добросовестного (легального) бизнеса.</w:t>
      </w:r>
    </w:p>
    <w:p w14:paraId="17010000">
      <w:pPr>
        <w:pStyle w:val="Style_2"/>
      </w:pPr>
      <w:r>
        <w:t>- Систематический сбор данных о логистике товародвижения.</w:t>
      </w:r>
    </w:p>
    <w:p w14:paraId="18010000">
      <w:pPr>
        <w:pStyle w:val="Style_2"/>
      </w:pPr>
    </w:p>
    <w:p w14:paraId="19010000">
      <w:pPr>
        <w:ind w:firstLine="851"/>
        <w:jc w:val="both"/>
        <w:rPr>
          <w:sz w:val="28"/>
        </w:rPr>
      </w:pPr>
      <w:r>
        <w:rPr>
          <w:sz w:val="28"/>
        </w:rPr>
        <w:t xml:space="preserve">На каждую единицу товара, подлежащего обязательной маркировке, наносится уникальный код </w:t>
      </w:r>
      <w:r>
        <w:rPr>
          <w:sz w:val="28"/>
        </w:rPr>
        <w:t>Data</w:t>
      </w:r>
      <w:r>
        <w:rPr>
          <w:sz w:val="28"/>
        </w:rPr>
        <w:t xml:space="preserve"> </w:t>
      </w:r>
      <w:r>
        <w:rPr>
          <w:sz w:val="28"/>
        </w:rPr>
        <w:t>Matrix</w:t>
      </w:r>
      <w:r>
        <w:rPr>
          <w:sz w:val="28"/>
        </w:rPr>
        <w:t>. Этот цифровой идентификатор несет в себе исчерпывающую и достоверную информацию об источнике, составе, сроке годности и иных ключевых характеристиках продукта.</w:t>
      </w:r>
    </w:p>
    <w:p w14:paraId="1A010000">
      <w:pPr>
        <w:ind w:firstLine="851"/>
        <w:jc w:val="both"/>
        <w:rPr>
          <w:sz w:val="28"/>
        </w:rPr>
      </w:pPr>
    </w:p>
    <w:p w14:paraId="1B010000">
      <w:pPr>
        <w:ind w:firstLine="851"/>
        <w:jc w:val="both"/>
        <w:rPr>
          <w:sz w:val="28"/>
        </w:rPr>
      </w:pPr>
      <w:r>
        <w:rPr>
          <w:sz w:val="28"/>
        </w:rPr>
        <w:t>Согласно данным Управления Федеральной службы по надзору в сфере защиты прав потребителей и благополучия человека по Республике Саха (Якутия), на сегодняшний день обя</w:t>
      </w:r>
      <w:r>
        <w:rPr>
          <w:sz w:val="28"/>
        </w:rPr>
        <w:t>зательной маркировке подлежат 52</w:t>
      </w:r>
      <w:r>
        <w:rPr>
          <w:sz w:val="28"/>
        </w:rPr>
        <w:t xml:space="preserve"> товарных групп</w:t>
      </w:r>
      <w:r>
        <w:rPr>
          <w:sz w:val="28"/>
        </w:rPr>
        <w:t>ы, из которых 36 товарных групп обязательные и 16 находятся в стадии эксперимента</w:t>
      </w:r>
      <w:r>
        <w:rPr>
          <w:sz w:val="28"/>
        </w:rPr>
        <w:t>. Из</w:t>
      </w:r>
      <w:r>
        <w:rPr>
          <w:sz w:val="28"/>
        </w:rPr>
        <w:t xml:space="preserve"> 36 обязательных</w:t>
      </w:r>
      <w:r>
        <w:rPr>
          <w:sz w:val="28"/>
        </w:rPr>
        <w:t xml:space="preserve"> 29 </w:t>
      </w:r>
      <w:r>
        <w:rPr>
          <w:sz w:val="28"/>
        </w:rPr>
        <w:t xml:space="preserve">товарных </w:t>
      </w:r>
      <w:r>
        <w:rPr>
          <w:sz w:val="28"/>
        </w:rPr>
        <w:t>групп находятся под пристальным контролем Роспотребнадзора, что свидетельствует о масштабе и значимости государственной политики в сфере идентификации товаров.</w:t>
      </w:r>
    </w:p>
    <w:p w14:paraId="1C010000">
      <w:pPr>
        <w:ind/>
        <w:jc w:val="both"/>
        <w:rPr>
          <w:sz w:val="28"/>
        </w:rPr>
      </w:pPr>
    </w:p>
    <w:p w14:paraId="1D010000">
      <w:pPr>
        <w:ind w:firstLine="851"/>
        <w:jc w:val="both"/>
        <w:rPr>
          <w:b w:val="1"/>
          <w:sz w:val="28"/>
        </w:rPr>
      </w:pPr>
      <w:r>
        <w:rPr>
          <w:b w:val="1"/>
          <w:sz w:val="28"/>
        </w:rPr>
        <w:t>В перечень товаров, подпадающих под обязательную маркировку, входят следующие категории:</w:t>
      </w:r>
    </w:p>
    <w:p w14:paraId="1E010000">
      <w:pPr>
        <w:pStyle w:val="Style_4"/>
        <w:numPr>
          <w:ilvl w:val="0"/>
          <w:numId w:val="8"/>
        </w:numPr>
        <w:tabs>
          <w:tab w:leader="none" w:pos="284" w:val="left"/>
        </w:tabs>
        <w:ind w:firstLine="0" w:left="0"/>
        <w:jc w:val="both"/>
        <w:rPr>
          <w:sz w:val="28"/>
        </w:rPr>
      </w:pPr>
      <w:r>
        <w:rPr>
          <w:sz w:val="28"/>
        </w:rPr>
        <w:t>Продукты питания и напитки, обеспечивающие безопасность потребителей.</w:t>
      </w:r>
    </w:p>
    <w:p w14:paraId="1F010000">
      <w:pPr>
        <w:pStyle w:val="Style_4"/>
        <w:numPr>
          <w:ilvl w:val="0"/>
          <w:numId w:val="8"/>
        </w:numPr>
        <w:tabs>
          <w:tab w:leader="none" w:pos="284" w:val="left"/>
        </w:tabs>
        <w:ind w:firstLine="0" w:left="0"/>
        <w:jc w:val="both"/>
        <w:rPr>
          <w:sz w:val="28"/>
        </w:rPr>
      </w:pPr>
      <w:r>
        <w:rPr>
          <w:sz w:val="28"/>
        </w:rPr>
        <w:t>Фармацевтическая продукция и товары для здоровья, гарантирующие подлинность и эффективность лекарственных средств.</w:t>
      </w:r>
    </w:p>
    <w:p w14:paraId="20010000">
      <w:pPr>
        <w:pStyle w:val="Style_4"/>
        <w:numPr>
          <w:ilvl w:val="0"/>
          <w:numId w:val="8"/>
        </w:numPr>
        <w:tabs>
          <w:tab w:leader="none" w:pos="284" w:val="left"/>
        </w:tabs>
        <w:ind w:firstLine="0" w:left="0"/>
        <w:jc w:val="both"/>
        <w:rPr>
          <w:sz w:val="28"/>
        </w:rPr>
      </w:pPr>
      <w:r>
        <w:rPr>
          <w:sz w:val="28"/>
        </w:rPr>
        <w:t>Косметические средства, парфюмерия, средства личной гигиены и бытовая химия, защищающие потребителей от контрафактной продукции.</w:t>
      </w:r>
    </w:p>
    <w:p w14:paraId="21010000">
      <w:pPr>
        <w:pStyle w:val="Style_4"/>
        <w:numPr>
          <w:ilvl w:val="0"/>
          <w:numId w:val="8"/>
        </w:numPr>
        <w:tabs>
          <w:tab w:leader="none" w:pos="284" w:val="left"/>
        </w:tabs>
        <w:ind w:firstLine="0" w:left="0"/>
        <w:jc w:val="both"/>
        <w:rPr>
          <w:sz w:val="28"/>
        </w:rPr>
      </w:pPr>
      <w:r>
        <w:rPr>
          <w:sz w:val="28"/>
        </w:rPr>
        <w:t>Широкий спектр непродовольственных товаров, включая одежду, обувь, текстиль и другие изделия.</w:t>
      </w:r>
    </w:p>
    <w:p w14:paraId="22010000">
      <w:pPr>
        <w:pStyle w:val="Style_4"/>
        <w:numPr>
          <w:ilvl w:val="0"/>
          <w:numId w:val="8"/>
        </w:numPr>
        <w:tabs>
          <w:tab w:leader="none" w:pos="284" w:val="left"/>
        </w:tabs>
        <w:ind w:firstLine="0" w:left="0"/>
        <w:jc w:val="both"/>
        <w:rPr>
          <w:sz w:val="28"/>
        </w:rPr>
      </w:pPr>
      <w:r>
        <w:rPr>
          <w:sz w:val="28"/>
        </w:rPr>
        <w:t>Автомобильная отрасль, охватывающая запасные части, шины и иные компоненты.</w:t>
      </w:r>
    </w:p>
    <w:p w14:paraId="23010000">
      <w:pPr>
        <w:pStyle w:val="Style_4"/>
        <w:numPr>
          <w:ilvl w:val="0"/>
          <w:numId w:val="8"/>
        </w:numPr>
        <w:tabs>
          <w:tab w:leader="none" w:pos="284" w:val="left"/>
        </w:tabs>
        <w:ind w:firstLine="0" w:left="0"/>
        <w:jc w:val="both"/>
        <w:rPr>
          <w:sz w:val="28"/>
        </w:rPr>
      </w:pPr>
      <w:r>
        <w:rPr>
          <w:sz w:val="28"/>
        </w:rPr>
        <w:t>Строительные материалы и инфраструктурные элементы, обеспечивающие качество и безопасность строительных объектов.</w:t>
      </w:r>
    </w:p>
    <w:p w14:paraId="24010000">
      <w:pPr>
        <w:pStyle w:val="Style_4"/>
        <w:numPr>
          <w:ilvl w:val="0"/>
          <w:numId w:val="8"/>
        </w:numPr>
        <w:tabs>
          <w:tab w:leader="none" w:pos="284" w:val="left"/>
        </w:tabs>
        <w:ind w:firstLine="0" w:left="0"/>
        <w:jc w:val="both"/>
        <w:rPr>
          <w:sz w:val="28"/>
        </w:rPr>
      </w:pPr>
      <w:r>
        <w:rPr>
          <w:sz w:val="28"/>
        </w:rPr>
        <w:t>Электронная техника и бытовые приборы, подтверждающие их подлинность и соответствие стандартам.</w:t>
      </w:r>
    </w:p>
    <w:p w14:paraId="25010000">
      <w:pPr>
        <w:ind w:firstLine="851"/>
        <w:jc w:val="both"/>
        <w:rPr>
          <w:sz w:val="28"/>
        </w:rPr>
      </w:pPr>
    </w:p>
    <w:p w14:paraId="26010000">
      <w:pPr>
        <w:ind w:firstLine="851"/>
        <w:jc w:val="both"/>
        <w:rPr>
          <w:sz w:val="28"/>
        </w:rPr>
      </w:pPr>
      <w:r>
        <w:rPr>
          <w:sz w:val="28"/>
        </w:rPr>
        <w:t>С целью предупреждения и пресечения нарушений в сфере оборота товаров, подлежащих обязательной маркировке средствами идентификации, Управлением Роспотребнадзора по Республике Саха (Якутия) реализуется комплекс превентивных мер:</w:t>
      </w:r>
    </w:p>
    <w:p w14:paraId="27010000">
      <w:pPr>
        <w:ind w:firstLine="851"/>
        <w:jc w:val="both"/>
        <w:rPr>
          <w:sz w:val="28"/>
        </w:rPr>
      </w:pPr>
      <w:r>
        <w:rPr>
          <w:sz w:val="28"/>
        </w:rPr>
        <w:t>- Ежедневный мониторинг цифровой интегрированной государственной информационной системы в сфере маркировки товаров («Честный ЗНАК») на предмет выявления отклонений.</w:t>
      </w:r>
    </w:p>
    <w:p w14:paraId="28010000">
      <w:pPr>
        <w:ind w:firstLine="851"/>
        <w:jc w:val="both"/>
        <w:rPr>
          <w:sz w:val="28"/>
        </w:rPr>
      </w:pPr>
      <w:r>
        <w:rPr>
          <w:sz w:val="28"/>
        </w:rPr>
        <w:t>- Оперативное рассмотрение данных, поступающих через «Честный ЗНАК», для своевременного реагирования.</w:t>
      </w:r>
    </w:p>
    <w:p w14:paraId="29010000">
      <w:pPr>
        <w:ind w:firstLine="851"/>
        <w:jc w:val="both"/>
        <w:rPr>
          <w:sz w:val="28"/>
        </w:rPr>
      </w:pPr>
      <w:r>
        <w:rPr>
          <w:sz w:val="28"/>
        </w:rPr>
        <w:t>- Целенаправленное информирование граждан и представителей бизнес-сообщества о порядке оборота маркированной продукции и требованиях законодательства.</w:t>
      </w:r>
    </w:p>
    <w:p w14:paraId="2A010000">
      <w:pPr>
        <w:ind w:firstLine="851"/>
        <w:jc w:val="both"/>
        <w:rPr>
          <w:sz w:val="28"/>
        </w:rPr>
      </w:pPr>
      <w:r>
        <w:rPr>
          <w:sz w:val="28"/>
        </w:rPr>
        <w:t>- Проведение специализированных консультаций и обучающих семинаров по вопросам, связанным с оборотом маркированных товаров.</w:t>
      </w:r>
    </w:p>
    <w:p w14:paraId="2B010000">
      <w:pPr>
        <w:ind w:firstLine="851"/>
        <w:jc w:val="both"/>
        <w:rPr>
          <w:sz w:val="28"/>
        </w:rPr>
      </w:pPr>
      <w:r>
        <w:rPr>
          <w:sz w:val="28"/>
        </w:rPr>
        <w:t>- Объявление предостережений о недопустимости нарушения установленных обязательных требований при обороте товаров, маркированных средствами идентификации.</w:t>
      </w:r>
    </w:p>
    <w:p w14:paraId="2C010000">
      <w:pPr>
        <w:ind/>
        <w:jc w:val="both"/>
        <w:rPr>
          <w:sz w:val="28"/>
        </w:rPr>
      </w:pPr>
    </w:p>
    <w:p w14:paraId="2D010000">
      <w:pPr>
        <w:ind w:firstLine="851"/>
        <w:jc w:val="both"/>
        <w:rPr>
          <w:sz w:val="28"/>
        </w:rPr>
      </w:pPr>
      <w:r>
        <w:rPr>
          <w:sz w:val="28"/>
        </w:rPr>
        <w:t>Отклонение представляет собой факт нарушения или признак возможного нарушения обязательных требований, выявленный в системе «Честный ЗНАК» применительно к участнику оборота маркированных товаров. Данные отклонения фиксируются в персональном кабинете участника оборота автоматически и не подлежат ручному удалению, что обеспечивает прозрачность и объективность контроля.</w:t>
      </w:r>
    </w:p>
    <w:p w14:paraId="2E010000">
      <w:pPr>
        <w:ind/>
        <w:jc w:val="both"/>
        <w:rPr>
          <w:b w:val="1"/>
          <w:sz w:val="28"/>
        </w:rPr>
      </w:pPr>
    </w:p>
    <w:p w14:paraId="2F010000">
      <w:pPr>
        <w:ind/>
        <w:jc w:val="both"/>
        <w:rPr>
          <w:b w:val="1"/>
          <w:sz w:val="28"/>
        </w:rPr>
      </w:pPr>
      <w:r>
        <w:rPr>
          <w:b w:val="1"/>
          <w:sz w:val="28"/>
        </w:rPr>
        <w:t>Мониторинг отклонений в ГИС МТ:</w:t>
      </w:r>
    </w:p>
    <w:p w14:paraId="30010000">
      <w:pPr>
        <w:widowControl w:val="1"/>
        <w:ind w:firstLine="851"/>
        <w:jc w:val="both"/>
        <w:rPr>
          <w:sz w:val="28"/>
        </w:rPr>
      </w:pPr>
      <w:r>
        <w:rPr>
          <w:sz w:val="28"/>
        </w:rPr>
        <w:t>В 2025 году в Республике Саха (Якутия) система Государственной информационной системы маркировки товаров (ГИС МТ) зафиксировала общий объем отклонений в обороте маркированной продукции, составивший 21 291 024 единицы. Анализ по кварталам выявил следующую динамику:</w:t>
      </w:r>
    </w:p>
    <w:p w14:paraId="31010000">
      <w:pPr>
        <w:widowControl w:val="1"/>
        <w:numPr>
          <w:ilvl w:val="0"/>
          <w:numId w:val="9"/>
        </w:numPr>
        <w:ind w:left="375"/>
        <w:rPr>
          <w:sz w:val="28"/>
        </w:rPr>
      </w:pPr>
      <w:r>
        <w:rPr>
          <w:b w:val="1"/>
          <w:sz w:val="28"/>
        </w:rPr>
        <w:t>I квартал:</w:t>
      </w:r>
      <w:r>
        <w:rPr>
          <w:sz w:val="28"/>
        </w:rPr>
        <w:t xml:space="preserve"> 6 608 347 отклонений;</w:t>
      </w:r>
    </w:p>
    <w:p w14:paraId="32010000">
      <w:pPr>
        <w:widowControl w:val="1"/>
        <w:numPr>
          <w:ilvl w:val="0"/>
          <w:numId w:val="9"/>
        </w:numPr>
        <w:ind w:left="375"/>
        <w:rPr>
          <w:sz w:val="28"/>
        </w:rPr>
      </w:pPr>
      <w:r>
        <w:rPr>
          <w:b w:val="1"/>
          <w:sz w:val="28"/>
        </w:rPr>
        <w:t>II квартал:</w:t>
      </w:r>
      <w:r>
        <w:rPr>
          <w:sz w:val="28"/>
        </w:rPr>
        <w:t xml:space="preserve"> 5 928 449 отклонений;</w:t>
      </w:r>
    </w:p>
    <w:p w14:paraId="33010000">
      <w:pPr>
        <w:widowControl w:val="1"/>
        <w:numPr>
          <w:ilvl w:val="0"/>
          <w:numId w:val="9"/>
        </w:numPr>
        <w:ind w:left="375"/>
        <w:rPr>
          <w:sz w:val="28"/>
        </w:rPr>
      </w:pPr>
      <w:r>
        <w:rPr>
          <w:b w:val="1"/>
          <w:sz w:val="28"/>
        </w:rPr>
        <w:t>III квартал:</w:t>
      </w:r>
      <w:r>
        <w:rPr>
          <w:sz w:val="28"/>
        </w:rPr>
        <w:t xml:space="preserve"> 5 208 755 отклонений;</w:t>
      </w:r>
    </w:p>
    <w:p w14:paraId="34010000">
      <w:pPr>
        <w:widowControl w:val="1"/>
        <w:numPr>
          <w:ilvl w:val="0"/>
          <w:numId w:val="9"/>
        </w:numPr>
        <w:ind w:left="375"/>
        <w:rPr>
          <w:sz w:val="28"/>
        </w:rPr>
      </w:pPr>
      <w:r>
        <w:rPr>
          <w:b w:val="1"/>
          <w:sz w:val="28"/>
        </w:rPr>
        <w:t>IV квартал:</w:t>
      </w:r>
      <w:r>
        <w:rPr>
          <w:sz w:val="28"/>
        </w:rPr>
        <w:t xml:space="preserve"> 3 545 473 отклонений.</w:t>
      </w:r>
    </w:p>
    <w:p w14:paraId="35010000">
      <w:pPr>
        <w:widowControl w:val="1"/>
        <w:ind w:left="375"/>
        <w:rPr>
          <w:sz w:val="28"/>
        </w:rPr>
      </w:pPr>
    </w:p>
    <w:p w14:paraId="36010000">
      <w:pPr>
        <w:widowControl w:val="1"/>
        <w:ind w:firstLine="851"/>
        <w:jc w:val="both"/>
        <w:rPr>
          <w:sz w:val="28"/>
        </w:rPr>
      </w:pPr>
      <w:r>
        <w:rPr>
          <w:sz w:val="28"/>
        </w:rPr>
        <w:t>Целенаправленные мероприятия, направленные на повышение прозрачности и законности оборота маркированной продукции, привели к существенному снижению общего числа отклонений. Динамика с 6 608 347 отклонений в первом квартале до 3 545 473 отклонений в четвертом квартале, демонстрирующая снижение на 46,35%, свидетельствует об их высокой эффективности.</w:t>
      </w:r>
    </w:p>
    <w:p w14:paraId="37010000">
      <w:pPr>
        <w:widowControl w:val="1"/>
        <w:ind/>
        <w:rPr>
          <w:b w:val="1"/>
          <w:sz w:val="28"/>
        </w:rPr>
      </w:pPr>
    </w:p>
    <w:p w14:paraId="38010000">
      <w:pPr>
        <w:widowControl w:val="1"/>
        <w:ind/>
        <w:rPr>
          <w:sz w:val="28"/>
        </w:rPr>
      </w:pPr>
      <w:r>
        <w:rPr>
          <w:b w:val="1"/>
          <w:sz w:val="28"/>
        </w:rPr>
        <w:t>Товарные группы с наибольшим числом отклонений:</w:t>
      </w:r>
    </w:p>
    <w:p w14:paraId="39010000">
      <w:pPr>
        <w:widowControl w:val="1"/>
        <w:numPr>
          <w:ilvl w:val="0"/>
          <w:numId w:val="10"/>
        </w:numPr>
        <w:ind w:left="375"/>
        <w:rPr>
          <w:sz w:val="28"/>
        </w:rPr>
      </w:pPr>
      <w:r>
        <w:rPr>
          <w:b w:val="1"/>
          <w:sz w:val="28"/>
        </w:rPr>
        <w:t>Табачная продукция:</w:t>
      </w:r>
      <w:r>
        <w:rPr>
          <w:sz w:val="28"/>
        </w:rPr>
        <w:t xml:space="preserve"> 6 744 775 отклонений (31,7% от общего числа).</w:t>
      </w:r>
    </w:p>
    <w:p w14:paraId="3A010000">
      <w:pPr>
        <w:widowControl w:val="1"/>
        <w:numPr>
          <w:ilvl w:val="0"/>
          <w:numId w:val="10"/>
        </w:numPr>
        <w:ind w:left="375"/>
        <w:rPr>
          <w:sz w:val="28"/>
        </w:rPr>
      </w:pPr>
      <w:r>
        <w:rPr>
          <w:b w:val="1"/>
          <w:sz w:val="28"/>
        </w:rPr>
        <w:t>Молочная продукция:</w:t>
      </w:r>
      <w:r>
        <w:rPr>
          <w:sz w:val="28"/>
        </w:rPr>
        <w:t xml:space="preserve"> 5 790 885 отклонений (27,2% от общего числа).</w:t>
      </w:r>
    </w:p>
    <w:p w14:paraId="3B010000">
      <w:pPr>
        <w:widowControl w:val="1"/>
        <w:numPr>
          <w:ilvl w:val="0"/>
          <w:numId w:val="10"/>
        </w:numPr>
        <w:ind w:left="375"/>
        <w:rPr>
          <w:sz w:val="28"/>
        </w:rPr>
      </w:pPr>
      <w:r>
        <w:rPr>
          <w:b w:val="1"/>
          <w:sz w:val="28"/>
        </w:rPr>
        <w:t>Пиво, напитки на основе пива и слабоалкогольные напитки:</w:t>
      </w:r>
      <w:r>
        <w:rPr>
          <w:sz w:val="28"/>
        </w:rPr>
        <w:t xml:space="preserve"> 5 014 774 отклонений (23,5% от общего числа).</w:t>
      </w:r>
    </w:p>
    <w:p w14:paraId="3C010000">
      <w:pPr>
        <w:widowControl w:val="1"/>
        <w:numPr>
          <w:ilvl w:val="0"/>
          <w:numId w:val="10"/>
        </w:numPr>
        <w:ind w:left="375"/>
        <w:rPr>
          <w:sz w:val="28"/>
        </w:rPr>
      </w:pPr>
      <w:r>
        <w:rPr>
          <w:b w:val="1"/>
          <w:sz w:val="28"/>
        </w:rPr>
        <w:t>Соковая продукция и безалкогольные напитки:</w:t>
      </w:r>
      <w:r>
        <w:rPr>
          <w:sz w:val="28"/>
        </w:rPr>
        <w:t xml:space="preserve"> 1 028 384 отклонений (4,8% от общего числа).</w:t>
      </w:r>
    </w:p>
    <w:p w14:paraId="3D010000">
      <w:pPr>
        <w:widowControl w:val="1"/>
        <w:numPr>
          <w:ilvl w:val="0"/>
          <w:numId w:val="10"/>
        </w:numPr>
        <w:ind w:left="375"/>
        <w:rPr>
          <w:sz w:val="28"/>
        </w:rPr>
      </w:pPr>
      <w:r>
        <w:rPr>
          <w:b w:val="1"/>
          <w:sz w:val="28"/>
        </w:rPr>
        <w:t>Упакованная вода:</w:t>
      </w:r>
      <w:r>
        <w:rPr>
          <w:sz w:val="28"/>
        </w:rPr>
        <w:t xml:space="preserve"> 979 149 отклонений (4,6% от общего числа).</w:t>
      </w:r>
    </w:p>
    <w:p w14:paraId="3E010000">
      <w:pPr>
        <w:widowControl w:val="1"/>
        <w:ind/>
        <w:rPr>
          <w:b w:val="1"/>
          <w:sz w:val="28"/>
        </w:rPr>
      </w:pPr>
    </w:p>
    <w:p w14:paraId="3F010000">
      <w:pPr>
        <w:widowControl w:val="1"/>
        <w:ind/>
        <w:rPr>
          <w:sz w:val="28"/>
        </w:rPr>
      </w:pPr>
      <w:r>
        <w:rPr>
          <w:b w:val="1"/>
          <w:sz w:val="28"/>
        </w:rPr>
        <w:t>Структура зафиксированных отклонений:</w:t>
      </w:r>
    </w:p>
    <w:p w14:paraId="40010000">
      <w:pPr>
        <w:widowControl w:val="1"/>
        <w:numPr>
          <w:ilvl w:val="0"/>
          <w:numId w:val="11"/>
        </w:numPr>
        <w:ind w:left="375"/>
        <w:rPr>
          <w:sz w:val="28"/>
        </w:rPr>
      </w:pPr>
      <w:r>
        <w:rPr>
          <w:b w:val="1"/>
          <w:sz w:val="28"/>
        </w:rPr>
        <w:t>Нарушения разрешительного режима:</w:t>
      </w:r>
      <w:r>
        <w:rPr>
          <w:sz w:val="28"/>
        </w:rPr>
        <w:t xml:space="preserve"> 81,76% от общего числа отклонений.</w:t>
      </w:r>
    </w:p>
    <w:p w14:paraId="41010000">
      <w:pPr>
        <w:widowControl w:val="1"/>
        <w:numPr>
          <w:ilvl w:val="0"/>
          <w:numId w:val="11"/>
        </w:numPr>
        <w:ind w:left="375"/>
        <w:rPr>
          <w:sz w:val="28"/>
        </w:rPr>
      </w:pPr>
      <w:r>
        <w:rPr>
          <w:b w:val="1"/>
          <w:sz w:val="28"/>
        </w:rPr>
        <w:t>Ненадлежащий статус участника оборота:</w:t>
      </w:r>
      <w:r>
        <w:rPr>
          <w:sz w:val="28"/>
        </w:rPr>
        <w:t xml:space="preserve"> 12,38% от общего числа отклонений.</w:t>
      </w:r>
    </w:p>
    <w:p w14:paraId="42010000">
      <w:pPr>
        <w:widowControl w:val="1"/>
        <w:numPr>
          <w:ilvl w:val="0"/>
          <w:numId w:val="11"/>
        </w:numPr>
        <w:ind w:left="375"/>
        <w:rPr>
          <w:sz w:val="28"/>
        </w:rPr>
      </w:pPr>
      <w:r>
        <w:rPr>
          <w:b w:val="1"/>
          <w:sz w:val="28"/>
        </w:rPr>
        <w:t>Повторные продажи:</w:t>
      </w:r>
      <w:r>
        <w:rPr>
          <w:sz w:val="28"/>
        </w:rPr>
        <w:t xml:space="preserve"> 1,96% от общего числа отклонений.</w:t>
      </w:r>
    </w:p>
    <w:p w14:paraId="43010000">
      <w:pPr>
        <w:widowControl w:val="1"/>
        <w:numPr>
          <w:ilvl w:val="0"/>
          <w:numId w:val="11"/>
        </w:numPr>
        <w:ind w:left="375"/>
        <w:rPr>
          <w:sz w:val="28"/>
        </w:rPr>
      </w:pPr>
      <w:r>
        <w:rPr>
          <w:b w:val="1"/>
          <w:sz w:val="28"/>
        </w:rPr>
        <w:t>Нарушение установленных цен:</w:t>
      </w:r>
      <w:r>
        <w:rPr>
          <w:sz w:val="28"/>
        </w:rPr>
        <w:t xml:space="preserve"> 1,56% от общего числа отклонений.</w:t>
      </w:r>
    </w:p>
    <w:p w14:paraId="44010000">
      <w:pPr>
        <w:widowControl w:val="1"/>
        <w:numPr>
          <w:ilvl w:val="0"/>
          <w:numId w:val="11"/>
        </w:numPr>
        <w:ind w:left="375"/>
        <w:rPr>
          <w:sz w:val="28"/>
        </w:rPr>
      </w:pPr>
      <w:r>
        <w:rPr>
          <w:b w:val="1"/>
          <w:sz w:val="28"/>
        </w:rPr>
        <w:t>Оборот товаров с незарегистрированными кодами:</w:t>
      </w:r>
      <w:r>
        <w:rPr>
          <w:sz w:val="28"/>
        </w:rPr>
        <w:t xml:space="preserve"> 1,5% от общего числа отклонений.</w:t>
      </w:r>
    </w:p>
    <w:p w14:paraId="45010000">
      <w:pPr>
        <w:ind/>
        <w:jc w:val="both"/>
        <w:rPr>
          <w:sz w:val="28"/>
        </w:rPr>
      </w:pPr>
    </w:p>
    <w:p w14:paraId="46010000">
      <w:pPr>
        <w:ind/>
        <w:jc w:val="both"/>
        <w:rPr>
          <w:sz w:val="28"/>
        </w:rPr>
      </w:pPr>
    </w:p>
    <w:p w14:paraId="47010000">
      <w:pPr>
        <w:pStyle w:val="Style_2"/>
        <w:ind w:firstLine="851"/>
        <w:jc w:val="both"/>
      </w:pPr>
      <w:r>
        <w:rPr>
          <w:b w:val="1"/>
        </w:rPr>
        <w:t>«Разрешительный режим»</w:t>
      </w:r>
      <w:r>
        <w:t xml:space="preserve"> является </w:t>
      </w:r>
      <w:r>
        <w:t>д</w:t>
      </w:r>
      <w:r>
        <w:t xml:space="preserve">ополнительным инструментом, гарантирующим безопасность приобретаемой продукции. Данный режим представляет собой специализированный функционал кассового оборудования, обеспечивающий автоматизированную проверку кода </w:t>
      </w:r>
      <w:r>
        <w:t>Data</w:t>
      </w:r>
      <w:r>
        <w:t xml:space="preserve"> </w:t>
      </w:r>
      <w:r>
        <w:t>Matrix</w:t>
      </w:r>
      <w:r>
        <w:t>. При сканировании кода продавец в течение 1,5 секунд получает ответ о легальности оборота товара. В случае выявления несоответствий, система блокирует продажу до полного выяснения обстоятельств. Применение «Разрешительного режима» обязательно для всех участников оборота маркированных товаров.</w:t>
      </w:r>
    </w:p>
    <w:p w14:paraId="48010000">
      <w:pPr>
        <w:ind/>
        <w:jc w:val="both"/>
        <w:rPr>
          <w:b w:val="1"/>
          <w:sz w:val="28"/>
        </w:rPr>
      </w:pPr>
    </w:p>
    <w:p w14:paraId="49010000">
      <w:pPr>
        <w:widowControl w:val="1"/>
        <w:ind w:firstLine="851"/>
        <w:jc w:val="both"/>
        <w:rPr>
          <w:sz w:val="28"/>
        </w:rPr>
      </w:pPr>
      <w:r>
        <w:rPr>
          <w:sz w:val="28"/>
        </w:rPr>
        <w:t xml:space="preserve">Ключевыми объектами, требующими особого внимания при обороте товаров, подлежащих обязательной маркировке средствами идентификации, являются промышленные предприятия, выпускающие данную продукцию, </w:t>
      </w:r>
      <w:r>
        <w:rPr>
          <w:sz w:val="28"/>
        </w:rPr>
        <w:t>оптовые базы, крупные сетевые торговые организации</w:t>
      </w:r>
      <w:r>
        <w:rPr>
          <w:sz w:val="28"/>
        </w:rPr>
        <w:t xml:space="preserve">, а также </w:t>
      </w:r>
      <w:r>
        <w:rPr>
          <w:sz w:val="28"/>
        </w:rPr>
        <w:t xml:space="preserve">пищеблоки образовательных учреждений, </w:t>
      </w:r>
      <w:r>
        <w:rPr>
          <w:sz w:val="28"/>
        </w:rPr>
        <w:t>объекты культуры и отдыха. Нарушения установленных обязательных требований в этих сферах могут привести к существенному ущербу для государственных и общественных интересов.</w:t>
      </w:r>
    </w:p>
    <w:p w14:paraId="4A010000">
      <w:pPr>
        <w:widowControl w:val="1"/>
        <w:ind w:firstLine="851"/>
        <w:jc w:val="both"/>
        <w:rPr>
          <w:sz w:val="28"/>
        </w:rPr>
      </w:pPr>
    </w:p>
    <w:p w14:paraId="4B010000">
      <w:pPr>
        <w:pStyle w:val="Style_4"/>
        <w:widowControl w:val="1"/>
        <w:numPr>
          <w:ilvl w:val="1"/>
          <w:numId w:val="10"/>
        </w:numPr>
        <w:ind/>
        <w:jc w:val="both"/>
        <w:rPr>
          <w:b w:val="1"/>
          <w:sz w:val="28"/>
        </w:rPr>
      </w:pPr>
      <w:r>
        <w:rPr>
          <w:b w:val="1"/>
          <w:sz w:val="28"/>
        </w:rPr>
        <w:t xml:space="preserve">Судебная </w:t>
      </w:r>
      <w:r>
        <w:rPr>
          <w:b w:val="1"/>
          <w:sz w:val="28"/>
        </w:rPr>
        <w:t>защита прав потребителей</w:t>
      </w:r>
      <w:r>
        <w:rPr>
          <w:b w:val="1"/>
          <w:sz w:val="28"/>
        </w:rPr>
        <w:t>.</w:t>
      </w:r>
    </w:p>
    <w:p w14:paraId="4C010000">
      <w:pPr>
        <w:pStyle w:val="Style_4"/>
        <w:widowControl w:val="1"/>
        <w:ind w:firstLine="0" w:left="851"/>
        <w:jc w:val="both"/>
        <w:rPr>
          <w:b w:val="1"/>
          <w:sz w:val="28"/>
        </w:rPr>
      </w:pPr>
    </w:p>
    <w:p w14:paraId="4D010000">
      <w:pPr>
        <w:pStyle w:val="Style_4"/>
        <w:widowControl w:val="1"/>
        <w:ind w:firstLine="851" w:left="0"/>
        <w:jc w:val="both"/>
        <w:rPr>
          <w:sz w:val="28"/>
        </w:rPr>
      </w:pPr>
      <w:r>
        <w:rPr>
          <w:sz w:val="28"/>
        </w:rPr>
        <w:t>Судебная защита прав потребителей в 2023-2025 году осуществлялась в основном Управлением Роспотребнадзора по Республике Саха (Якутия).</w:t>
      </w:r>
    </w:p>
    <w:p w14:paraId="4E010000">
      <w:pPr>
        <w:widowControl w:val="1"/>
        <w:ind w:firstLine="851"/>
        <w:jc w:val="both"/>
        <w:rPr>
          <w:sz w:val="28"/>
        </w:rPr>
      </w:pPr>
      <w:r>
        <w:rPr>
          <w:sz w:val="28"/>
        </w:rPr>
        <w:t xml:space="preserve">В целях оказания потребителям помощи в защите их прав в рамках гражданского судопроизводства Управлением Роспотребнадзора по Республике Саха (Якутия) последние 3 года дано 125 заключений по делу о нарушении прав потребителей и подано </w:t>
      </w:r>
      <w:r>
        <w:rPr>
          <w:sz w:val="28"/>
        </w:rPr>
        <w:t>64</w:t>
      </w:r>
      <w:r>
        <w:rPr>
          <w:sz w:val="28"/>
        </w:rPr>
        <w:t xml:space="preserve"> исковых заявлений в защиту прав потребителей. </w:t>
      </w:r>
    </w:p>
    <w:p w14:paraId="4F010000">
      <w:pPr>
        <w:widowControl w:val="1"/>
        <w:ind w:firstLine="851"/>
        <w:jc w:val="both"/>
        <w:rPr>
          <w:sz w:val="28"/>
        </w:rPr>
      </w:pPr>
      <w:r>
        <w:rPr>
          <w:sz w:val="28"/>
        </w:rPr>
        <w:t xml:space="preserve">По результатам рассмотрения судами в пользу потребителей присуждены денежные средства в размере </w:t>
      </w:r>
      <w:r>
        <w:rPr>
          <w:sz w:val="28"/>
        </w:rPr>
        <w:t>24</w:t>
      </w:r>
      <w:r>
        <w:rPr>
          <w:sz w:val="28"/>
        </w:rPr>
        <w:t xml:space="preserve"> </w:t>
      </w:r>
      <w:r>
        <w:rPr>
          <w:sz w:val="28"/>
        </w:rPr>
        <w:t>438</w:t>
      </w:r>
      <w:r>
        <w:rPr>
          <w:sz w:val="28"/>
        </w:rPr>
        <w:t>,</w:t>
      </w:r>
      <w:r>
        <w:rPr>
          <w:sz w:val="28"/>
        </w:rPr>
        <w:t>5</w:t>
      </w:r>
      <w:r>
        <w:rPr>
          <w:sz w:val="28"/>
        </w:rPr>
        <w:t xml:space="preserve"> тыс. руб. в том числе компенсация морального вреда 2</w:t>
      </w:r>
      <w:r>
        <w:rPr>
          <w:sz w:val="28"/>
        </w:rPr>
        <w:t> </w:t>
      </w:r>
      <w:r>
        <w:rPr>
          <w:sz w:val="28"/>
        </w:rPr>
        <w:t>2</w:t>
      </w:r>
      <w:r>
        <w:rPr>
          <w:sz w:val="28"/>
        </w:rPr>
        <w:t>53,5 тыс. руб</w:t>
      </w:r>
      <w:r>
        <w:rPr>
          <w:sz w:val="28"/>
        </w:rPr>
        <w:t>.</w:t>
      </w:r>
    </w:p>
    <w:p w14:paraId="50010000">
      <w:pPr>
        <w:widowControl w:val="1"/>
        <w:ind w:firstLine="851"/>
        <w:jc w:val="both"/>
        <w:rPr>
          <w:sz w:val="28"/>
        </w:rPr>
      </w:pPr>
      <w:r>
        <w:rPr>
          <w:sz w:val="28"/>
        </w:rPr>
        <w:t>Исковые заявления поданы по следующим отраслям экономики:</w:t>
      </w:r>
    </w:p>
    <w:p w14:paraId="51010000">
      <w:pPr>
        <w:widowControl w:val="1"/>
        <w:ind/>
        <w:jc w:val="both"/>
        <w:rPr>
          <w:sz w:val="28"/>
        </w:rPr>
      </w:pPr>
      <w:r>
        <w:rPr>
          <w:sz w:val="28"/>
        </w:rPr>
        <w:t>- в сфере розничной торговли, в том числе в случаях заключения договора с использованием дистанционных каналов «Интернет»;</w:t>
      </w:r>
    </w:p>
    <w:p w14:paraId="52010000">
      <w:pPr>
        <w:widowControl w:val="1"/>
        <w:ind/>
        <w:jc w:val="both"/>
        <w:rPr>
          <w:sz w:val="28"/>
        </w:rPr>
      </w:pPr>
      <w:r>
        <w:rPr>
          <w:sz w:val="28"/>
        </w:rPr>
        <w:t>- в сфере жилищно-коммунальных услуг.</w:t>
      </w:r>
    </w:p>
    <w:p w14:paraId="53010000">
      <w:pPr>
        <w:widowControl w:val="1"/>
        <w:ind/>
        <w:jc w:val="both"/>
        <w:rPr>
          <w:sz w:val="28"/>
        </w:rPr>
      </w:pPr>
      <w:r>
        <w:rPr>
          <w:sz w:val="28"/>
        </w:rPr>
        <w:t>-  в сфере услуг общественного питания;</w:t>
      </w:r>
    </w:p>
    <w:p w14:paraId="54010000">
      <w:pPr>
        <w:widowControl w:val="1"/>
        <w:ind/>
        <w:jc w:val="both"/>
        <w:rPr>
          <w:sz w:val="28"/>
        </w:rPr>
      </w:pPr>
      <w:r>
        <w:rPr>
          <w:sz w:val="28"/>
        </w:rPr>
        <w:t>-  в сфере туристические услуги;</w:t>
      </w:r>
    </w:p>
    <w:p w14:paraId="55010000">
      <w:pPr>
        <w:widowControl w:val="1"/>
        <w:ind/>
        <w:jc w:val="both"/>
        <w:rPr>
          <w:sz w:val="28"/>
        </w:rPr>
      </w:pPr>
      <w:r>
        <w:rPr>
          <w:sz w:val="28"/>
        </w:rPr>
        <w:t>- в сфере транспортных услуг.</w:t>
      </w:r>
    </w:p>
    <w:p w14:paraId="56010000">
      <w:pPr>
        <w:widowControl w:val="1"/>
        <w:ind w:firstLine="851"/>
        <w:jc w:val="both"/>
        <w:rPr>
          <w:sz w:val="28"/>
        </w:rPr>
      </w:pPr>
    </w:p>
    <w:p w14:paraId="57010000">
      <w:pPr>
        <w:widowControl w:val="1"/>
        <w:ind w:firstLine="851"/>
        <w:jc w:val="both"/>
        <w:rPr>
          <w:sz w:val="28"/>
        </w:rPr>
      </w:pPr>
      <w:r>
        <w:rPr>
          <w:sz w:val="28"/>
        </w:rPr>
        <w:t>Заключения были даны по следующим отраслям экономики:</w:t>
      </w:r>
    </w:p>
    <w:p w14:paraId="58010000">
      <w:pPr>
        <w:widowControl w:val="1"/>
        <w:ind/>
        <w:jc w:val="both"/>
        <w:rPr>
          <w:sz w:val="28"/>
        </w:rPr>
      </w:pPr>
      <w:r>
        <w:rPr>
          <w:sz w:val="28"/>
        </w:rPr>
        <w:t>- в сфере поставки жилищно-коммунальных услуг;</w:t>
      </w:r>
    </w:p>
    <w:p w14:paraId="59010000">
      <w:pPr>
        <w:widowControl w:val="1"/>
        <w:ind/>
        <w:jc w:val="both"/>
        <w:rPr>
          <w:sz w:val="28"/>
        </w:rPr>
      </w:pPr>
      <w:r>
        <w:rPr>
          <w:sz w:val="28"/>
        </w:rPr>
        <w:t>- в сфере услуг общественного питания;</w:t>
      </w:r>
    </w:p>
    <w:p w14:paraId="5A010000">
      <w:pPr>
        <w:widowControl w:val="1"/>
        <w:ind/>
        <w:jc w:val="both"/>
        <w:rPr>
          <w:sz w:val="28"/>
        </w:rPr>
      </w:pPr>
      <w:r>
        <w:rPr>
          <w:sz w:val="28"/>
        </w:rPr>
        <w:t>- в сфере розничной торговли</w:t>
      </w:r>
      <w:r>
        <w:rPr>
          <w:sz w:val="28"/>
        </w:rPr>
        <w:t>, в том числе в случаях заключения договора с использованием дистанционных каналов «Интернет»;</w:t>
      </w:r>
    </w:p>
    <w:p w14:paraId="5B010000">
      <w:pPr>
        <w:widowControl w:val="1"/>
        <w:ind/>
        <w:jc w:val="both"/>
        <w:rPr>
          <w:sz w:val="28"/>
        </w:rPr>
      </w:pPr>
      <w:r>
        <w:rPr>
          <w:sz w:val="28"/>
        </w:rPr>
        <w:t>- в сфере бытового обслуживания населения;</w:t>
      </w:r>
    </w:p>
    <w:p w14:paraId="5C010000">
      <w:pPr>
        <w:widowControl w:val="1"/>
        <w:ind/>
        <w:jc w:val="both"/>
        <w:rPr>
          <w:sz w:val="28"/>
        </w:rPr>
      </w:pPr>
      <w:r>
        <w:rPr>
          <w:sz w:val="28"/>
        </w:rPr>
        <w:t>- в сфере медицинских услуг;</w:t>
      </w:r>
    </w:p>
    <w:p w14:paraId="5D010000">
      <w:pPr>
        <w:widowControl w:val="1"/>
        <w:ind/>
        <w:jc w:val="both"/>
        <w:rPr>
          <w:sz w:val="28"/>
        </w:rPr>
      </w:pPr>
      <w:r>
        <w:rPr>
          <w:sz w:val="28"/>
        </w:rPr>
        <w:t>- в сфере технического обслуживания и ремонта автотранспортных средств</w:t>
      </w:r>
      <w:r>
        <w:rPr>
          <w:sz w:val="28"/>
        </w:rPr>
        <w:t>.</w:t>
      </w:r>
    </w:p>
    <w:p w14:paraId="5E010000">
      <w:pPr>
        <w:widowControl w:val="1"/>
        <w:ind/>
        <w:jc w:val="both"/>
        <w:rPr>
          <w:sz w:val="28"/>
        </w:rPr>
      </w:pPr>
    </w:p>
    <w:p w14:paraId="5F010000">
      <w:pPr>
        <w:widowControl w:val="1"/>
        <w:ind w:firstLine="851"/>
        <w:jc w:val="both"/>
        <w:rPr>
          <w:sz w:val="28"/>
        </w:rPr>
      </w:pPr>
      <w:r>
        <w:rPr>
          <w:sz w:val="28"/>
        </w:rPr>
        <w:t>В 2023-2025 году в</w:t>
      </w:r>
      <w:r>
        <w:rPr>
          <w:sz w:val="28"/>
        </w:rPr>
        <w:t xml:space="preserve"> рамках выполнения Стратегии государственной политики Российской Федерации в области защиты прав потребителей на период до 2030 года в соответствии с планом мероприятий по ее реализации, утвержденной распоряжением Правительства Российской Федерации от 23 марта 2018г № 481-р достигнуты следующие показатели:</w:t>
      </w:r>
    </w:p>
    <w:p w14:paraId="60010000">
      <w:pPr>
        <w:widowControl w:val="1"/>
        <w:ind w:firstLine="851"/>
        <w:jc w:val="both"/>
        <w:rPr>
          <w:sz w:val="28"/>
        </w:rPr>
      </w:pPr>
      <w:r>
        <w:rPr>
          <w:sz w:val="28"/>
        </w:rPr>
        <w:t>Доля удовлетворенных исков в защиту прав конкрет</w:t>
      </w:r>
      <w:r>
        <w:rPr>
          <w:sz w:val="28"/>
        </w:rPr>
        <w:t>ного потребителя составила 100%;</w:t>
      </w:r>
      <w:r>
        <w:rPr>
          <w:sz w:val="28"/>
        </w:rPr>
        <w:t xml:space="preserve"> </w:t>
      </w:r>
    </w:p>
    <w:p w14:paraId="61010000">
      <w:pPr>
        <w:widowControl w:val="1"/>
        <w:ind w:firstLine="851"/>
        <w:jc w:val="both"/>
        <w:rPr>
          <w:sz w:val="28"/>
        </w:rPr>
      </w:pPr>
      <w:r>
        <w:rPr>
          <w:sz w:val="28"/>
        </w:rPr>
        <w:t>Д</w:t>
      </w:r>
      <w:r>
        <w:rPr>
          <w:sz w:val="28"/>
        </w:rPr>
        <w:t>оля удовлетворенных исков по которым</w:t>
      </w:r>
      <w:r>
        <w:rPr>
          <w:sz w:val="28"/>
        </w:rPr>
        <w:t xml:space="preserve"> дано заключение составило 100%;</w:t>
      </w:r>
      <w:r>
        <w:rPr>
          <w:sz w:val="28"/>
        </w:rPr>
        <w:t xml:space="preserve"> </w:t>
      </w:r>
    </w:p>
    <w:p w14:paraId="62010000">
      <w:pPr>
        <w:widowControl w:val="1"/>
        <w:ind w:firstLine="851"/>
        <w:jc w:val="both"/>
        <w:rPr>
          <w:sz w:val="28"/>
        </w:rPr>
      </w:pPr>
      <w:r>
        <w:rPr>
          <w:sz w:val="28"/>
        </w:rPr>
        <w:t>Д</w:t>
      </w:r>
      <w:r>
        <w:rPr>
          <w:sz w:val="28"/>
        </w:rPr>
        <w:t>оля удовлетворенных исков в защиту неопределенного круга лиц - 100%.</w:t>
      </w:r>
    </w:p>
    <w:p w14:paraId="63010000">
      <w:pPr>
        <w:widowControl w:val="1"/>
        <w:ind w:firstLine="851"/>
        <w:jc w:val="both"/>
        <w:rPr>
          <w:sz w:val="28"/>
        </w:rPr>
      </w:pPr>
      <w:r>
        <w:rPr>
          <w:sz w:val="28"/>
        </w:rPr>
        <w:t xml:space="preserve">Судебной практику в 2023-2025 </w:t>
      </w:r>
      <w:r>
        <w:rPr>
          <w:sz w:val="28"/>
        </w:rPr>
        <w:t>г.г</w:t>
      </w:r>
      <w:r>
        <w:rPr>
          <w:sz w:val="28"/>
        </w:rPr>
        <w:t xml:space="preserve">. осуществляли </w:t>
      </w:r>
      <w:r>
        <w:rPr>
          <w:sz w:val="28"/>
        </w:rPr>
        <w:t>Алданский</w:t>
      </w:r>
      <w:r>
        <w:rPr>
          <w:sz w:val="28"/>
        </w:rPr>
        <w:t xml:space="preserve">, Ленский, </w:t>
      </w:r>
      <w:r>
        <w:rPr>
          <w:sz w:val="28"/>
        </w:rPr>
        <w:t>Нерюнгринский</w:t>
      </w:r>
      <w:r>
        <w:rPr>
          <w:sz w:val="28"/>
        </w:rPr>
        <w:t xml:space="preserve">, </w:t>
      </w:r>
      <w:r>
        <w:rPr>
          <w:sz w:val="28"/>
        </w:rPr>
        <w:t>Мирнинский</w:t>
      </w:r>
      <w:r>
        <w:rPr>
          <w:sz w:val="28"/>
        </w:rPr>
        <w:t xml:space="preserve"> районы и г. Якутск. </w:t>
      </w:r>
    </w:p>
    <w:p w14:paraId="64010000">
      <w:pPr>
        <w:widowControl w:val="1"/>
        <w:ind/>
        <w:jc w:val="both"/>
        <w:rPr>
          <w:sz w:val="28"/>
          <w:highlight w:val="green"/>
        </w:rPr>
      </w:pPr>
    </w:p>
    <w:tbl>
      <w:tblPr>
        <w:tblStyle w:val="Style_9"/>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6256"/>
        <w:gridCol w:w="1605"/>
        <w:gridCol w:w="1369"/>
        <w:gridCol w:w="1251"/>
        <w:gridCol w:w="1809"/>
      </w:tblGrid>
      <w:tr>
        <w:trPr>
          <w:trHeight w:hRule="atLeast" w:val="130"/>
        </w:trPr>
        <w:tc>
          <w:tcPr>
            <w:tcW w:type="dxa" w:w="6256"/>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5010000">
            <w:pPr>
              <w:widowControl w:val="1"/>
              <w:ind/>
              <w:jc w:val="center"/>
            </w:pPr>
          </w:p>
        </w:tc>
        <w:tc>
          <w:tcPr>
            <w:tcW w:type="dxa" w:w="1605"/>
            <w:tcBorders>
              <w:top w:color="000000" w:sz="4" w:val="single"/>
              <w:left w:color="000000" w:sz="4" w:val="single"/>
              <w:bottom w:color="000000" w:sz="4" w:val="single"/>
              <w:right w:color="000000" w:sz="4" w:val="single"/>
            </w:tcBorders>
            <w:tcMar>
              <w:left w:type="dxa" w:w="0"/>
              <w:right w:type="dxa" w:w="0"/>
            </w:tcMar>
            <w:vAlign w:val="center"/>
          </w:tcPr>
          <w:p w14:paraId="66010000">
            <w:pPr>
              <w:widowControl w:val="1"/>
              <w:ind/>
              <w:jc w:val="center"/>
              <w:rPr>
                <w:b w:val="1"/>
                <w:color w:val="000000"/>
              </w:rPr>
            </w:pPr>
            <w:r>
              <w:rPr>
                <w:b w:val="1"/>
                <w:color w:val="000000"/>
              </w:rPr>
              <w:t>2023 год</w:t>
            </w:r>
          </w:p>
        </w:tc>
        <w:tc>
          <w:tcPr>
            <w:tcW w:type="dxa" w:w="1369"/>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7010000">
            <w:pPr>
              <w:widowControl w:val="1"/>
              <w:ind/>
              <w:jc w:val="center"/>
            </w:pPr>
            <w:r>
              <w:rPr>
                <w:b w:val="1"/>
                <w:color w:val="000000"/>
              </w:rPr>
              <w:t>2024 год</w:t>
            </w:r>
          </w:p>
        </w:tc>
        <w:tc>
          <w:tcPr>
            <w:tcW w:type="dxa" w:w="1251"/>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8010000">
            <w:pPr>
              <w:widowControl w:val="1"/>
              <w:ind/>
              <w:jc w:val="center"/>
            </w:pPr>
            <w:r>
              <w:rPr>
                <w:b w:val="1"/>
                <w:color w:val="000000"/>
              </w:rPr>
              <w:t>2025 год</w:t>
            </w:r>
          </w:p>
        </w:tc>
        <w:tc>
          <w:tcPr>
            <w:tcW w:type="dxa" w:w="1809"/>
            <w:tcBorders>
              <w:top w:color="000000" w:sz="4" w:val="single"/>
              <w:left w:color="000000" w:sz="4" w:val="single"/>
              <w:bottom w:color="000000" w:sz="4" w:val="single"/>
              <w:right w:color="000000" w:sz="4" w:val="single"/>
            </w:tcBorders>
            <w:tcMar>
              <w:left w:type="dxa" w:w="0"/>
              <w:right w:type="dxa" w:w="0"/>
            </w:tcMar>
          </w:tcPr>
          <w:p w14:paraId="69010000">
            <w:pPr>
              <w:widowControl w:val="1"/>
              <w:ind/>
              <w:jc w:val="center"/>
              <w:rPr>
                <w:b w:val="1"/>
                <w:color w:val="000000"/>
              </w:rPr>
            </w:pPr>
            <w:r>
              <w:rPr>
                <w:b w:val="1"/>
                <w:color w:val="000000"/>
              </w:rPr>
              <w:t>Итого за 3 года</w:t>
            </w:r>
          </w:p>
        </w:tc>
      </w:tr>
      <w:tr>
        <w:trPr>
          <w:trHeight w:hRule="atLeast" w:val="336"/>
        </w:trPr>
        <w:tc>
          <w:tcPr>
            <w:tcW w:type="dxa" w:w="6256"/>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A010000">
            <w:pPr>
              <w:widowControl w:val="1"/>
              <w:ind/>
              <w:jc w:val="center"/>
            </w:pPr>
            <w:r>
              <w:rPr>
                <w:color w:val="000000"/>
              </w:rPr>
              <w:t>Исковые заявления</w:t>
            </w:r>
          </w:p>
        </w:tc>
        <w:tc>
          <w:tcPr>
            <w:tcW w:type="dxa" w:w="1605"/>
            <w:tcBorders>
              <w:top w:color="000000" w:sz="4" w:val="single"/>
              <w:left w:color="000000" w:sz="4" w:val="single"/>
              <w:bottom w:color="000000" w:sz="4" w:val="single"/>
              <w:right w:color="000000" w:sz="4" w:val="single"/>
            </w:tcBorders>
            <w:tcMar>
              <w:left w:type="dxa" w:w="0"/>
              <w:right w:type="dxa" w:w="0"/>
            </w:tcMar>
            <w:vAlign w:val="center"/>
          </w:tcPr>
          <w:p w14:paraId="6B010000">
            <w:pPr>
              <w:widowControl w:val="1"/>
              <w:ind/>
              <w:jc w:val="center"/>
              <w:rPr>
                <w:color w:val="000000"/>
              </w:rPr>
            </w:pPr>
            <w:r>
              <w:rPr>
                <w:color w:val="000000"/>
              </w:rPr>
              <w:t>35</w:t>
            </w:r>
          </w:p>
        </w:tc>
        <w:tc>
          <w:tcPr>
            <w:tcW w:type="dxa" w:w="1369"/>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C010000">
            <w:pPr>
              <w:widowControl w:val="1"/>
              <w:ind/>
              <w:jc w:val="center"/>
            </w:pPr>
            <w:r>
              <w:rPr>
                <w:color w:val="000000"/>
              </w:rPr>
              <w:t>18</w:t>
            </w:r>
          </w:p>
        </w:tc>
        <w:tc>
          <w:tcPr>
            <w:tcW w:type="dxa" w:w="1251"/>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D010000">
            <w:pPr>
              <w:widowControl w:val="1"/>
              <w:ind/>
              <w:jc w:val="center"/>
            </w:pPr>
            <w:r>
              <w:rPr>
                <w:color w:val="000000"/>
              </w:rPr>
              <w:t>11</w:t>
            </w:r>
          </w:p>
        </w:tc>
        <w:tc>
          <w:tcPr>
            <w:tcW w:type="dxa" w:w="1809"/>
            <w:tcBorders>
              <w:top w:color="000000" w:sz="4" w:val="single"/>
              <w:left w:color="000000" w:sz="4" w:val="single"/>
              <w:bottom w:color="000000" w:sz="4" w:val="single"/>
              <w:right w:color="000000" w:sz="4" w:val="single"/>
            </w:tcBorders>
            <w:tcMar>
              <w:left w:type="dxa" w:w="0"/>
              <w:right w:type="dxa" w:w="0"/>
            </w:tcMar>
          </w:tcPr>
          <w:p w14:paraId="6E010000">
            <w:pPr>
              <w:widowControl w:val="1"/>
              <w:ind/>
              <w:jc w:val="center"/>
              <w:rPr>
                <w:color w:val="000000"/>
              </w:rPr>
            </w:pPr>
            <w:r>
              <w:rPr>
                <w:color w:val="000000"/>
              </w:rPr>
              <w:t>64</w:t>
            </w:r>
          </w:p>
        </w:tc>
      </w:tr>
      <w:tr>
        <w:trPr>
          <w:trHeight w:hRule="atLeast" w:val="227"/>
        </w:trPr>
        <w:tc>
          <w:tcPr>
            <w:tcW w:type="dxa" w:w="6256"/>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6F010000">
            <w:pPr>
              <w:widowControl w:val="1"/>
              <w:ind/>
              <w:jc w:val="center"/>
            </w:pPr>
            <w:r>
              <w:rPr>
                <w:color w:val="000000"/>
              </w:rPr>
              <w:t>Заключения по делу</w:t>
            </w:r>
          </w:p>
        </w:tc>
        <w:tc>
          <w:tcPr>
            <w:tcW w:type="dxa" w:w="1605"/>
            <w:tcBorders>
              <w:top w:color="000000" w:sz="4" w:val="single"/>
              <w:left w:color="000000" w:sz="4" w:val="single"/>
              <w:bottom w:color="000000" w:sz="4" w:val="single"/>
              <w:right w:color="000000" w:sz="4" w:val="single"/>
            </w:tcBorders>
            <w:tcMar>
              <w:left w:type="dxa" w:w="0"/>
              <w:right w:type="dxa" w:w="0"/>
            </w:tcMar>
            <w:vAlign w:val="center"/>
          </w:tcPr>
          <w:p w14:paraId="70010000">
            <w:pPr>
              <w:widowControl w:val="1"/>
              <w:ind/>
              <w:jc w:val="center"/>
              <w:rPr>
                <w:color w:val="000000"/>
              </w:rPr>
            </w:pPr>
            <w:r>
              <w:rPr>
                <w:color w:val="000000"/>
              </w:rPr>
              <w:t>27</w:t>
            </w:r>
          </w:p>
        </w:tc>
        <w:tc>
          <w:tcPr>
            <w:tcW w:type="dxa" w:w="1369"/>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1010000">
            <w:pPr>
              <w:widowControl w:val="1"/>
              <w:ind/>
              <w:jc w:val="center"/>
            </w:pPr>
            <w:r>
              <w:rPr>
                <w:color w:val="000000"/>
              </w:rPr>
              <w:t>21</w:t>
            </w:r>
          </w:p>
        </w:tc>
        <w:tc>
          <w:tcPr>
            <w:tcW w:type="dxa" w:w="1251"/>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2010000">
            <w:pPr>
              <w:widowControl w:val="1"/>
              <w:ind/>
              <w:jc w:val="center"/>
            </w:pPr>
            <w:r>
              <w:rPr>
                <w:color w:val="000000"/>
              </w:rPr>
              <w:t>77</w:t>
            </w:r>
          </w:p>
        </w:tc>
        <w:tc>
          <w:tcPr>
            <w:tcW w:type="dxa" w:w="1809"/>
            <w:tcBorders>
              <w:top w:color="000000" w:sz="4" w:val="single"/>
              <w:left w:color="000000" w:sz="4" w:val="single"/>
              <w:bottom w:color="000000" w:sz="4" w:val="single"/>
              <w:right w:color="000000" w:sz="4" w:val="single"/>
            </w:tcBorders>
            <w:tcMar>
              <w:left w:type="dxa" w:w="0"/>
              <w:right w:type="dxa" w:w="0"/>
            </w:tcMar>
          </w:tcPr>
          <w:p w14:paraId="73010000">
            <w:pPr>
              <w:widowControl w:val="1"/>
              <w:ind/>
              <w:jc w:val="center"/>
              <w:rPr>
                <w:color w:val="000000"/>
              </w:rPr>
            </w:pPr>
            <w:r>
              <w:rPr>
                <w:color w:val="000000"/>
              </w:rPr>
              <w:t>125</w:t>
            </w:r>
          </w:p>
        </w:tc>
      </w:tr>
      <w:tr>
        <w:trPr>
          <w:trHeight w:hRule="atLeast" w:val="389"/>
        </w:trPr>
        <w:tc>
          <w:tcPr>
            <w:tcW w:type="dxa" w:w="6256"/>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4010000">
            <w:pPr>
              <w:widowControl w:val="1"/>
              <w:ind/>
              <w:jc w:val="center"/>
            </w:pPr>
            <w:r>
              <w:rPr>
                <w:color w:val="000000"/>
              </w:rPr>
              <w:t>Присужденная судом сумма в пользу потребителей (тыс.</w:t>
            </w:r>
            <w:r>
              <w:rPr>
                <w:color w:val="000000"/>
              </w:rPr>
              <w:t xml:space="preserve"> </w:t>
            </w:r>
            <w:r>
              <w:rPr>
                <w:color w:val="000000"/>
              </w:rPr>
              <w:t>руб</w:t>
            </w:r>
            <w:r>
              <w:rPr>
                <w:color w:val="000000"/>
              </w:rPr>
              <w:t>.</w:t>
            </w:r>
            <w:r>
              <w:rPr>
                <w:color w:val="000000"/>
              </w:rPr>
              <w:t>)</w:t>
            </w:r>
          </w:p>
        </w:tc>
        <w:tc>
          <w:tcPr>
            <w:tcW w:type="dxa" w:w="1605"/>
            <w:tcBorders>
              <w:top w:color="000000" w:sz="4" w:val="single"/>
              <w:left w:color="000000" w:sz="4" w:val="single"/>
              <w:bottom w:color="000000" w:sz="4" w:val="single"/>
              <w:right w:color="000000" w:sz="4" w:val="single"/>
            </w:tcBorders>
            <w:tcMar>
              <w:left w:type="dxa" w:w="0"/>
              <w:right w:type="dxa" w:w="0"/>
            </w:tcMar>
            <w:vAlign w:val="center"/>
          </w:tcPr>
          <w:p w14:paraId="75010000">
            <w:pPr>
              <w:ind/>
              <w:jc w:val="center"/>
            </w:pPr>
            <w:r>
              <w:t>7208,7</w:t>
            </w:r>
          </w:p>
        </w:tc>
        <w:tc>
          <w:tcPr>
            <w:tcW w:type="dxa" w:w="1369"/>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6010000">
            <w:pPr>
              <w:ind/>
              <w:jc w:val="center"/>
            </w:pPr>
            <w:r>
              <w:t>8082,8</w:t>
            </w:r>
          </w:p>
        </w:tc>
        <w:tc>
          <w:tcPr>
            <w:tcW w:type="dxa" w:w="1251"/>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7010000">
            <w:pPr>
              <w:ind/>
              <w:jc w:val="center"/>
            </w:pPr>
            <w:r>
              <w:t>9147</w:t>
            </w:r>
          </w:p>
        </w:tc>
        <w:tc>
          <w:tcPr>
            <w:tcW w:type="dxa" w:w="1809"/>
            <w:tcBorders>
              <w:top w:color="000000" w:sz="4" w:val="single"/>
              <w:left w:color="000000" w:sz="4" w:val="single"/>
              <w:bottom w:color="000000" w:sz="4" w:val="single"/>
              <w:right w:color="000000" w:sz="4" w:val="single"/>
            </w:tcBorders>
            <w:tcMar>
              <w:left w:type="dxa" w:w="0"/>
              <w:right w:type="dxa" w:w="0"/>
            </w:tcMar>
          </w:tcPr>
          <w:p w14:paraId="78010000">
            <w:pPr>
              <w:ind/>
              <w:jc w:val="center"/>
            </w:pPr>
            <w:r>
              <w:t>24438,5</w:t>
            </w:r>
          </w:p>
        </w:tc>
      </w:tr>
      <w:tr>
        <w:trPr>
          <w:trHeight w:hRule="atLeast" w:val="143"/>
        </w:trPr>
        <w:tc>
          <w:tcPr>
            <w:tcW w:type="dxa" w:w="6256"/>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9010000">
            <w:pPr>
              <w:widowControl w:val="1"/>
              <w:ind/>
              <w:jc w:val="center"/>
            </w:pPr>
            <w:r>
              <w:rPr>
                <w:color w:val="000000"/>
              </w:rPr>
              <w:t>Моральный вред (тыс.</w:t>
            </w:r>
            <w:r>
              <w:rPr>
                <w:color w:val="000000"/>
              </w:rPr>
              <w:t xml:space="preserve"> </w:t>
            </w:r>
            <w:r>
              <w:rPr>
                <w:color w:val="000000"/>
              </w:rPr>
              <w:t>руб</w:t>
            </w:r>
            <w:r>
              <w:rPr>
                <w:color w:val="000000"/>
              </w:rPr>
              <w:t>.</w:t>
            </w:r>
            <w:r>
              <w:rPr>
                <w:color w:val="000000"/>
              </w:rPr>
              <w:t>)</w:t>
            </w:r>
          </w:p>
        </w:tc>
        <w:tc>
          <w:tcPr>
            <w:tcW w:type="dxa" w:w="1605"/>
            <w:tcBorders>
              <w:top w:color="000000" w:sz="4" w:val="single"/>
              <w:left w:color="000000" w:sz="4" w:val="single"/>
              <w:bottom w:color="000000" w:sz="4" w:val="single"/>
              <w:right w:color="000000" w:sz="4" w:val="single"/>
            </w:tcBorders>
            <w:tcMar>
              <w:left w:type="dxa" w:w="0"/>
              <w:right w:type="dxa" w:w="0"/>
            </w:tcMar>
            <w:vAlign w:val="center"/>
          </w:tcPr>
          <w:p w14:paraId="7A010000">
            <w:pPr>
              <w:ind/>
              <w:jc w:val="center"/>
            </w:pPr>
            <w:r>
              <w:t>262,5</w:t>
            </w:r>
          </w:p>
        </w:tc>
        <w:tc>
          <w:tcPr>
            <w:tcW w:type="dxa" w:w="1369"/>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B010000">
            <w:pPr>
              <w:ind/>
              <w:jc w:val="center"/>
            </w:pPr>
            <w:r>
              <w:t>1060</w:t>
            </w:r>
          </w:p>
        </w:tc>
        <w:tc>
          <w:tcPr>
            <w:tcW w:type="dxa" w:w="1251"/>
            <w:tcBorders>
              <w:top w:color="000000" w:sz="4" w:val="single"/>
              <w:left w:color="000000" w:sz="4" w:val="single"/>
              <w:bottom w:color="000000" w:sz="4" w:val="single"/>
              <w:right w:color="000000" w:sz="4" w:val="single"/>
            </w:tcBorders>
            <w:shd w:fill="auto" w:val="clear"/>
            <w:tcMar>
              <w:top w:type="dxa" w:w="72"/>
              <w:left w:type="dxa" w:w="144"/>
              <w:bottom w:type="dxa" w:w="72"/>
              <w:right w:type="dxa" w:w="144"/>
            </w:tcMar>
            <w:vAlign w:val="center"/>
          </w:tcPr>
          <w:p w14:paraId="7C010000">
            <w:pPr>
              <w:ind/>
              <w:jc w:val="center"/>
            </w:pPr>
            <w:r>
              <w:t>931</w:t>
            </w:r>
          </w:p>
        </w:tc>
        <w:tc>
          <w:tcPr>
            <w:tcW w:type="dxa" w:w="1809"/>
            <w:tcBorders>
              <w:top w:color="000000" w:sz="4" w:val="single"/>
              <w:left w:color="000000" w:sz="4" w:val="single"/>
              <w:bottom w:color="000000" w:sz="4" w:val="single"/>
              <w:right w:color="000000" w:sz="4" w:val="single"/>
            </w:tcBorders>
            <w:tcMar>
              <w:left w:type="dxa" w:w="0"/>
              <w:right w:type="dxa" w:w="0"/>
            </w:tcMar>
          </w:tcPr>
          <w:p w14:paraId="7D010000">
            <w:pPr>
              <w:ind/>
              <w:jc w:val="center"/>
            </w:pPr>
            <w:r>
              <w:t>2253,5</w:t>
            </w:r>
          </w:p>
        </w:tc>
      </w:tr>
    </w:tbl>
    <w:p w14:paraId="7E010000">
      <w:pPr>
        <w:widowControl w:val="1"/>
        <w:ind w:firstLine="851"/>
        <w:jc w:val="both"/>
        <w:rPr>
          <w:sz w:val="28"/>
        </w:rPr>
      </w:pPr>
    </w:p>
    <w:p w14:paraId="7F010000">
      <w:pPr>
        <w:pStyle w:val="Style_4"/>
        <w:widowControl w:val="1"/>
        <w:numPr>
          <w:ilvl w:val="1"/>
          <w:numId w:val="10"/>
        </w:numPr>
        <w:tabs>
          <w:tab w:leader="none" w:pos="1276" w:val="left"/>
        </w:tabs>
        <w:ind w:firstLine="851" w:left="0"/>
        <w:jc w:val="both"/>
        <w:rPr>
          <w:b w:val="1"/>
          <w:sz w:val="28"/>
        </w:rPr>
      </w:pPr>
      <w:r>
        <w:rPr>
          <w:b w:val="1"/>
          <w:sz w:val="28"/>
        </w:rPr>
        <w:t>Надзор (контроль) в сфере защиты прав потребителей.</w:t>
      </w:r>
    </w:p>
    <w:p w14:paraId="80010000">
      <w:pPr>
        <w:pStyle w:val="Style_4"/>
        <w:widowControl w:val="1"/>
        <w:ind w:firstLine="850" w:left="1"/>
        <w:jc w:val="both"/>
        <w:rPr>
          <w:b w:val="1"/>
          <w:sz w:val="28"/>
        </w:rPr>
      </w:pPr>
    </w:p>
    <w:p w14:paraId="81010000">
      <w:pPr>
        <w:pStyle w:val="Style_4"/>
        <w:widowControl w:val="1"/>
        <w:ind w:firstLine="850" w:left="1"/>
        <w:jc w:val="both"/>
        <w:rPr>
          <w:sz w:val="28"/>
        </w:rPr>
      </w:pPr>
      <w:r>
        <w:rPr>
          <w:sz w:val="28"/>
        </w:rPr>
        <w:t>Полномочиями надзора (контроля) в сфере защиты прав потребителей наделена Федеральная служба по надзору в сфере защиты прав потребителей и благополучия человека (</w:t>
      </w:r>
      <w:r>
        <w:rPr>
          <w:sz w:val="28"/>
        </w:rPr>
        <w:t>Роспотребнадзор</w:t>
      </w:r>
      <w:r>
        <w:rPr>
          <w:sz w:val="28"/>
        </w:rPr>
        <w:t>).</w:t>
      </w:r>
    </w:p>
    <w:p w14:paraId="82010000">
      <w:pPr>
        <w:pStyle w:val="Style_4"/>
        <w:widowControl w:val="1"/>
        <w:ind w:firstLine="850" w:left="1"/>
        <w:jc w:val="both"/>
        <w:rPr>
          <w:sz w:val="28"/>
        </w:rPr>
      </w:pPr>
    </w:p>
    <w:p w14:paraId="83010000">
      <w:pPr>
        <w:widowControl w:val="1"/>
        <w:ind w:firstLine="851"/>
        <w:jc w:val="both"/>
        <w:rPr>
          <w:sz w:val="28"/>
        </w:rPr>
      </w:pPr>
      <w:r>
        <w:rPr>
          <w:sz w:val="28"/>
        </w:rPr>
        <w:t>Согласно Положению о федеральном государственном контроле (надзоре) в области защиты прав потребителей, утверждённому Постановлением Правительства РФ от 25 июня 2021 года №1005 (с изменениями на 15 октября 2025 года), предметом государственного контроля (надзора) является:</w:t>
      </w:r>
    </w:p>
    <w:p w14:paraId="84010000">
      <w:pPr>
        <w:pStyle w:val="Style_4"/>
        <w:widowControl w:val="1"/>
        <w:numPr>
          <w:ilvl w:val="0"/>
          <w:numId w:val="12"/>
        </w:numPr>
        <w:ind w:firstLine="851" w:left="0"/>
        <w:jc w:val="both"/>
        <w:rPr>
          <w:sz w:val="28"/>
        </w:rPr>
      </w:pPr>
      <w:r>
        <w:rPr>
          <w:sz w:val="28"/>
        </w:rPr>
        <w:t xml:space="preserve">Соблюдение изготовителями, исполнителями, продавцами, уполномоченными организациями или уполномоченными индивидуальными предпринимателями, импортёрами, владельцами </w:t>
      </w:r>
      <w:r>
        <w:rPr>
          <w:sz w:val="28"/>
        </w:rPr>
        <w:t>агрегаторов</w:t>
      </w:r>
      <w:r>
        <w:rPr>
          <w:sz w:val="28"/>
        </w:rPr>
        <w:t xml:space="preserve"> обязательных требований, установленных Законом РФ «О защите прав потребителей», другими федеральными законами и иными нормативными правовыми актами РФ, а также актами, составляющими право Евразийского экономического союза, регулирующими отношения в области защиты прав потребителей. </w:t>
      </w:r>
    </w:p>
    <w:p w14:paraId="85010000">
      <w:pPr>
        <w:pStyle w:val="Style_4"/>
        <w:widowControl w:val="1"/>
        <w:numPr>
          <w:ilvl w:val="0"/>
          <w:numId w:val="12"/>
        </w:numPr>
        <w:ind w:firstLine="851" w:left="0"/>
        <w:jc w:val="both"/>
        <w:rPr>
          <w:sz w:val="28"/>
        </w:rPr>
      </w:pPr>
      <w:r>
        <w:rPr>
          <w:sz w:val="28"/>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вступления в силу технических регламентов в соответствии с Федеральным законом «О техническом регулировании». При этом важно, чтобы объекты технического регулирования являлись предметом отношений с участием потребителя, а установленные обязательные требования были направлены на обеспечение соответствующих прав потребителя. </w:t>
      </w:r>
    </w:p>
    <w:p w14:paraId="86010000">
      <w:pPr>
        <w:pStyle w:val="Style_4"/>
        <w:widowControl w:val="1"/>
        <w:numPr>
          <w:ilvl w:val="0"/>
          <w:numId w:val="12"/>
        </w:numPr>
        <w:ind w:firstLine="851" w:left="0"/>
        <w:jc w:val="both"/>
        <w:rPr>
          <w:sz w:val="28"/>
        </w:rPr>
      </w:pPr>
      <w:r>
        <w:rPr>
          <w:sz w:val="28"/>
        </w:rPr>
        <w:t xml:space="preserve">Соблюдение продавцами и владельцами </w:t>
      </w:r>
      <w:r>
        <w:rPr>
          <w:sz w:val="28"/>
        </w:rPr>
        <w:t>агрегаторов</w:t>
      </w:r>
      <w:r>
        <w:rPr>
          <w:sz w:val="28"/>
        </w:rPr>
        <w:t xml:space="preserve">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таких товаров. При этом исключение составляют требования, которые относятся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 </w:t>
      </w:r>
    </w:p>
    <w:p w14:paraId="87010000">
      <w:pPr>
        <w:widowControl w:val="1"/>
        <w:ind/>
        <w:jc w:val="both"/>
        <w:rPr>
          <w:sz w:val="28"/>
        </w:rPr>
      </w:pPr>
    </w:p>
    <w:p w14:paraId="88010000">
      <w:pPr>
        <w:widowControl w:val="1"/>
        <w:ind w:firstLine="851"/>
        <w:jc w:val="both"/>
        <w:rPr>
          <w:sz w:val="28"/>
        </w:rPr>
      </w:pPr>
      <w:r>
        <w:rPr>
          <w:sz w:val="28"/>
        </w:rPr>
        <w:t>Управление</w:t>
      </w:r>
      <w:r>
        <w:rPr>
          <w:sz w:val="28"/>
        </w:rPr>
        <w:t>м</w:t>
      </w:r>
      <w:r>
        <w:rPr>
          <w:sz w:val="28"/>
        </w:rPr>
        <w:t xml:space="preserve"> Роспотребнадзора по Республике Саха (Якутия) в период с 2023 по 2025 год </w:t>
      </w:r>
      <w:r>
        <w:rPr>
          <w:sz w:val="28"/>
        </w:rPr>
        <w:t>проведены</w:t>
      </w:r>
      <w:r>
        <w:rPr>
          <w:sz w:val="28"/>
        </w:rPr>
        <w:t xml:space="preserve"> профилактические и контрольно-надзорные мероприятия в соответствии с Федеральным законом № 248-ФЗ «О государственном контроле (надзоре) и муниципальном контроле в Российской Федерации», направленные на защиту прав потребителей и контроль за соблюдением обязательных требований при обороте товаров, подлежащих обязательной маркировке средствами идентификации.</w:t>
      </w:r>
    </w:p>
    <w:p w14:paraId="89010000">
      <w:pPr>
        <w:widowControl w:val="1"/>
        <w:ind w:firstLine="851"/>
        <w:jc w:val="both"/>
        <w:rPr>
          <w:sz w:val="28"/>
        </w:rPr>
      </w:pPr>
      <w:r>
        <w:rPr>
          <w:sz w:val="28"/>
        </w:rPr>
        <w:t>В рамках указанных мероприятий реализуются следующие виды деятельности:</w:t>
      </w:r>
    </w:p>
    <w:p w14:paraId="8A010000">
      <w:pPr>
        <w:widowControl w:val="1"/>
        <w:numPr>
          <w:ilvl w:val="0"/>
          <w:numId w:val="13"/>
        </w:numPr>
        <w:ind w:firstLine="851" w:left="0"/>
        <w:jc w:val="both"/>
        <w:rPr>
          <w:sz w:val="28"/>
        </w:rPr>
      </w:pPr>
      <w:r>
        <w:rPr>
          <w:b w:val="1"/>
          <w:sz w:val="28"/>
        </w:rPr>
        <w:t>Информирование</w:t>
      </w:r>
      <w:r>
        <w:rPr>
          <w:sz w:val="28"/>
        </w:rPr>
        <w:t>: Организация мероприятий по своевременному и полному информированию потребителей и хозяйствующих субъектов о действующем законодательстве, правах и обязанностях в сфере защиты прав потребителей, а также о требованиях к обороту маркированных товаров.</w:t>
      </w:r>
    </w:p>
    <w:p w14:paraId="8B010000">
      <w:pPr>
        <w:widowControl w:val="1"/>
        <w:numPr>
          <w:ilvl w:val="0"/>
          <w:numId w:val="13"/>
        </w:numPr>
        <w:ind w:firstLine="851" w:left="0"/>
        <w:jc w:val="both"/>
        <w:rPr>
          <w:sz w:val="28"/>
        </w:rPr>
      </w:pPr>
      <w:r>
        <w:rPr>
          <w:b w:val="1"/>
          <w:sz w:val="28"/>
        </w:rPr>
        <w:t>Консультирование</w:t>
      </w:r>
      <w:r>
        <w:rPr>
          <w:sz w:val="28"/>
        </w:rPr>
        <w:t>: Предоставление гражданам и организациям разъяснений и консультаций по вопросам, связанным с защитой прав потребителей и соблюдением обязательных требований при обороте товаров, подлежащих маркировке.</w:t>
      </w:r>
    </w:p>
    <w:p w14:paraId="8C010000">
      <w:pPr>
        <w:widowControl w:val="1"/>
        <w:numPr>
          <w:ilvl w:val="0"/>
          <w:numId w:val="13"/>
        </w:numPr>
        <w:ind w:firstLine="851" w:left="0"/>
        <w:jc w:val="both"/>
        <w:rPr>
          <w:sz w:val="28"/>
        </w:rPr>
      </w:pPr>
      <w:r>
        <w:rPr>
          <w:b w:val="1"/>
          <w:sz w:val="28"/>
        </w:rPr>
        <w:t>Объявление предостережения</w:t>
      </w:r>
      <w:r>
        <w:rPr>
          <w:sz w:val="28"/>
        </w:rPr>
        <w:t>: Вынесение предостережений контролируемым лицам о недопустимости нарушения обязательных требований, в случаях, когда имеются обоснованные сомнения в добросовестности их поведения, но отсутствуют достаточные основания для проведения контрольно-надзорных мероприятий.</w:t>
      </w:r>
    </w:p>
    <w:p w14:paraId="8D010000">
      <w:pPr>
        <w:widowControl w:val="1"/>
        <w:numPr>
          <w:ilvl w:val="0"/>
          <w:numId w:val="13"/>
        </w:numPr>
        <w:ind w:firstLine="851" w:left="0"/>
        <w:jc w:val="both"/>
        <w:rPr>
          <w:sz w:val="28"/>
        </w:rPr>
      </w:pPr>
      <w:r>
        <w:rPr>
          <w:b w:val="1"/>
          <w:sz w:val="28"/>
        </w:rPr>
        <w:t>Проведение контрольно-надзорных мероприятий (далее – КНМ)</w:t>
      </w:r>
      <w:r>
        <w:rPr>
          <w:sz w:val="28"/>
        </w:rPr>
        <w:t>: Осуществление внеплановых проверок, осмотров, рейдовых осмотров и других форм КНМ в целях проверки соблюдения обязательных требований.</w:t>
      </w:r>
    </w:p>
    <w:p w14:paraId="8E010000">
      <w:pPr>
        <w:widowControl w:val="1"/>
        <w:ind w:firstLine="851"/>
        <w:jc w:val="both"/>
        <w:rPr>
          <w:sz w:val="28"/>
        </w:rPr>
      </w:pPr>
      <w:r>
        <w:rPr>
          <w:sz w:val="28"/>
        </w:rPr>
        <w:t>Основаниями для проведения КНМ в 2023-2025 годах являлись:</w:t>
      </w:r>
    </w:p>
    <w:p w14:paraId="8F010000">
      <w:pPr>
        <w:widowControl w:val="1"/>
        <w:numPr>
          <w:ilvl w:val="0"/>
          <w:numId w:val="14"/>
        </w:numPr>
        <w:ind w:firstLine="851" w:left="0"/>
        <w:jc w:val="both"/>
        <w:rPr>
          <w:sz w:val="28"/>
        </w:rPr>
      </w:pPr>
      <w:r>
        <w:rPr>
          <w:b w:val="1"/>
          <w:sz w:val="28"/>
        </w:rPr>
        <w:t>Срабатывание индикаторов риска</w:t>
      </w:r>
      <w:r>
        <w:rPr>
          <w:sz w:val="28"/>
        </w:rPr>
        <w:t>: В соответствии с Приказом Федеральной службы по надзору в сфере защиты прав потребителей и благополучия человека от 14 сентября 2023 г. № 635, устанавливающим 51 индикатор риска, фиксировалось возникновение обстоятельств, свидетельствующих о высокой вероятности нарушения обязательных требований.</w:t>
      </w:r>
    </w:p>
    <w:p w14:paraId="90010000">
      <w:pPr>
        <w:widowControl w:val="1"/>
        <w:numPr>
          <w:ilvl w:val="0"/>
          <w:numId w:val="14"/>
        </w:numPr>
        <w:ind w:firstLine="851" w:left="0"/>
        <w:jc w:val="both"/>
        <w:rPr>
          <w:sz w:val="28"/>
        </w:rPr>
      </w:pPr>
      <w:r>
        <w:rPr>
          <w:b w:val="1"/>
          <w:sz w:val="28"/>
        </w:rPr>
        <w:t>Отсутствие регистрации участника оборота маркированных товаров в Государственной информационной системе маркировки товаров (ГИС МТ)</w:t>
      </w:r>
      <w:r>
        <w:rPr>
          <w:sz w:val="28"/>
        </w:rPr>
        <w:t>: Выявление случаев, когда хозяйствующие субъекты, осуществляющие оборот товаров, подлежащих обязательной маркировке, не прошли необходимую регистрацию в системе.</w:t>
      </w:r>
    </w:p>
    <w:p w14:paraId="91010000">
      <w:pPr>
        <w:widowControl w:val="1"/>
        <w:numPr>
          <w:ilvl w:val="0"/>
          <w:numId w:val="14"/>
        </w:numPr>
        <w:ind w:firstLine="851" w:left="0"/>
        <w:jc w:val="both"/>
        <w:rPr>
          <w:sz w:val="28"/>
        </w:rPr>
      </w:pPr>
      <w:r>
        <w:rPr>
          <w:b w:val="1"/>
          <w:sz w:val="28"/>
        </w:rPr>
        <w:t>Наличие у участника оборота маркированных товаров значительного количества отклонений при обороте товаров, подлежащих обязательной маркировке средствами идентификации</w:t>
      </w:r>
      <w:r>
        <w:rPr>
          <w:sz w:val="28"/>
        </w:rPr>
        <w:t>: Фиксация систематических нарушений в процессе оборота маркированной продукции, выражающихся в многочисленных несоответствиях установленным требованиям.</w:t>
      </w:r>
    </w:p>
    <w:p w14:paraId="92010000">
      <w:pPr>
        <w:widowControl w:val="1"/>
        <w:numPr>
          <w:ilvl w:val="0"/>
          <w:numId w:val="14"/>
        </w:numPr>
        <w:ind w:firstLine="851" w:left="0"/>
        <w:jc w:val="both"/>
        <w:rPr>
          <w:sz w:val="28"/>
        </w:rPr>
      </w:pPr>
      <w:r>
        <w:rPr>
          <w:b w:val="1"/>
          <w:sz w:val="28"/>
        </w:rPr>
        <w:t>Требование прокуратуры Республики Саха (Якутия)</w:t>
      </w:r>
      <w:r>
        <w:rPr>
          <w:sz w:val="28"/>
        </w:rPr>
        <w:t>: Исполнение требований и запросов, выданных органами прокуратуры в рамках их надзорной деятельности.</w:t>
      </w:r>
    </w:p>
    <w:p w14:paraId="93010000">
      <w:pPr>
        <w:ind/>
        <w:jc w:val="both"/>
        <w:rPr>
          <w:sz w:val="26"/>
        </w:rPr>
      </w:pPr>
    </w:p>
    <w:tbl>
      <w:tblPr>
        <w:tblStyle w:val="Style_8"/>
        <w:tblW w:type="auto" w:w="0"/>
        <w:jc w:val="center"/>
        <w:tblLayout w:type="fixed"/>
      </w:tblPr>
      <w:tblGrid>
        <w:gridCol w:w="675"/>
        <w:gridCol w:w="4157"/>
        <w:gridCol w:w="1218"/>
        <w:gridCol w:w="1245"/>
        <w:gridCol w:w="1259"/>
        <w:gridCol w:w="1974"/>
      </w:tblGrid>
      <w:tr>
        <w:tc>
          <w:tcPr>
            <w:tcW w:type="dxa" w:w="675"/>
            <w:vAlign w:val="center"/>
          </w:tcPr>
          <w:p w14:paraId="94010000">
            <w:pPr>
              <w:ind/>
              <w:jc w:val="center"/>
              <w:rPr>
                <w:b w:val="1"/>
                <w:sz w:val="24"/>
              </w:rPr>
            </w:pPr>
            <w:r>
              <w:rPr>
                <w:b w:val="1"/>
                <w:sz w:val="24"/>
              </w:rPr>
              <w:t>№</w:t>
            </w:r>
          </w:p>
        </w:tc>
        <w:tc>
          <w:tcPr>
            <w:tcW w:type="dxa" w:w="4157"/>
            <w:vAlign w:val="center"/>
          </w:tcPr>
          <w:p w14:paraId="95010000">
            <w:pPr>
              <w:ind/>
              <w:jc w:val="center"/>
              <w:rPr>
                <w:b w:val="1"/>
                <w:sz w:val="24"/>
              </w:rPr>
            </w:pPr>
            <w:r>
              <w:rPr>
                <w:b w:val="1"/>
                <w:sz w:val="24"/>
              </w:rPr>
              <w:t>Мероприятие</w:t>
            </w:r>
          </w:p>
        </w:tc>
        <w:tc>
          <w:tcPr>
            <w:tcW w:type="dxa" w:w="1218"/>
            <w:vAlign w:val="center"/>
          </w:tcPr>
          <w:p w14:paraId="96010000">
            <w:pPr>
              <w:ind/>
              <w:jc w:val="center"/>
              <w:rPr>
                <w:b w:val="1"/>
                <w:sz w:val="24"/>
              </w:rPr>
            </w:pPr>
            <w:r>
              <w:rPr>
                <w:b w:val="1"/>
                <w:sz w:val="24"/>
              </w:rPr>
              <w:t>2023</w:t>
            </w:r>
            <w:r>
              <w:rPr>
                <w:b w:val="1"/>
                <w:sz w:val="24"/>
              </w:rPr>
              <w:t xml:space="preserve"> год</w:t>
            </w:r>
          </w:p>
        </w:tc>
        <w:tc>
          <w:tcPr>
            <w:tcW w:type="dxa" w:w="1245"/>
            <w:vAlign w:val="center"/>
          </w:tcPr>
          <w:p w14:paraId="97010000">
            <w:pPr>
              <w:ind/>
              <w:jc w:val="center"/>
              <w:rPr>
                <w:b w:val="1"/>
                <w:sz w:val="24"/>
              </w:rPr>
            </w:pPr>
            <w:r>
              <w:rPr>
                <w:b w:val="1"/>
                <w:sz w:val="24"/>
              </w:rPr>
              <w:t>2024</w:t>
            </w:r>
            <w:r>
              <w:rPr>
                <w:b w:val="1"/>
                <w:sz w:val="24"/>
              </w:rPr>
              <w:t xml:space="preserve"> год</w:t>
            </w:r>
          </w:p>
        </w:tc>
        <w:tc>
          <w:tcPr>
            <w:tcW w:type="dxa" w:w="1259"/>
            <w:vAlign w:val="center"/>
          </w:tcPr>
          <w:p w14:paraId="98010000">
            <w:pPr>
              <w:ind/>
              <w:jc w:val="center"/>
              <w:rPr>
                <w:b w:val="1"/>
                <w:sz w:val="24"/>
              </w:rPr>
            </w:pPr>
            <w:r>
              <w:rPr>
                <w:b w:val="1"/>
                <w:sz w:val="24"/>
              </w:rPr>
              <w:t>2025</w:t>
            </w:r>
            <w:r>
              <w:rPr>
                <w:b w:val="1"/>
                <w:sz w:val="24"/>
              </w:rPr>
              <w:t xml:space="preserve"> год</w:t>
            </w:r>
          </w:p>
        </w:tc>
        <w:tc>
          <w:tcPr>
            <w:tcW w:type="dxa" w:w="1974"/>
            <w:vAlign w:val="center"/>
          </w:tcPr>
          <w:p w14:paraId="99010000">
            <w:pPr>
              <w:ind/>
              <w:jc w:val="center"/>
              <w:rPr>
                <w:b w:val="1"/>
                <w:sz w:val="24"/>
              </w:rPr>
            </w:pPr>
            <w:r>
              <w:rPr>
                <w:b w:val="1"/>
                <w:sz w:val="24"/>
              </w:rPr>
              <w:t>Итого за 3 года</w:t>
            </w:r>
          </w:p>
        </w:tc>
      </w:tr>
      <w:tr>
        <w:tc>
          <w:tcPr>
            <w:tcW w:type="dxa" w:w="675"/>
            <w:vAlign w:val="center"/>
          </w:tcPr>
          <w:p w14:paraId="9A010000">
            <w:pPr>
              <w:ind/>
              <w:jc w:val="center"/>
              <w:rPr>
                <w:sz w:val="24"/>
              </w:rPr>
            </w:pPr>
            <w:r>
              <w:rPr>
                <w:sz w:val="24"/>
              </w:rPr>
              <w:t>1</w:t>
            </w:r>
          </w:p>
        </w:tc>
        <w:tc>
          <w:tcPr>
            <w:tcW w:type="dxa" w:w="4157"/>
            <w:vAlign w:val="center"/>
          </w:tcPr>
          <w:p w14:paraId="9B010000">
            <w:pPr>
              <w:ind/>
              <w:jc w:val="center"/>
              <w:rPr>
                <w:sz w:val="24"/>
              </w:rPr>
            </w:pPr>
            <w:r>
              <w:rPr>
                <w:sz w:val="24"/>
              </w:rPr>
              <w:t>Информирование</w:t>
            </w:r>
          </w:p>
        </w:tc>
        <w:tc>
          <w:tcPr>
            <w:tcW w:type="dxa" w:w="1218"/>
            <w:vAlign w:val="center"/>
          </w:tcPr>
          <w:p w14:paraId="9C010000">
            <w:pPr>
              <w:ind/>
              <w:jc w:val="center"/>
              <w:rPr>
                <w:sz w:val="24"/>
              </w:rPr>
            </w:pPr>
            <w:r>
              <w:rPr>
                <w:sz w:val="24"/>
              </w:rPr>
              <w:t>403</w:t>
            </w:r>
          </w:p>
        </w:tc>
        <w:tc>
          <w:tcPr>
            <w:tcW w:type="dxa" w:w="1245"/>
            <w:vAlign w:val="center"/>
          </w:tcPr>
          <w:p w14:paraId="9D010000">
            <w:pPr>
              <w:ind/>
              <w:jc w:val="center"/>
              <w:rPr>
                <w:sz w:val="24"/>
              </w:rPr>
            </w:pPr>
            <w:r>
              <w:rPr>
                <w:sz w:val="24"/>
              </w:rPr>
              <w:t>301</w:t>
            </w:r>
          </w:p>
        </w:tc>
        <w:tc>
          <w:tcPr>
            <w:tcW w:type="dxa" w:w="1259"/>
            <w:vAlign w:val="center"/>
          </w:tcPr>
          <w:p w14:paraId="9E010000">
            <w:pPr>
              <w:ind/>
              <w:jc w:val="center"/>
              <w:rPr>
                <w:sz w:val="24"/>
              </w:rPr>
            </w:pPr>
            <w:r>
              <w:rPr>
                <w:sz w:val="24"/>
              </w:rPr>
              <w:t>720</w:t>
            </w:r>
          </w:p>
        </w:tc>
        <w:tc>
          <w:tcPr>
            <w:tcW w:type="dxa" w:w="1974"/>
            <w:vAlign w:val="center"/>
          </w:tcPr>
          <w:p w14:paraId="9F010000">
            <w:pPr>
              <w:ind/>
              <w:jc w:val="center"/>
              <w:rPr>
                <w:sz w:val="24"/>
              </w:rPr>
            </w:pPr>
            <w:r>
              <w:rPr>
                <w:sz w:val="24"/>
              </w:rPr>
              <w:t>1424</w:t>
            </w:r>
          </w:p>
        </w:tc>
      </w:tr>
      <w:tr>
        <w:tc>
          <w:tcPr>
            <w:tcW w:type="dxa" w:w="675"/>
            <w:vAlign w:val="center"/>
          </w:tcPr>
          <w:p w14:paraId="A0010000">
            <w:pPr>
              <w:ind/>
              <w:jc w:val="center"/>
              <w:rPr>
                <w:sz w:val="24"/>
              </w:rPr>
            </w:pPr>
            <w:r>
              <w:rPr>
                <w:sz w:val="24"/>
              </w:rPr>
              <w:t>2</w:t>
            </w:r>
          </w:p>
        </w:tc>
        <w:tc>
          <w:tcPr>
            <w:tcW w:type="dxa" w:w="4157"/>
            <w:vAlign w:val="center"/>
          </w:tcPr>
          <w:p w14:paraId="A1010000">
            <w:pPr>
              <w:ind/>
              <w:jc w:val="center"/>
              <w:rPr>
                <w:sz w:val="24"/>
              </w:rPr>
            </w:pPr>
            <w:r>
              <w:rPr>
                <w:sz w:val="24"/>
              </w:rPr>
              <w:t>Консультирование</w:t>
            </w:r>
          </w:p>
        </w:tc>
        <w:tc>
          <w:tcPr>
            <w:tcW w:type="dxa" w:w="1218"/>
            <w:vAlign w:val="center"/>
          </w:tcPr>
          <w:p w14:paraId="A2010000">
            <w:pPr>
              <w:ind/>
              <w:jc w:val="center"/>
              <w:rPr>
                <w:sz w:val="24"/>
              </w:rPr>
            </w:pPr>
            <w:r>
              <w:rPr>
                <w:sz w:val="24"/>
              </w:rPr>
              <w:t>680</w:t>
            </w:r>
          </w:p>
        </w:tc>
        <w:tc>
          <w:tcPr>
            <w:tcW w:type="dxa" w:w="1245"/>
            <w:vAlign w:val="center"/>
          </w:tcPr>
          <w:p w14:paraId="A3010000">
            <w:pPr>
              <w:ind/>
              <w:jc w:val="center"/>
              <w:rPr>
                <w:sz w:val="24"/>
              </w:rPr>
            </w:pPr>
            <w:r>
              <w:rPr>
                <w:sz w:val="24"/>
              </w:rPr>
              <w:t>1100</w:t>
            </w:r>
          </w:p>
        </w:tc>
        <w:tc>
          <w:tcPr>
            <w:tcW w:type="dxa" w:w="1259"/>
            <w:vAlign w:val="center"/>
          </w:tcPr>
          <w:p w14:paraId="A4010000">
            <w:pPr>
              <w:ind/>
              <w:jc w:val="center"/>
              <w:rPr>
                <w:sz w:val="24"/>
              </w:rPr>
            </w:pPr>
            <w:r>
              <w:rPr>
                <w:sz w:val="24"/>
              </w:rPr>
              <w:t>1408</w:t>
            </w:r>
          </w:p>
        </w:tc>
        <w:tc>
          <w:tcPr>
            <w:tcW w:type="dxa" w:w="1974"/>
            <w:vAlign w:val="center"/>
          </w:tcPr>
          <w:p w14:paraId="A5010000">
            <w:pPr>
              <w:ind/>
              <w:jc w:val="center"/>
              <w:rPr>
                <w:sz w:val="24"/>
              </w:rPr>
            </w:pPr>
            <w:r>
              <w:rPr>
                <w:sz w:val="24"/>
              </w:rPr>
              <w:t>3188</w:t>
            </w:r>
          </w:p>
        </w:tc>
      </w:tr>
      <w:tr>
        <w:tc>
          <w:tcPr>
            <w:tcW w:type="dxa" w:w="675"/>
            <w:vAlign w:val="center"/>
          </w:tcPr>
          <w:p w14:paraId="A6010000">
            <w:pPr>
              <w:ind/>
              <w:jc w:val="center"/>
              <w:rPr>
                <w:sz w:val="24"/>
              </w:rPr>
            </w:pPr>
            <w:r>
              <w:rPr>
                <w:sz w:val="24"/>
              </w:rPr>
              <w:t>3</w:t>
            </w:r>
          </w:p>
        </w:tc>
        <w:tc>
          <w:tcPr>
            <w:tcW w:type="dxa" w:w="4157"/>
            <w:vAlign w:val="center"/>
          </w:tcPr>
          <w:p w14:paraId="A7010000">
            <w:pPr>
              <w:ind/>
              <w:jc w:val="center"/>
              <w:rPr>
                <w:sz w:val="24"/>
              </w:rPr>
            </w:pPr>
            <w:r>
              <w:rPr>
                <w:sz w:val="24"/>
              </w:rPr>
              <w:t>Объявлено предостережений</w:t>
            </w:r>
          </w:p>
        </w:tc>
        <w:tc>
          <w:tcPr>
            <w:tcW w:type="dxa" w:w="1218"/>
            <w:vAlign w:val="center"/>
          </w:tcPr>
          <w:p w14:paraId="A8010000">
            <w:pPr>
              <w:ind/>
              <w:jc w:val="center"/>
              <w:rPr>
                <w:sz w:val="24"/>
              </w:rPr>
            </w:pPr>
            <w:r>
              <w:rPr>
                <w:sz w:val="24"/>
              </w:rPr>
              <w:t>356</w:t>
            </w:r>
          </w:p>
        </w:tc>
        <w:tc>
          <w:tcPr>
            <w:tcW w:type="dxa" w:w="1245"/>
            <w:vAlign w:val="center"/>
          </w:tcPr>
          <w:p w14:paraId="A9010000">
            <w:pPr>
              <w:ind/>
              <w:jc w:val="center"/>
              <w:rPr>
                <w:sz w:val="24"/>
              </w:rPr>
            </w:pPr>
            <w:r>
              <w:rPr>
                <w:sz w:val="24"/>
              </w:rPr>
              <w:t>278</w:t>
            </w:r>
          </w:p>
        </w:tc>
        <w:tc>
          <w:tcPr>
            <w:tcW w:type="dxa" w:w="1259"/>
            <w:vAlign w:val="center"/>
          </w:tcPr>
          <w:p w14:paraId="AA010000">
            <w:pPr>
              <w:ind/>
              <w:jc w:val="center"/>
              <w:rPr>
                <w:sz w:val="24"/>
              </w:rPr>
            </w:pPr>
            <w:r>
              <w:rPr>
                <w:sz w:val="24"/>
              </w:rPr>
              <w:t>710</w:t>
            </w:r>
          </w:p>
        </w:tc>
        <w:tc>
          <w:tcPr>
            <w:tcW w:type="dxa" w:w="1974"/>
            <w:vAlign w:val="center"/>
          </w:tcPr>
          <w:p w14:paraId="AB010000">
            <w:pPr>
              <w:ind/>
              <w:jc w:val="center"/>
              <w:rPr>
                <w:sz w:val="24"/>
              </w:rPr>
            </w:pPr>
            <w:r>
              <w:rPr>
                <w:sz w:val="24"/>
              </w:rPr>
              <w:t>1344</w:t>
            </w:r>
          </w:p>
        </w:tc>
      </w:tr>
      <w:tr>
        <w:tc>
          <w:tcPr>
            <w:tcW w:type="dxa" w:w="675"/>
            <w:vAlign w:val="center"/>
          </w:tcPr>
          <w:p w14:paraId="AC010000">
            <w:pPr>
              <w:ind/>
              <w:jc w:val="center"/>
              <w:rPr>
                <w:sz w:val="24"/>
              </w:rPr>
            </w:pPr>
            <w:r>
              <w:rPr>
                <w:sz w:val="24"/>
              </w:rPr>
              <w:t>4</w:t>
            </w:r>
          </w:p>
        </w:tc>
        <w:tc>
          <w:tcPr>
            <w:tcW w:type="dxa" w:w="4157"/>
            <w:vAlign w:val="center"/>
          </w:tcPr>
          <w:p w14:paraId="AD010000">
            <w:pPr>
              <w:ind/>
              <w:jc w:val="center"/>
              <w:rPr>
                <w:sz w:val="24"/>
              </w:rPr>
            </w:pPr>
            <w:r>
              <w:rPr>
                <w:sz w:val="24"/>
              </w:rPr>
              <w:t>Проведено КНМ без взаимодействия</w:t>
            </w:r>
          </w:p>
        </w:tc>
        <w:tc>
          <w:tcPr>
            <w:tcW w:type="dxa" w:w="1218"/>
            <w:vAlign w:val="center"/>
          </w:tcPr>
          <w:p w14:paraId="AE010000">
            <w:pPr>
              <w:ind/>
              <w:jc w:val="center"/>
              <w:rPr>
                <w:sz w:val="24"/>
              </w:rPr>
            </w:pPr>
            <w:r>
              <w:rPr>
                <w:sz w:val="24"/>
              </w:rPr>
              <w:t>340</w:t>
            </w:r>
          </w:p>
        </w:tc>
        <w:tc>
          <w:tcPr>
            <w:tcW w:type="dxa" w:w="1245"/>
            <w:vAlign w:val="center"/>
          </w:tcPr>
          <w:p w14:paraId="AF010000">
            <w:pPr>
              <w:ind/>
              <w:jc w:val="center"/>
              <w:rPr>
                <w:sz w:val="24"/>
              </w:rPr>
            </w:pPr>
            <w:r>
              <w:rPr>
                <w:sz w:val="24"/>
              </w:rPr>
              <w:t>420</w:t>
            </w:r>
          </w:p>
        </w:tc>
        <w:tc>
          <w:tcPr>
            <w:tcW w:type="dxa" w:w="1259"/>
            <w:vAlign w:val="center"/>
          </w:tcPr>
          <w:p w14:paraId="B0010000">
            <w:pPr>
              <w:ind/>
              <w:jc w:val="center"/>
              <w:rPr>
                <w:sz w:val="24"/>
              </w:rPr>
            </w:pPr>
            <w:r>
              <w:rPr>
                <w:sz w:val="24"/>
              </w:rPr>
              <w:t>1130</w:t>
            </w:r>
          </w:p>
        </w:tc>
        <w:tc>
          <w:tcPr>
            <w:tcW w:type="dxa" w:w="1974"/>
            <w:vAlign w:val="center"/>
          </w:tcPr>
          <w:p w14:paraId="B1010000">
            <w:pPr>
              <w:ind/>
              <w:jc w:val="center"/>
              <w:rPr>
                <w:sz w:val="24"/>
              </w:rPr>
            </w:pPr>
            <w:r>
              <w:rPr>
                <w:sz w:val="24"/>
              </w:rPr>
              <w:t>1890</w:t>
            </w:r>
          </w:p>
        </w:tc>
      </w:tr>
      <w:tr>
        <w:tc>
          <w:tcPr>
            <w:tcW w:type="dxa" w:w="675"/>
            <w:vAlign w:val="center"/>
          </w:tcPr>
          <w:p w14:paraId="B2010000">
            <w:pPr>
              <w:ind/>
              <w:jc w:val="center"/>
              <w:rPr>
                <w:sz w:val="24"/>
              </w:rPr>
            </w:pPr>
            <w:r>
              <w:rPr>
                <w:sz w:val="24"/>
              </w:rPr>
              <w:t>5</w:t>
            </w:r>
          </w:p>
        </w:tc>
        <w:tc>
          <w:tcPr>
            <w:tcW w:type="dxa" w:w="4157"/>
            <w:vAlign w:val="center"/>
          </w:tcPr>
          <w:p w14:paraId="B3010000">
            <w:pPr>
              <w:ind/>
              <w:jc w:val="center"/>
              <w:rPr>
                <w:sz w:val="24"/>
              </w:rPr>
            </w:pPr>
            <w:r>
              <w:rPr>
                <w:sz w:val="24"/>
              </w:rPr>
              <w:t>Проведено КНМ с взаимодействием</w:t>
            </w:r>
          </w:p>
        </w:tc>
        <w:tc>
          <w:tcPr>
            <w:tcW w:type="dxa" w:w="1218"/>
            <w:vAlign w:val="center"/>
          </w:tcPr>
          <w:p w14:paraId="B4010000">
            <w:pPr>
              <w:ind/>
              <w:jc w:val="center"/>
              <w:rPr>
                <w:sz w:val="24"/>
              </w:rPr>
            </w:pPr>
            <w:r>
              <w:rPr>
                <w:sz w:val="24"/>
              </w:rPr>
              <w:t>28</w:t>
            </w:r>
          </w:p>
        </w:tc>
        <w:tc>
          <w:tcPr>
            <w:tcW w:type="dxa" w:w="1245"/>
            <w:vAlign w:val="center"/>
          </w:tcPr>
          <w:p w14:paraId="B5010000">
            <w:pPr>
              <w:ind/>
              <w:jc w:val="center"/>
              <w:rPr>
                <w:sz w:val="24"/>
              </w:rPr>
            </w:pPr>
            <w:r>
              <w:rPr>
                <w:sz w:val="24"/>
              </w:rPr>
              <w:t>249</w:t>
            </w:r>
          </w:p>
        </w:tc>
        <w:tc>
          <w:tcPr>
            <w:tcW w:type="dxa" w:w="1259"/>
            <w:vAlign w:val="center"/>
          </w:tcPr>
          <w:p w14:paraId="B6010000">
            <w:pPr>
              <w:ind/>
              <w:jc w:val="center"/>
              <w:rPr>
                <w:sz w:val="24"/>
              </w:rPr>
            </w:pPr>
            <w:r>
              <w:rPr>
                <w:sz w:val="24"/>
              </w:rPr>
              <w:t>260</w:t>
            </w:r>
          </w:p>
        </w:tc>
        <w:tc>
          <w:tcPr>
            <w:tcW w:type="dxa" w:w="1974"/>
            <w:vAlign w:val="center"/>
          </w:tcPr>
          <w:p w14:paraId="B7010000">
            <w:pPr>
              <w:ind/>
              <w:jc w:val="center"/>
              <w:rPr>
                <w:sz w:val="24"/>
              </w:rPr>
            </w:pPr>
            <w:r>
              <w:rPr>
                <w:sz w:val="24"/>
              </w:rPr>
              <w:t>537</w:t>
            </w:r>
          </w:p>
        </w:tc>
      </w:tr>
      <w:tr>
        <w:tc>
          <w:tcPr>
            <w:tcW w:type="dxa" w:w="675"/>
            <w:vAlign w:val="center"/>
          </w:tcPr>
          <w:p w14:paraId="B8010000">
            <w:pPr>
              <w:ind/>
              <w:jc w:val="center"/>
              <w:rPr>
                <w:sz w:val="24"/>
              </w:rPr>
            </w:pPr>
            <w:r>
              <w:rPr>
                <w:sz w:val="24"/>
              </w:rPr>
              <w:t>6</w:t>
            </w:r>
          </w:p>
        </w:tc>
        <w:tc>
          <w:tcPr>
            <w:tcW w:type="dxa" w:w="4157"/>
            <w:vAlign w:val="center"/>
          </w:tcPr>
          <w:p w14:paraId="B9010000">
            <w:pPr>
              <w:ind/>
              <w:jc w:val="center"/>
              <w:rPr>
                <w:sz w:val="24"/>
              </w:rPr>
            </w:pPr>
            <w:r>
              <w:rPr>
                <w:sz w:val="24"/>
              </w:rPr>
              <w:t>Составлено протоколов об административном правонарушении</w:t>
            </w:r>
          </w:p>
        </w:tc>
        <w:tc>
          <w:tcPr>
            <w:tcW w:type="dxa" w:w="1218"/>
            <w:vAlign w:val="center"/>
          </w:tcPr>
          <w:p w14:paraId="BA010000">
            <w:pPr>
              <w:ind/>
              <w:jc w:val="center"/>
              <w:rPr>
                <w:sz w:val="24"/>
              </w:rPr>
            </w:pPr>
            <w:r>
              <w:rPr>
                <w:sz w:val="24"/>
              </w:rPr>
              <w:t>29</w:t>
            </w:r>
          </w:p>
        </w:tc>
        <w:tc>
          <w:tcPr>
            <w:tcW w:type="dxa" w:w="1245"/>
            <w:vAlign w:val="center"/>
          </w:tcPr>
          <w:p w14:paraId="BB010000">
            <w:pPr>
              <w:ind/>
              <w:jc w:val="center"/>
              <w:rPr>
                <w:sz w:val="24"/>
              </w:rPr>
            </w:pPr>
            <w:r>
              <w:rPr>
                <w:sz w:val="24"/>
              </w:rPr>
              <w:t>332</w:t>
            </w:r>
          </w:p>
        </w:tc>
        <w:tc>
          <w:tcPr>
            <w:tcW w:type="dxa" w:w="1259"/>
            <w:vAlign w:val="center"/>
          </w:tcPr>
          <w:p w14:paraId="BC010000">
            <w:pPr>
              <w:ind/>
              <w:jc w:val="center"/>
              <w:rPr>
                <w:sz w:val="24"/>
              </w:rPr>
            </w:pPr>
            <w:r>
              <w:rPr>
                <w:sz w:val="24"/>
              </w:rPr>
              <w:t>371</w:t>
            </w:r>
          </w:p>
        </w:tc>
        <w:tc>
          <w:tcPr>
            <w:tcW w:type="dxa" w:w="1974"/>
            <w:vAlign w:val="center"/>
          </w:tcPr>
          <w:p w14:paraId="BD010000">
            <w:pPr>
              <w:ind/>
              <w:jc w:val="center"/>
              <w:rPr>
                <w:sz w:val="24"/>
              </w:rPr>
            </w:pPr>
            <w:r>
              <w:rPr>
                <w:sz w:val="24"/>
              </w:rPr>
              <w:t>732</w:t>
            </w:r>
          </w:p>
        </w:tc>
      </w:tr>
      <w:tr>
        <w:tc>
          <w:tcPr>
            <w:tcW w:type="dxa" w:w="675"/>
            <w:vAlign w:val="center"/>
          </w:tcPr>
          <w:p w14:paraId="BE010000">
            <w:pPr>
              <w:ind/>
              <w:jc w:val="center"/>
              <w:rPr>
                <w:sz w:val="24"/>
              </w:rPr>
            </w:pPr>
            <w:r>
              <w:rPr>
                <w:sz w:val="24"/>
              </w:rPr>
              <w:t>7</w:t>
            </w:r>
          </w:p>
        </w:tc>
        <w:tc>
          <w:tcPr>
            <w:tcW w:type="dxa" w:w="4157"/>
            <w:vAlign w:val="center"/>
          </w:tcPr>
          <w:p w14:paraId="BF010000">
            <w:pPr>
              <w:ind/>
              <w:jc w:val="center"/>
              <w:rPr>
                <w:sz w:val="24"/>
              </w:rPr>
            </w:pPr>
            <w:r>
              <w:rPr>
                <w:sz w:val="24"/>
              </w:rPr>
              <w:t>Вынесено постановлений</w:t>
            </w:r>
          </w:p>
        </w:tc>
        <w:tc>
          <w:tcPr>
            <w:tcW w:type="dxa" w:w="1218"/>
            <w:vAlign w:val="center"/>
          </w:tcPr>
          <w:p w14:paraId="C0010000">
            <w:pPr>
              <w:ind/>
              <w:jc w:val="center"/>
              <w:rPr>
                <w:sz w:val="24"/>
              </w:rPr>
            </w:pPr>
            <w:r>
              <w:rPr>
                <w:sz w:val="24"/>
              </w:rPr>
              <w:t>115</w:t>
            </w:r>
          </w:p>
        </w:tc>
        <w:tc>
          <w:tcPr>
            <w:tcW w:type="dxa" w:w="1245"/>
            <w:vAlign w:val="center"/>
          </w:tcPr>
          <w:p w14:paraId="C1010000">
            <w:pPr>
              <w:ind/>
              <w:jc w:val="center"/>
              <w:rPr>
                <w:sz w:val="24"/>
              </w:rPr>
            </w:pPr>
            <w:r>
              <w:rPr>
                <w:sz w:val="24"/>
              </w:rPr>
              <w:t>392</w:t>
            </w:r>
          </w:p>
        </w:tc>
        <w:tc>
          <w:tcPr>
            <w:tcW w:type="dxa" w:w="1259"/>
            <w:vAlign w:val="center"/>
          </w:tcPr>
          <w:p w14:paraId="C2010000">
            <w:pPr>
              <w:ind/>
              <w:jc w:val="center"/>
              <w:rPr>
                <w:sz w:val="24"/>
              </w:rPr>
            </w:pPr>
            <w:r>
              <w:rPr>
                <w:sz w:val="24"/>
              </w:rPr>
              <w:t>407</w:t>
            </w:r>
          </w:p>
        </w:tc>
        <w:tc>
          <w:tcPr>
            <w:tcW w:type="dxa" w:w="1974"/>
            <w:vAlign w:val="center"/>
          </w:tcPr>
          <w:p w14:paraId="C3010000">
            <w:pPr>
              <w:ind/>
              <w:jc w:val="center"/>
              <w:rPr>
                <w:sz w:val="24"/>
              </w:rPr>
            </w:pPr>
            <w:r>
              <w:rPr>
                <w:sz w:val="24"/>
              </w:rPr>
              <w:t>914</w:t>
            </w:r>
          </w:p>
        </w:tc>
      </w:tr>
      <w:tr>
        <w:tc>
          <w:tcPr>
            <w:tcW w:type="dxa" w:w="675"/>
            <w:vAlign w:val="center"/>
          </w:tcPr>
          <w:p w14:paraId="C4010000">
            <w:pPr>
              <w:ind/>
              <w:jc w:val="center"/>
              <w:rPr>
                <w:sz w:val="24"/>
              </w:rPr>
            </w:pPr>
            <w:r>
              <w:rPr>
                <w:sz w:val="24"/>
              </w:rPr>
              <w:t>8</w:t>
            </w:r>
          </w:p>
        </w:tc>
        <w:tc>
          <w:tcPr>
            <w:tcW w:type="dxa" w:w="4157"/>
            <w:vAlign w:val="center"/>
          </w:tcPr>
          <w:p w14:paraId="C5010000">
            <w:pPr>
              <w:ind/>
              <w:jc w:val="center"/>
              <w:rPr>
                <w:sz w:val="24"/>
              </w:rPr>
            </w:pPr>
            <w:r>
              <w:rPr>
                <w:sz w:val="24"/>
              </w:rPr>
              <w:t>в</w:t>
            </w:r>
            <w:r>
              <w:rPr>
                <w:sz w:val="24"/>
              </w:rPr>
              <w:t xml:space="preserve"> </w:t>
            </w:r>
            <w:r>
              <w:rPr>
                <w:sz w:val="24"/>
              </w:rPr>
              <w:t>т.ч</w:t>
            </w:r>
            <w:r>
              <w:rPr>
                <w:sz w:val="24"/>
              </w:rPr>
              <w:t>. в виде предупреждения</w:t>
            </w:r>
          </w:p>
        </w:tc>
        <w:tc>
          <w:tcPr>
            <w:tcW w:type="dxa" w:w="1218"/>
            <w:vAlign w:val="center"/>
          </w:tcPr>
          <w:p w14:paraId="C6010000">
            <w:pPr>
              <w:ind/>
              <w:jc w:val="center"/>
              <w:rPr>
                <w:sz w:val="24"/>
              </w:rPr>
            </w:pPr>
            <w:r>
              <w:rPr>
                <w:sz w:val="24"/>
              </w:rPr>
              <w:t>93 (80,8%)</w:t>
            </w:r>
          </w:p>
        </w:tc>
        <w:tc>
          <w:tcPr>
            <w:tcW w:type="dxa" w:w="1245"/>
            <w:vAlign w:val="center"/>
          </w:tcPr>
          <w:p w14:paraId="C7010000">
            <w:pPr>
              <w:ind/>
              <w:jc w:val="center"/>
              <w:rPr>
                <w:sz w:val="24"/>
              </w:rPr>
            </w:pPr>
            <w:r>
              <w:rPr>
                <w:sz w:val="24"/>
              </w:rPr>
              <w:t>358 (91,3%)</w:t>
            </w:r>
          </w:p>
        </w:tc>
        <w:tc>
          <w:tcPr>
            <w:tcW w:type="dxa" w:w="1259"/>
            <w:vAlign w:val="center"/>
          </w:tcPr>
          <w:p w14:paraId="C8010000">
            <w:pPr>
              <w:ind/>
              <w:jc w:val="center"/>
              <w:rPr>
                <w:sz w:val="24"/>
              </w:rPr>
            </w:pPr>
            <w:r>
              <w:rPr>
                <w:sz w:val="24"/>
              </w:rPr>
              <w:t>303</w:t>
            </w:r>
          </w:p>
          <w:p w14:paraId="C9010000">
            <w:pPr>
              <w:ind/>
              <w:jc w:val="center"/>
              <w:rPr>
                <w:sz w:val="24"/>
              </w:rPr>
            </w:pPr>
            <w:r>
              <w:rPr>
                <w:sz w:val="24"/>
              </w:rPr>
              <w:t>(74,4%)</w:t>
            </w:r>
          </w:p>
        </w:tc>
        <w:tc>
          <w:tcPr>
            <w:tcW w:type="dxa" w:w="1974"/>
            <w:vAlign w:val="center"/>
          </w:tcPr>
          <w:p w14:paraId="CA010000">
            <w:pPr>
              <w:ind/>
              <w:jc w:val="center"/>
              <w:rPr>
                <w:sz w:val="24"/>
              </w:rPr>
            </w:pPr>
            <w:r>
              <w:rPr>
                <w:sz w:val="24"/>
              </w:rPr>
              <w:t>754</w:t>
            </w:r>
          </w:p>
          <w:p w14:paraId="CB010000">
            <w:pPr>
              <w:ind/>
              <w:jc w:val="center"/>
              <w:rPr>
                <w:sz w:val="24"/>
              </w:rPr>
            </w:pPr>
            <w:r>
              <w:rPr>
                <w:sz w:val="24"/>
              </w:rPr>
              <w:t>(82,5%)</w:t>
            </w:r>
          </w:p>
        </w:tc>
      </w:tr>
      <w:tr>
        <w:tc>
          <w:tcPr>
            <w:tcW w:type="dxa" w:w="675"/>
            <w:vAlign w:val="center"/>
          </w:tcPr>
          <w:p w14:paraId="CC010000">
            <w:pPr>
              <w:ind/>
              <w:jc w:val="center"/>
              <w:rPr>
                <w:sz w:val="24"/>
              </w:rPr>
            </w:pPr>
            <w:r>
              <w:rPr>
                <w:sz w:val="24"/>
              </w:rPr>
              <w:t>9</w:t>
            </w:r>
          </w:p>
        </w:tc>
        <w:tc>
          <w:tcPr>
            <w:tcW w:type="dxa" w:w="4157"/>
            <w:vAlign w:val="center"/>
          </w:tcPr>
          <w:p w14:paraId="CD010000">
            <w:pPr>
              <w:ind/>
              <w:jc w:val="center"/>
              <w:rPr>
                <w:sz w:val="24"/>
              </w:rPr>
            </w:pPr>
            <w:r>
              <w:rPr>
                <w:sz w:val="24"/>
              </w:rPr>
              <w:t>в</w:t>
            </w:r>
            <w:r>
              <w:rPr>
                <w:sz w:val="24"/>
              </w:rPr>
              <w:t xml:space="preserve"> </w:t>
            </w:r>
            <w:r>
              <w:rPr>
                <w:sz w:val="24"/>
              </w:rPr>
              <w:t>т.ч</w:t>
            </w:r>
            <w:r>
              <w:rPr>
                <w:sz w:val="24"/>
              </w:rPr>
              <w:t>. в виде административного штрафа</w:t>
            </w:r>
          </w:p>
        </w:tc>
        <w:tc>
          <w:tcPr>
            <w:tcW w:type="dxa" w:w="1218"/>
            <w:vAlign w:val="center"/>
          </w:tcPr>
          <w:p w14:paraId="CE010000">
            <w:pPr>
              <w:ind/>
              <w:jc w:val="center"/>
              <w:rPr>
                <w:sz w:val="24"/>
              </w:rPr>
            </w:pPr>
            <w:r>
              <w:rPr>
                <w:sz w:val="24"/>
              </w:rPr>
              <w:t>22</w:t>
            </w:r>
          </w:p>
        </w:tc>
        <w:tc>
          <w:tcPr>
            <w:tcW w:type="dxa" w:w="1245"/>
            <w:vAlign w:val="center"/>
          </w:tcPr>
          <w:p w14:paraId="CF010000">
            <w:pPr>
              <w:ind/>
              <w:jc w:val="center"/>
              <w:rPr>
                <w:sz w:val="24"/>
              </w:rPr>
            </w:pPr>
            <w:r>
              <w:rPr>
                <w:sz w:val="24"/>
              </w:rPr>
              <w:t>34</w:t>
            </w:r>
          </w:p>
        </w:tc>
        <w:tc>
          <w:tcPr>
            <w:tcW w:type="dxa" w:w="1259"/>
            <w:vAlign w:val="center"/>
          </w:tcPr>
          <w:p w14:paraId="D0010000">
            <w:pPr>
              <w:ind/>
              <w:jc w:val="center"/>
              <w:rPr>
                <w:sz w:val="24"/>
              </w:rPr>
            </w:pPr>
            <w:r>
              <w:rPr>
                <w:sz w:val="24"/>
              </w:rPr>
              <w:t>104</w:t>
            </w:r>
          </w:p>
        </w:tc>
        <w:tc>
          <w:tcPr>
            <w:tcW w:type="dxa" w:w="1974"/>
            <w:vAlign w:val="center"/>
          </w:tcPr>
          <w:p w14:paraId="D1010000">
            <w:pPr>
              <w:ind/>
              <w:jc w:val="center"/>
              <w:rPr>
                <w:sz w:val="24"/>
              </w:rPr>
            </w:pPr>
            <w:r>
              <w:rPr>
                <w:sz w:val="24"/>
              </w:rPr>
              <w:t>160</w:t>
            </w:r>
          </w:p>
        </w:tc>
      </w:tr>
      <w:tr>
        <w:tc>
          <w:tcPr>
            <w:tcW w:type="dxa" w:w="675"/>
            <w:vAlign w:val="center"/>
          </w:tcPr>
          <w:p w14:paraId="D2010000">
            <w:pPr>
              <w:ind/>
              <w:jc w:val="center"/>
              <w:rPr>
                <w:sz w:val="24"/>
              </w:rPr>
            </w:pPr>
            <w:r>
              <w:rPr>
                <w:sz w:val="24"/>
              </w:rPr>
              <w:t>10</w:t>
            </w:r>
          </w:p>
        </w:tc>
        <w:tc>
          <w:tcPr>
            <w:tcW w:type="dxa" w:w="4157"/>
            <w:vAlign w:val="center"/>
          </w:tcPr>
          <w:p w14:paraId="D3010000">
            <w:pPr>
              <w:ind/>
              <w:jc w:val="center"/>
              <w:rPr>
                <w:sz w:val="24"/>
              </w:rPr>
            </w:pPr>
            <w:r>
              <w:rPr>
                <w:sz w:val="24"/>
              </w:rPr>
              <w:t>Общая сумма наложенных штрафов (</w:t>
            </w:r>
            <w:r>
              <w:rPr>
                <w:sz w:val="24"/>
              </w:rPr>
              <w:t>тыс.руб</w:t>
            </w:r>
            <w:r>
              <w:rPr>
                <w:sz w:val="24"/>
              </w:rPr>
              <w:t>.</w:t>
            </w:r>
            <w:r>
              <w:rPr>
                <w:sz w:val="24"/>
              </w:rPr>
              <w:t>)</w:t>
            </w:r>
          </w:p>
        </w:tc>
        <w:tc>
          <w:tcPr>
            <w:tcW w:type="dxa" w:w="1218"/>
            <w:vAlign w:val="center"/>
          </w:tcPr>
          <w:p w14:paraId="D4010000">
            <w:pPr>
              <w:ind/>
              <w:jc w:val="center"/>
              <w:rPr>
                <w:sz w:val="24"/>
              </w:rPr>
            </w:pPr>
            <w:r>
              <w:rPr>
                <w:sz w:val="24"/>
              </w:rPr>
              <w:t>189</w:t>
            </w:r>
          </w:p>
        </w:tc>
        <w:tc>
          <w:tcPr>
            <w:tcW w:type="dxa" w:w="1245"/>
            <w:vAlign w:val="center"/>
          </w:tcPr>
          <w:p w14:paraId="D5010000">
            <w:pPr>
              <w:ind/>
              <w:jc w:val="center"/>
              <w:rPr>
                <w:sz w:val="24"/>
              </w:rPr>
            </w:pPr>
            <w:r>
              <w:rPr>
                <w:sz w:val="24"/>
              </w:rPr>
              <w:t>559,5</w:t>
            </w:r>
          </w:p>
        </w:tc>
        <w:tc>
          <w:tcPr>
            <w:tcW w:type="dxa" w:w="1259"/>
            <w:vAlign w:val="center"/>
          </w:tcPr>
          <w:p w14:paraId="D6010000">
            <w:pPr>
              <w:ind/>
              <w:jc w:val="center"/>
              <w:rPr>
                <w:sz w:val="24"/>
              </w:rPr>
            </w:pPr>
            <w:r>
              <w:rPr>
                <w:sz w:val="24"/>
              </w:rPr>
              <w:t>1020,5</w:t>
            </w:r>
          </w:p>
        </w:tc>
        <w:tc>
          <w:tcPr>
            <w:tcW w:type="dxa" w:w="1974"/>
            <w:vAlign w:val="center"/>
          </w:tcPr>
          <w:p w14:paraId="D7010000">
            <w:pPr>
              <w:ind/>
              <w:jc w:val="center"/>
              <w:rPr>
                <w:sz w:val="24"/>
              </w:rPr>
            </w:pPr>
            <w:r>
              <w:rPr>
                <w:sz w:val="24"/>
              </w:rPr>
              <w:t>1769</w:t>
            </w:r>
          </w:p>
        </w:tc>
      </w:tr>
    </w:tbl>
    <w:p w14:paraId="D8010000">
      <w:pPr>
        <w:ind/>
        <w:jc w:val="both"/>
        <w:rPr>
          <w:sz w:val="26"/>
        </w:rPr>
      </w:pPr>
    </w:p>
    <w:p w14:paraId="D9010000">
      <w:pPr>
        <w:ind/>
        <w:jc w:val="both"/>
        <w:rPr>
          <w:sz w:val="26"/>
        </w:rPr>
      </w:pPr>
    </w:p>
    <w:p w14:paraId="DA010000">
      <w:pPr>
        <w:ind w:firstLine="851"/>
        <w:jc w:val="both"/>
        <w:rPr>
          <w:sz w:val="28"/>
        </w:rPr>
      </w:pPr>
      <w:r>
        <w:rPr>
          <w:sz w:val="28"/>
        </w:rPr>
        <w:t>Количество проводимых профилактических мероприятий в области ЗПП возросло на 76.4% (2024 – 1610; 2025 – 1716; 2025 – 2840).</w:t>
      </w:r>
    </w:p>
    <w:p w14:paraId="DB010000">
      <w:pPr>
        <w:ind w:firstLine="851"/>
        <w:jc w:val="both"/>
        <w:rPr>
          <w:sz w:val="28"/>
        </w:rPr>
      </w:pPr>
      <w:r>
        <w:rPr>
          <w:sz w:val="28"/>
        </w:rPr>
        <w:t>Достигнутые показатели эффективности и результативности регионального компонента Программы профилактики в рамках ФГК (Н) в области защиты прав потребителей.</w:t>
      </w:r>
    </w:p>
    <w:p w14:paraId="DC010000">
      <w:pPr>
        <w:ind w:firstLine="851"/>
        <w:jc w:val="both"/>
        <w:rPr>
          <w:sz w:val="28"/>
        </w:rPr>
      </w:pPr>
      <w:r>
        <w:rPr>
          <w:sz w:val="28"/>
        </w:rPr>
        <w:t>Обеспечена результативность и эффективность проводимых проверок при контроле за цифровой маркировкой продукции (более 95%).</w:t>
      </w:r>
    </w:p>
    <w:p w14:paraId="DD010000">
      <w:pPr>
        <w:ind/>
        <w:jc w:val="both"/>
        <w:rPr>
          <w:sz w:val="26"/>
        </w:rPr>
      </w:pPr>
    </w:p>
    <w:p w14:paraId="DE010000">
      <w:pPr>
        <w:widowControl w:val="1"/>
        <w:ind w:firstLine="851"/>
        <w:jc w:val="both"/>
        <w:rPr>
          <w:b w:val="1"/>
          <w:sz w:val="28"/>
        </w:rPr>
      </w:pPr>
      <w:r>
        <w:rPr>
          <w:b w:val="1"/>
          <w:sz w:val="28"/>
        </w:rPr>
        <w:t>6</w:t>
      </w:r>
      <w:r>
        <w:rPr>
          <w:b w:val="1"/>
          <w:sz w:val="28"/>
        </w:rPr>
        <w:t>.</w:t>
      </w:r>
      <w:r>
        <w:rPr>
          <w:b w:val="1"/>
          <w:sz w:val="28"/>
        </w:rPr>
        <w:tab/>
      </w:r>
      <w:r>
        <w:rPr>
          <w:b w:val="1"/>
          <w:sz w:val="28"/>
        </w:rPr>
        <w:t>Реализация</w:t>
      </w:r>
      <w:r>
        <w:rPr>
          <w:b w:val="1"/>
          <w:sz w:val="28"/>
        </w:rPr>
        <w:t xml:space="preserve"> органами местного самоуправления полномочий по защите прав потребителей. </w:t>
      </w:r>
    </w:p>
    <w:p w14:paraId="DF010000">
      <w:pPr>
        <w:widowControl w:val="1"/>
        <w:ind w:firstLine="851"/>
        <w:jc w:val="both"/>
        <w:rPr>
          <w:sz w:val="28"/>
        </w:rPr>
      </w:pPr>
      <w:r>
        <w:rPr>
          <w:sz w:val="28"/>
        </w:rPr>
        <w:t>В Республике Саха (Якутия) осуществляют свою деятельность 34 районных органа местного самоуправления. Структура органов местного самоуправления республики включает самостоятельные подразделения, реализующие полномочия по защите прав потребителей согласно статье 45 Закона Российской Федерации от 7 февраля 1992 г. № 2300-01 «О защите прав потребителей». По состоянию на 2025 год, такие подразделения функционируют в трех муниципальных образованиях:</w:t>
      </w:r>
    </w:p>
    <w:p w14:paraId="E0010000">
      <w:pPr>
        <w:widowControl w:val="1"/>
        <w:ind w:firstLine="851"/>
        <w:jc w:val="both"/>
        <w:rPr>
          <w:sz w:val="28"/>
        </w:rPr>
      </w:pPr>
      <w:r>
        <w:rPr>
          <w:sz w:val="28"/>
        </w:rPr>
        <w:t>- Отдел потребительского рынка Департамента предпринимательства, потребительского рынка, развития туризма и транспорта Окружной администрации города Якутска.</w:t>
      </w:r>
    </w:p>
    <w:p w14:paraId="E1010000">
      <w:pPr>
        <w:widowControl w:val="1"/>
        <w:ind w:firstLine="851"/>
        <w:jc w:val="both"/>
        <w:rPr>
          <w:sz w:val="28"/>
        </w:rPr>
      </w:pPr>
      <w:r>
        <w:rPr>
          <w:sz w:val="28"/>
        </w:rPr>
        <w:t xml:space="preserve">- Управление потребительского рынка и развития предпринимательства </w:t>
      </w:r>
      <w:r>
        <w:rPr>
          <w:sz w:val="28"/>
        </w:rPr>
        <w:t>Нерюнгринской</w:t>
      </w:r>
      <w:r>
        <w:rPr>
          <w:sz w:val="28"/>
        </w:rPr>
        <w:t xml:space="preserve"> районной администрации.</w:t>
      </w:r>
    </w:p>
    <w:p w14:paraId="E2010000">
      <w:pPr>
        <w:widowControl w:val="1"/>
        <w:ind w:firstLine="851"/>
        <w:jc w:val="both"/>
        <w:rPr>
          <w:sz w:val="28"/>
        </w:rPr>
      </w:pPr>
      <w:r>
        <w:rPr>
          <w:sz w:val="28"/>
        </w:rPr>
        <w:t>- Управление потребительского рынка и развития предпринимательства администрации МР «</w:t>
      </w:r>
      <w:r>
        <w:rPr>
          <w:sz w:val="28"/>
        </w:rPr>
        <w:t>Мирнинский</w:t>
      </w:r>
      <w:r>
        <w:rPr>
          <w:sz w:val="28"/>
        </w:rPr>
        <w:t xml:space="preserve"> район».</w:t>
      </w:r>
    </w:p>
    <w:p w14:paraId="E3010000">
      <w:pPr>
        <w:widowControl w:val="1"/>
        <w:ind w:firstLine="851"/>
        <w:jc w:val="both"/>
        <w:rPr>
          <w:sz w:val="28"/>
        </w:rPr>
      </w:pPr>
    </w:p>
    <w:p w14:paraId="E4010000">
      <w:pPr>
        <w:widowControl w:val="1"/>
        <w:ind w:firstLine="851"/>
        <w:jc w:val="both"/>
        <w:rPr>
          <w:sz w:val="28"/>
        </w:rPr>
      </w:pPr>
      <w:r>
        <w:rPr>
          <w:sz w:val="28"/>
        </w:rPr>
        <w:t>Обращает на себя внимание тенденция к сокращению числа комиссий по защите прав потребителей. Если в 2023 году такие комиссии действовали в 11 муниципальных районах (</w:t>
      </w:r>
      <w:r>
        <w:rPr>
          <w:sz w:val="28"/>
        </w:rPr>
        <w:t>Абыйский</w:t>
      </w:r>
      <w:r>
        <w:rPr>
          <w:sz w:val="28"/>
        </w:rPr>
        <w:t xml:space="preserve">, </w:t>
      </w:r>
      <w:r>
        <w:rPr>
          <w:sz w:val="28"/>
        </w:rPr>
        <w:t>Амгинский</w:t>
      </w:r>
      <w:r>
        <w:rPr>
          <w:sz w:val="28"/>
        </w:rPr>
        <w:t xml:space="preserve">, </w:t>
      </w:r>
      <w:r>
        <w:rPr>
          <w:sz w:val="28"/>
        </w:rPr>
        <w:t>Верхоянский</w:t>
      </w:r>
      <w:r>
        <w:rPr>
          <w:sz w:val="28"/>
        </w:rPr>
        <w:t xml:space="preserve">, г. </w:t>
      </w:r>
      <w:r>
        <w:rPr>
          <w:sz w:val="28"/>
        </w:rPr>
        <w:t>Жатай</w:t>
      </w:r>
      <w:r>
        <w:rPr>
          <w:sz w:val="28"/>
        </w:rPr>
        <w:t xml:space="preserve">, </w:t>
      </w:r>
      <w:r>
        <w:rPr>
          <w:sz w:val="28"/>
        </w:rPr>
        <w:t>Кобяйский</w:t>
      </w:r>
      <w:r>
        <w:rPr>
          <w:sz w:val="28"/>
        </w:rPr>
        <w:t xml:space="preserve">, </w:t>
      </w:r>
      <w:r>
        <w:rPr>
          <w:sz w:val="28"/>
        </w:rPr>
        <w:t>Мирнинский</w:t>
      </w:r>
      <w:r>
        <w:rPr>
          <w:sz w:val="28"/>
        </w:rPr>
        <w:t xml:space="preserve">, </w:t>
      </w:r>
      <w:r>
        <w:rPr>
          <w:sz w:val="28"/>
        </w:rPr>
        <w:t>Олекминский</w:t>
      </w:r>
      <w:r>
        <w:rPr>
          <w:sz w:val="28"/>
        </w:rPr>
        <w:t xml:space="preserve">, </w:t>
      </w:r>
      <w:r>
        <w:rPr>
          <w:sz w:val="28"/>
        </w:rPr>
        <w:t>Сунтарский</w:t>
      </w:r>
      <w:r>
        <w:rPr>
          <w:sz w:val="28"/>
        </w:rPr>
        <w:t xml:space="preserve">, </w:t>
      </w:r>
      <w:r>
        <w:rPr>
          <w:sz w:val="28"/>
        </w:rPr>
        <w:t>Таттинский</w:t>
      </w:r>
      <w:r>
        <w:rPr>
          <w:sz w:val="28"/>
        </w:rPr>
        <w:t xml:space="preserve">, </w:t>
      </w:r>
      <w:r>
        <w:rPr>
          <w:sz w:val="28"/>
        </w:rPr>
        <w:t>Усть</w:t>
      </w:r>
      <w:r>
        <w:rPr>
          <w:sz w:val="28"/>
        </w:rPr>
        <w:t xml:space="preserve">-Майский, </w:t>
      </w:r>
      <w:r>
        <w:rPr>
          <w:sz w:val="28"/>
        </w:rPr>
        <w:t>Усть</w:t>
      </w:r>
      <w:r>
        <w:rPr>
          <w:sz w:val="28"/>
        </w:rPr>
        <w:t>-Янский районы), то по состоянию на 2025 год их осталось всего в трех (</w:t>
      </w:r>
      <w:r>
        <w:rPr>
          <w:sz w:val="28"/>
        </w:rPr>
        <w:t>Абыйский</w:t>
      </w:r>
      <w:r>
        <w:rPr>
          <w:sz w:val="28"/>
        </w:rPr>
        <w:t xml:space="preserve">, </w:t>
      </w:r>
      <w:r>
        <w:rPr>
          <w:sz w:val="28"/>
        </w:rPr>
        <w:t>Кобяйский</w:t>
      </w:r>
      <w:r>
        <w:rPr>
          <w:sz w:val="28"/>
        </w:rPr>
        <w:t xml:space="preserve">, </w:t>
      </w:r>
      <w:r>
        <w:rPr>
          <w:sz w:val="28"/>
        </w:rPr>
        <w:t>Мирнинский</w:t>
      </w:r>
      <w:r>
        <w:rPr>
          <w:sz w:val="28"/>
        </w:rPr>
        <w:t xml:space="preserve"> районы).</w:t>
      </w:r>
    </w:p>
    <w:p w14:paraId="E5010000">
      <w:pPr>
        <w:widowControl w:val="1"/>
        <w:ind/>
        <w:jc w:val="both"/>
        <w:rPr>
          <w:sz w:val="28"/>
        </w:rPr>
      </w:pPr>
    </w:p>
    <w:p w14:paraId="E6010000">
      <w:pPr>
        <w:widowControl w:val="1"/>
        <w:ind w:firstLine="851"/>
        <w:jc w:val="both"/>
        <w:rPr>
          <w:sz w:val="28"/>
        </w:rPr>
      </w:pPr>
      <w:r>
        <w:rPr>
          <w:sz w:val="28"/>
        </w:rPr>
        <w:t>Практически отсутствуют информационные и обучающие материалы для населения и представителей предпринимательского сообщества в сфере защиты прав потребителей и обязательных требований при обороте товаров, подлежащих обязательной маркировке средствами идентификации. Данные материалы не публикуются на официальных сайтах органов местного самоуправления и подведомственных им организаций с 2023 года.</w:t>
      </w:r>
    </w:p>
    <w:p w14:paraId="E7010000">
      <w:pPr>
        <w:widowControl w:val="1"/>
        <w:ind/>
        <w:jc w:val="both"/>
        <w:rPr>
          <w:sz w:val="28"/>
        </w:rPr>
      </w:pPr>
    </w:p>
    <w:p w14:paraId="E8010000">
      <w:pPr>
        <w:widowControl w:val="1"/>
        <w:ind w:firstLine="851"/>
        <w:jc w:val="both"/>
        <w:rPr>
          <w:sz w:val="28"/>
        </w:rPr>
      </w:pPr>
      <w:r>
        <w:rPr>
          <w:sz w:val="28"/>
        </w:rPr>
        <w:t>Судебная практика в муниципальных образованиях республики, направленная на защиту прав потребителей (в том числе неопределенного круга потребителей), отсутствует. Иски в суд о прекращении противоправных действий изготовителя (исполнителя, продавца) в отношении неопределенного круга лиц в период с 2023 по 2025 год не подавались.</w:t>
      </w:r>
    </w:p>
    <w:p w14:paraId="E9010000">
      <w:pPr>
        <w:widowControl w:val="1"/>
        <w:ind/>
        <w:jc w:val="both"/>
        <w:rPr>
          <w:sz w:val="28"/>
        </w:rPr>
      </w:pPr>
    </w:p>
    <w:p w14:paraId="EA010000">
      <w:pPr>
        <w:widowControl w:val="1"/>
        <w:ind w:firstLine="851"/>
        <w:jc w:val="both"/>
        <w:rPr>
          <w:b w:val="1"/>
          <w:sz w:val="28"/>
        </w:rPr>
      </w:pPr>
      <w:r>
        <w:rPr>
          <w:b w:val="1"/>
          <w:sz w:val="28"/>
        </w:rPr>
        <w:t>7</w:t>
      </w:r>
      <w:r>
        <w:rPr>
          <w:b w:val="1"/>
          <w:sz w:val="28"/>
        </w:rPr>
        <w:t>.</w:t>
      </w:r>
      <w:r>
        <w:rPr>
          <w:b w:val="1"/>
          <w:sz w:val="28"/>
        </w:rPr>
        <w:tab/>
      </w:r>
      <w:r>
        <w:rPr>
          <w:b w:val="1"/>
          <w:sz w:val="28"/>
        </w:rPr>
        <w:t>Деятельность</w:t>
      </w:r>
      <w:r>
        <w:rPr>
          <w:b w:val="1"/>
          <w:sz w:val="28"/>
        </w:rPr>
        <w:t xml:space="preserve"> по организации взаимодействия с общественными объединениями потребителей:</w:t>
      </w:r>
    </w:p>
    <w:p w14:paraId="EB010000">
      <w:pPr>
        <w:widowControl w:val="1"/>
        <w:ind w:firstLine="851"/>
        <w:jc w:val="both"/>
        <w:rPr>
          <w:sz w:val="28"/>
        </w:rPr>
      </w:pPr>
      <w:r>
        <w:rPr>
          <w:sz w:val="28"/>
        </w:rPr>
        <w:t>К 2025 году в Республике Саха (Якутия) активно функционируют три авторитетные общественные организации, целенаправленно занимающиеся защитой прав потребителей:</w:t>
      </w:r>
    </w:p>
    <w:p w14:paraId="EC010000">
      <w:pPr>
        <w:widowControl w:val="1"/>
        <w:ind w:firstLine="851"/>
        <w:jc w:val="both"/>
        <w:rPr>
          <w:sz w:val="28"/>
        </w:rPr>
      </w:pPr>
      <w:r>
        <w:rPr>
          <w:sz w:val="28"/>
        </w:rPr>
        <w:t>Общественная организация "Общество защиты прав потребителей города Якутска "Потребитель жилищных и коммунальных услуг" (ОГРН 1111400002020, ИНН 1435970581).</w:t>
      </w:r>
    </w:p>
    <w:p w14:paraId="ED010000">
      <w:pPr>
        <w:widowControl w:val="1"/>
        <w:ind w:firstLine="851"/>
        <w:jc w:val="both"/>
        <w:rPr>
          <w:sz w:val="28"/>
        </w:rPr>
      </w:pPr>
      <w:r>
        <w:rPr>
          <w:sz w:val="28"/>
        </w:rPr>
        <w:t>Общественный фонд защиты прав потребителей Республики Саха (Якутия) "Союз Потребителей Якутии" (ОГРН 1061400018459, ИНН 1435183577).</w:t>
      </w:r>
    </w:p>
    <w:p w14:paraId="EE010000">
      <w:pPr>
        <w:widowControl w:val="1"/>
        <w:ind w:firstLine="851"/>
        <w:jc w:val="both"/>
        <w:rPr>
          <w:sz w:val="28"/>
        </w:rPr>
      </w:pPr>
      <w:r>
        <w:rPr>
          <w:sz w:val="28"/>
        </w:rPr>
        <w:t xml:space="preserve">Общественная организация </w:t>
      </w:r>
      <w:r>
        <w:rPr>
          <w:sz w:val="28"/>
        </w:rPr>
        <w:t>Намского</w:t>
      </w:r>
      <w:r>
        <w:rPr>
          <w:sz w:val="28"/>
        </w:rPr>
        <w:t xml:space="preserve"> района Республики Саха (Якутия) "Общество Защиты Прав Потребителей "Потребительский Контроль" (ОГРН 1161400051735, ИНН 1417010187).</w:t>
      </w:r>
    </w:p>
    <w:p w14:paraId="EF010000">
      <w:pPr>
        <w:widowControl w:val="1"/>
        <w:ind w:firstLine="851"/>
        <w:jc w:val="both"/>
        <w:rPr>
          <w:sz w:val="28"/>
        </w:rPr>
      </w:pPr>
      <w:r>
        <w:rPr>
          <w:sz w:val="28"/>
        </w:rPr>
        <w:t>Взаимодействие с указанными организациями ведется на планомерной основе, включая проведение совместных семинар-совещаний и оказание всесторонней практической и методической поддержки.</w:t>
      </w:r>
    </w:p>
    <w:p w14:paraId="F0010000">
      <w:pPr>
        <w:pStyle w:val="Style_2"/>
      </w:pPr>
    </w:p>
    <w:p w14:paraId="F1010000">
      <w:pPr>
        <w:pStyle w:val="Style_2"/>
        <w:tabs>
          <w:tab w:leader="none" w:pos="1276" w:val="left"/>
        </w:tabs>
        <w:ind w:firstLine="851"/>
        <w:jc w:val="both"/>
        <w:rPr>
          <w:b w:val="1"/>
        </w:rPr>
      </w:pPr>
      <w:r>
        <w:rPr>
          <w:b w:val="1"/>
        </w:rPr>
        <w:t>8</w:t>
      </w:r>
      <w:r>
        <w:rPr>
          <w:b w:val="1"/>
        </w:rPr>
        <w:t xml:space="preserve">. </w:t>
      </w:r>
      <w:r>
        <w:rPr>
          <w:b w:val="1"/>
        </w:rPr>
        <w:t xml:space="preserve">Получение потребителями </w:t>
      </w:r>
      <w:r>
        <w:rPr>
          <w:b w:val="1"/>
        </w:rPr>
        <w:t>полной</w:t>
      </w:r>
      <w:r>
        <w:rPr>
          <w:b w:val="1"/>
        </w:rPr>
        <w:t xml:space="preserve"> и достоверной информации о товаре (работе, услуге) на родном языке</w:t>
      </w:r>
      <w:r>
        <w:rPr>
          <w:b w:val="1"/>
        </w:rPr>
        <w:t>.</w:t>
      </w:r>
    </w:p>
    <w:p w14:paraId="F2010000">
      <w:pPr>
        <w:pStyle w:val="Style_2"/>
        <w:ind w:firstLine="851"/>
        <w:jc w:val="both"/>
      </w:pPr>
    </w:p>
    <w:p w14:paraId="F3010000">
      <w:pPr>
        <w:pStyle w:val="Style_2"/>
        <w:ind w:firstLine="851"/>
        <w:jc w:val="both"/>
      </w:pPr>
      <w:r>
        <w:t>Особую ценность для реализации неотъемлемого права потребителя на получение исчерпывающей и достоверной информации о товаре (работе, услуге) приобретает обеспечение доступа к таким сведениям на родном языке.</w:t>
      </w:r>
    </w:p>
    <w:p w14:paraId="F4010000">
      <w:pPr>
        <w:pStyle w:val="Style_2"/>
        <w:ind w:firstLine="851"/>
        <w:jc w:val="both"/>
      </w:pPr>
      <w:r>
        <w:t>С 1 марта 2026 года вступила в силу статья 10.1 Закона «О защите прав потребителей», регулирующая вопросы "Информации, предназначенной для публичного ознакомления потребителей". Суть данной законодательной инициативы заключается в существенном повышении уровня защиты русского языка как государственного на всей территории Российской Федерации, а также в ограничении использования иностранных слов, в том числе в публичном пространстве.</w:t>
      </w:r>
    </w:p>
    <w:p w14:paraId="F5010000">
      <w:pPr>
        <w:pStyle w:val="Style_2"/>
        <w:ind w:firstLine="851"/>
        <w:jc w:val="both"/>
      </w:pPr>
      <w:r>
        <w:t>Предыдущие положения закона, в частности статьи 8, 9 и 10, уже устанавливали обязательность использования русского языка в рекламных материалах, информации о товарах, продавцах, графиках работы и иных сведениях, адресованных потребителю. Однако, вывески, указатели, таблички и меню допускали возможность их дублирования или размещения исключительно на иностранном языке.</w:t>
      </w:r>
    </w:p>
    <w:p w14:paraId="F6010000">
      <w:pPr>
        <w:pStyle w:val="Style_2"/>
        <w:ind w:firstLine="851"/>
        <w:jc w:val="both"/>
      </w:pPr>
      <w:r>
        <w:t>Под "Информацией, предназначенной для публичного ознакомления потребителей" понимается любая информация, размещенная в общедоступных местах и адресованная неопределенному кругу лиц при осуществлении торговой, бытовой или иных видов деятельности по обслуживанию населения.</w:t>
      </w:r>
    </w:p>
    <w:p w14:paraId="F7010000">
      <w:pPr>
        <w:pStyle w:val="Style_2"/>
        <w:ind w:firstLine="851"/>
        <w:jc w:val="both"/>
      </w:pPr>
      <w:r>
        <w:t xml:space="preserve">Информация, предназначенная для публичного ознакомления потребителей и не являющаяся рекламой, подлежит выполнению на русском языке – государственном языке Российской Федерации. В случаях, предусмотренных законодательством для отдельных субъектов Российской Федерации, допускается использование государственных языков республик, входящих в состав РФ, а также языков народов России. </w:t>
      </w:r>
      <w:r>
        <w:t>Разрешено использовать заимствованные слова, которые входят в государственный русский язык. Это те слова, которые есть в нормативных словарях:</w:t>
      </w:r>
    </w:p>
    <w:p w14:paraId="F8010000">
      <w:pPr>
        <w:pStyle w:val="Style_2"/>
      </w:pPr>
      <w:r>
        <w:t>- Орфографический словарь русского языка Института русского языка им. В. В. Виноградова РАН;</w:t>
      </w:r>
    </w:p>
    <w:p w14:paraId="F9010000">
      <w:pPr>
        <w:pStyle w:val="Style_2"/>
      </w:pPr>
      <w:r>
        <w:t>- Орфоэпический словарь того же института;</w:t>
      </w:r>
    </w:p>
    <w:p w14:paraId="FA010000">
      <w:pPr>
        <w:pStyle w:val="Style_2"/>
      </w:pPr>
      <w:r>
        <w:t>- Словарь иностранных слов Института лингвистических исследований РАН;</w:t>
      </w:r>
    </w:p>
    <w:p w14:paraId="FB010000">
      <w:pPr>
        <w:pStyle w:val="Style_2"/>
      </w:pPr>
      <w:r>
        <w:t>- Толковый словарь государственного языка РФ (СПбГУ</w:t>
      </w:r>
      <w:r>
        <w:t>).</w:t>
      </w:r>
    </w:p>
    <w:p w14:paraId="FC010000">
      <w:pPr>
        <w:pStyle w:val="Style_2"/>
        <w:ind w:firstLine="851"/>
      </w:pPr>
      <w:r>
        <w:t xml:space="preserve">Если слово есть в одном из официальных словарей, его можно использовать без пояснений и без обязательного перевода. </w:t>
      </w:r>
    </w:p>
    <w:p w14:paraId="FD010000">
      <w:pPr>
        <w:pStyle w:val="Style_2"/>
        <w:ind w:firstLine="851"/>
      </w:pPr>
      <w:r>
        <w:t xml:space="preserve">Если иностранного слова нет в официальных словарях, его нельзя использовать как самостоятельный элемент информации для потребителей. Простая транслитерация иностранного названия не подходит. </w:t>
      </w:r>
    </w:p>
    <w:p w14:paraId="FE010000">
      <w:pPr>
        <w:pStyle w:val="Style_2"/>
        <w:ind w:firstLine="851"/>
        <w:jc w:val="both"/>
      </w:pPr>
      <w:r>
        <w:t>Русский язык является обязательным и приоритетным, поэтому он не может быть второстепенным или скрытым. Вся информация, представленная на разных языках, должна быть идентичной по смыслу, исключая возможность разночтений. Аналогично, надписи на разных языках должны быть равнозначными по размещению и техническому оформлению. Использование иностранного языка допускается исключительно в качестве дополнения к основному русскому тексту.</w:t>
      </w:r>
    </w:p>
    <w:p w14:paraId="FF010000">
      <w:pPr>
        <w:pStyle w:val="Style_2"/>
        <w:ind w:firstLine="851"/>
        <w:jc w:val="both"/>
      </w:pPr>
    </w:p>
    <w:p w14:paraId="00020000">
      <w:pPr>
        <w:pStyle w:val="Style_2"/>
        <w:ind w:firstLine="851"/>
        <w:jc w:val="both"/>
      </w:pPr>
      <w:r>
        <w:t>Положения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РФ, требованиями технических регламентов и актами, составляющими право Евразийского экономического союза.</w:t>
      </w:r>
    </w:p>
    <w:p w14:paraId="01020000">
      <w:pPr>
        <w:pStyle w:val="Style_2"/>
        <w:ind w:firstLine="851"/>
        <w:jc w:val="both"/>
      </w:pPr>
      <w:r>
        <w:t>Если название организации на иностранном языке внесено в ЕГРЮЛ, его можно использовать в том виде, в котором оно зарегистрировано. Этот вариант доступен только юридическим лицам. У индивидуальных предпринимателей фирменного наименования нет.</w:t>
      </w:r>
    </w:p>
    <w:p w14:paraId="02020000">
      <w:pPr>
        <w:pStyle w:val="Style_2"/>
        <w:ind w:firstLine="851"/>
        <w:jc w:val="both"/>
      </w:pPr>
      <w:r>
        <w:t>Фирменное наименование на иностранном языке может использовать только сама организация-владелец, передача иным лицам недопустима.</w:t>
      </w:r>
    </w:p>
    <w:p w14:paraId="03020000">
      <w:pPr>
        <w:pStyle w:val="Style_2"/>
        <w:ind w:firstLine="851"/>
        <w:jc w:val="both"/>
      </w:pPr>
      <w:r>
        <w:t xml:space="preserve">С учетом фундаментальных интересов коренных народов Республики Саха (Якутия), считаем необходимым вынесение на рассмотрение Государственного Собрания (Ил </w:t>
      </w:r>
      <w:r>
        <w:t>Тумэн</w:t>
      </w:r>
      <w:r>
        <w:t xml:space="preserve">) законопроекта, направленного на закрепление за якутским языком статуса государственного наравне с русским при размещении информации, предназначенной для публичного ознакомления потребителей. В качестве авторитетного лингвистического ресурса для реализации данной инициативы может быть использован "Якутско-русский словарь", подготовленный Петром Алексеевичем </w:t>
      </w:r>
      <w:r>
        <w:t>Слепцовым</w:t>
      </w:r>
      <w:r>
        <w:t xml:space="preserve"> и изданный в 1972 году, включающий 25 300 лексических единиц.</w:t>
      </w:r>
    </w:p>
    <w:p w14:paraId="04020000">
      <w:pPr>
        <w:pStyle w:val="Style_2"/>
      </w:pPr>
    </w:p>
    <w:p w14:paraId="05020000">
      <w:pPr>
        <w:pStyle w:val="Style_3"/>
        <w:numPr>
          <w:ilvl w:val="1"/>
          <w:numId w:val="13"/>
        </w:numPr>
        <w:ind w:firstLine="0" w:left="0"/>
        <w:jc w:val="center"/>
      </w:pPr>
      <w:r>
        <w:t>Цели,</w:t>
      </w:r>
      <w:r>
        <w:rPr>
          <w:spacing w:val="-3"/>
        </w:rPr>
        <w:t xml:space="preserve"> </w:t>
      </w:r>
      <w:r>
        <w:t>задачи</w:t>
      </w:r>
      <w:r>
        <w:rPr>
          <w:spacing w:val="-4"/>
        </w:rPr>
        <w:t xml:space="preserve"> </w:t>
      </w:r>
      <w:r>
        <w:t>и</w:t>
      </w:r>
      <w:r>
        <w:rPr>
          <w:spacing w:val="-4"/>
        </w:rPr>
        <w:t xml:space="preserve"> </w:t>
      </w:r>
      <w:r>
        <w:t>целевые</w:t>
      </w:r>
      <w:r>
        <w:rPr>
          <w:spacing w:val="-3"/>
        </w:rPr>
        <w:t xml:space="preserve"> </w:t>
      </w:r>
      <w:r>
        <w:t>индикаторы</w:t>
      </w:r>
      <w:r>
        <w:rPr>
          <w:spacing w:val="-3"/>
        </w:rPr>
        <w:t xml:space="preserve"> </w:t>
      </w:r>
      <w:r>
        <w:t>и</w:t>
      </w:r>
      <w:r>
        <w:rPr>
          <w:spacing w:val="-4"/>
        </w:rPr>
        <w:t xml:space="preserve"> </w:t>
      </w:r>
      <w:r>
        <w:t>ожидаемые</w:t>
      </w:r>
      <w:r>
        <w:rPr>
          <w:spacing w:val="-3"/>
        </w:rPr>
        <w:t xml:space="preserve"> </w:t>
      </w:r>
      <w:r>
        <w:t>результаты</w:t>
      </w:r>
      <w:r>
        <w:rPr>
          <w:spacing w:val="-3"/>
        </w:rPr>
        <w:t xml:space="preserve"> </w:t>
      </w:r>
      <w:r>
        <w:t>реализации</w:t>
      </w:r>
      <w:r>
        <w:rPr>
          <w:spacing w:val="-2"/>
        </w:rPr>
        <w:t xml:space="preserve"> Программы</w:t>
      </w:r>
    </w:p>
    <w:p w14:paraId="06020000">
      <w:pPr>
        <w:pStyle w:val="Style_2"/>
        <w:rPr>
          <w:b w:val="1"/>
        </w:rPr>
      </w:pPr>
    </w:p>
    <w:p w14:paraId="07020000">
      <w:pPr>
        <w:pStyle w:val="Style_2"/>
        <w:ind w:firstLine="851"/>
        <w:jc w:val="both"/>
        <w:rPr>
          <w:b w:val="1"/>
        </w:rPr>
      </w:pPr>
      <w:r>
        <w:rPr>
          <w:b w:val="1"/>
        </w:rPr>
        <w:t>Целями Программы является создание необходимых условий для максимальной реализации потребителями Республики Саха (Якутия) своих законных прав и интересов, а именно:</w:t>
      </w:r>
    </w:p>
    <w:p w14:paraId="08020000">
      <w:pPr>
        <w:pStyle w:val="Style_2"/>
        <w:numPr>
          <w:ilvl w:val="0"/>
          <w:numId w:val="15"/>
        </w:numPr>
        <w:tabs>
          <w:tab w:leader="none" w:pos="1276" w:val="left"/>
        </w:tabs>
        <w:ind w:firstLine="851" w:left="0"/>
        <w:jc w:val="both"/>
      </w:pPr>
      <w:r>
        <w:t xml:space="preserve">Создать и укрепить систему защиты прав потребителей в Республике Саха (Якутия), </w:t>
      </w:r>
      <w:r>
        <w:t>минимизируя</w:t>
      </w:r>
      <w:r>
        <w:t xml:space="preserve"> риски ущемления законных интересов граждан и обеспечивая эффективные механизмы правовой защиты от недобросовестных действий хозяйствующих субъектов.</w:t>
      </w:r>
    </w:p>
    <w:p w14:paraId="09020000">
      <w:pPr>
        <w:pStyle w:val="Style_2"/>
        <w:numPr>
          <w:ilvl w:val="0"/>
          <w:numId w:val="15"/>
        </w:numPr>
        <w:tabs>
          <w:tab w:leader="none" w:pos="1276" w:val="left"/>
        </w:tabs>
        <w:ind w:firstLine="851" w:left="0"/>
        <w:jc w:val="both"/>
      </w:pPr>
      <w:r>
        <w:t>Гарантировать защиту интересов всех слоев населения, предоставляя равный доступ к безопасным товарам, услугам и работам, с особым вниманием к социально уязвимым группам.</w:t>
      </w:r>
    </w:p>
    <w:p w14:paraId="0A020000">
      <w:pPr>
        <w:pStyle w:val="Style_2"/>
        <w:numPr>
          <w:ilvl w:val="0"/>
          <w:numId w:val="15"/>
        </w:numPr>
        <w:tabs>
          <w:tab w:leader="none" w:pos="1276" w:val="left"/>
        </w:tabs>
        <w:ind w:firstLine="851" w:left="0"/>
        <w:jc w:val="both"/>
      </w:pPr>
      <w:r>
        <w:t>Обеспечить надлежащие условия для реализации потребителями прав, установленных законодательством Российской Федерации, включая Закон «О защите прав потребителей», федеральные законы, иные нормативные правовые акты России и Республики Саха (Якутия), а также акты Евразийского экономического союза, регулирующие отношения в области защиты прав потребителей, и требования, связанные с обязательной маркировкой товаров средствами идентификации.</w:t>
      </w:r>
    </w:p>
    <w:p w14:paraId="0B020000">
      <w:pPr>
        <w:pStyle w:val="Style_2"/>
        <w:numPr>
          <w:ilvl w:val="0"/>
          <w:numId w:val="15"/>
        </w:numPr>
        <w:tabs>
          <w:tab w:leader="none" w:pos="1276" w:val="left"/>
        </w:tabs>
        <w:ind w:firstLine="851" w:left="0"/>
        <w:jc w:val="both"/>
      </w:pPr>
      <w:r>
        <w:t>Предотвращать правонарушения в сфере защиты прав потребителей и оборота товаров, подлежащих обязательной маркировке средствами идентификации.</w:t>
      </w:r>
    </w:p>
    <w:p w14:paraId="0C020000">
      <w:pPr>
        <w:pStyle w:val="Style_2"/>
        <w:tabs>
          <w:tab w:leader="none" w:pos="1276" w:val="left"/>
        </w:tabs>
        <w:ind w:firstLine="851"/>
        <w:rPr>
          <w:b w:val="1"/>
        </w:rPr>
      </w:pPr>
    </w:p>
    <w:p w14:paraId="0D020000">
      <w:pPr>
        <w:pStyle w:val="Style_2"/>
        <w:tabs>
          <w:tab w:leader="none" w:pos="1276" w:val="left"/>
        </w:tabs>
        <w:ind w:firstLine="851"/>
        <w:rPr>
          <w:b w:val="1"/>
        </w:rPr>
      </w:pPr>
      <w:r>
        <w:rPr>
          <w:b w:val="1"/>
        </w:rPr>
        <w:t>Основные</w:t>
      </w:r>
      <w:r>
        <w:rPr>
          <w:b w:val="1"/>
          <w:spacing w:val="-3"/>
        </w:rPr>
        <w:t xml:space="preserve"> </w:t>
      </w:r>
      <w:r>
        <w:rPr>
          <w:b w:val="1"/>
        </w:rPr>
        <w:t>задачи</w:t>
      </w:r>
      <w:r>
        <w:rPr>
          <w:b w:val="1"/>
          <w:spacing w:val="-3"/>
        </w:rPr>
        <w:t xml:space="preserve"> </w:t>
      </w:r>
      <w:r>
        <w:rPr>
          <w:b w:val="1"/>
          <w:spacing w:val="-2"/>
        </w:rPr>
        <w:t>Программы:</w:t>
      </w:r>
    </w:p>
    <w:p w14:paraId="0E020000">
      <w:pPr>
        <w:pStyle w:val="Style_2"/>
        <w:ind w:firstLine="851"/>
        <w:jc w:val="both"/>
      </w:pPr>
      <w:r>
        <w:rPr>
          <w:b w:val="1"/>
        </w:rPr>
        <w:t>Стратегическое соответствие:</w:t>
      </w:r>
      <w:r>
        <w:t xml:space="preserve"> Обеспечение полного выполнения мероприятий, предусмотренных Стратегией государственной политики Российской Федерации в области защиты прав потребителей на период до 2030 года, с особым акцентом на повышение уровня защищенности прав потребителей в Республике Саха (Якутия).</w:t>
      </w:r>
    </w:p>
    <w:p w14:paraId="0F020000">
      <w:pPr>
        <w:pStyle w:val="Style_2"/>
        <w:ind w:firstLine="851"/>
        <w:jc w:val="both"/>
      </w:pPr>
      <w:r>
        <w:rPr>
          <w:b w:val="1"/>
        </w:rPr>
        <w:t>Координация и синергия:</w:t>
      </w:r>
      <w:r>
        <w:t xml:space="preserve"> Эффективная координация деятельности всех участников Программы для достижения поставленных целей, а также повышение уровня правовой грамотности и формирование культуры рационального потребительского поведения среди населения Республики Саха (Якутия).</w:t>
      </w:r>
    </w:p>
    <w:p w14:paraId="10020000">
      <w:pPr>
        <w:pStyle w:val="Style_2"/>
        <w:ind w:firstLine="851"/>
        <w:jc w:val="both"/>
      </w:pPr>
      <w:r>
        <w:rPr>
          <w:b w:val="1"/>
        </w:rPr>
        <w:t>Поддержка и содействие:</w:t>
      </w:r>
      <w:r>
        <w:t xml:space="preserve"> Оказание всесторонней помощи органам местного самоуправления и общественным организациям Республики Саха (Якутия) в решении задач по защите прав потребителей.</w:t>
      </w:r>
    </w:p>
    <w:p w14:paraId="11020000">
      <w:pPr>
        <w:pStyle w:val="Style_2"/>
        <w:ind w:firstLine="851"/>
        <w:jc w:val="both"/>
      </w:pPr>
      <w:r>
        <w:rPr>
          <w:b w:val="1"/>
        </w:rPr>
        <w:t xml:space="preserve">Информационная прозрачность: </w:t>
      </w:r>
      <w:r>
        <w:t>Создание и развитие современной системы оперативного обмена информацией в сфере защиты прав потребителей. Это включает в себя информирование потребителей о качестве товаров, работ и услуг, предлагаемых на территории Республики Саха (Якутия), включая продукцию, подлежащую обязательной маркировке средствами идентификации.</w:t>
      </w:r>
    </w:p>
    <w:p w14:paraId="12020000">
      <w:pPr>
        <w:pStyle w:val="Style_2"/>
        <w:ind w:firstLine="851"/>
        <w:jc w:val="both"/>
      </w:pPr>
      <w:r>
        <w:rPr>
          <w:b w:val="1"/>
        </w:rPr>
        <w:t>Профессиональное развитие:</w:t>
      </w:r>
      <w:r>
        <w:t xml:space="preserve"> Совершенствование системы подготовки и повышения квалификации специалистов, осуществляющих деятельность в области защиты прав потребителей.</w:t>
      </w:r>
    </w:p>
    <w:p w14:paraId="13020000">
      <w:pPr>
        <w:pStyle w:val="Style_2"/>
        <w:ind w:firstLine="851"/>
        <w:jc w:val="both"/>
      </w:pPr>
      <w:r>
        <w:rPr>
          <w:b w:val="1"/>
        </w:rPr>
        <w:t>Ответственность бизнеса:</w:t>
      </w:r>
      <w:r>
        <w:t xml:space="preserve"> Формирование высокого уровня социальной ответственности и правовой грамотности среди хозяйствующих субъектов, функционирующих на потребительском рынке Республики Саха (Якутия), включая участников оборота товаров, подлежащих обязательной маркировке.</w:t>
      </w:r>
    </w:p>
    <w:p w14:paraId="14020000">
      <w:pPr>
        <w:pStyle w:val="Style_2"/>
        <w:ind w:firstLine="851"/>
        <w:jc w:val="both"/>
      </w:pPr>
      <w:r>
        <w:rPr>
          <w:b w:val="1"/>
        </w:rPr>
        <w:t>Качество и безопасность:</w:t>
      </w:r>
      <w:r>
        <w:t xml:space="preserve"> Создание благоприятных условий для неуклонного повышения качества и безопасности реализуемых в Республике Саха (Якутия) товаров, работ и услуг, в том числе продукции с обязательной маркировкой.</w:t>
      </w:r>
    </w:p>
    <w:p w14:paraId="15020000">
      <w:pPr>
        <w:pStyle w:val="Style_2"/>
        <w:ind w:firstLine="851"/>
        <w:jc w:val="both"/>
      </w:pPr>
      <w:r>
        <w:rPr>
          <w:b w:val="1"/>
        </w:rPr>
        <w:t>Информированность и доступность:</w:t>
      </w:r>
      <w:r>
        <w:t xml:space="preserve"> Гарантирование прав потребителей на получение полной и достоверной информации о товарах, работах и услугах. Повышение доступности правовой и экспертной помощи, с фокусом на социально уязвимые категории населения.</w:t>
      </w:r>
    </w:p>
    <w:p w14:paraId="16020000">
      <w:pPr>
        <w:pStyle w:val="Style_2"/>
        <w:ind w:firstLine="851"/>
        <w:jc w:val="both"/>
      </w:pPr>
      <w:r>
        <w:rPr>
          <w:b w:val="1"/>
        </w:rPr>
        <w:t>Досудебное урегулирование:</w:t>
      </w:r>
      <w:r>
        <w:t xml:space="preserve"> Развитие и усовершенствование системы досудебного урегулирования потребительских споров в Республике Саха (Якутия).</w:t>
      </w:r>
    </w:p>
    <w:p w14:paraId="17020000">
      <w:pPr>
        <w:pStyle w:val="Style_2"/>
        <w:ind w:firstLine="851"/>
        <w:jc w:val="both"/>
      </w:pPr>
      <w:r>
        <w:rPr>
          <w:b w:val="1"/>
        </w:rPr>
        <w:t>Вовлечение граждан:</w:t>
      </w:r>
      <w:r>
        <w:t xml:space="preserve"> Стимулирование развития волонтерского движения для активного вовлечения населения в реализацию мероприятий Программы.</w:t>
      </w:r>
    </w:p>
    <w:p w14:paraId="18020000">
      <w:pPr>
        <w:pStyle w:val="Style_2"/>
        <w:ind w:firstLine="851"/>
        <w:jc w:val="both"/>
      </w:pPr>
      <w:r>
        <w:rPr>
          <w:b w:val="1"/>
        </w:rPr>
        <w:t>Масштабное информирование:</w:t>
      </w:r>
      <w:r>
        <w:t xml:space="preserve"> Активное содействие в разработке и распространении информационных материалов и программ о правах потребителя через различные каналы: средства массовой информации, официальные </w:t>
      </w:r>
      <w:r>
        <w:t>интернет-ресурсы</w:t>
      </w:r>
      <w:r>
        <w:t xml:space="preserve"> органов местного самоуправления, министерств и ведомств, а также подведомственных им организаций. Особое внимание будет уделено информированию о недопустимости приобретения контрафактной, нелегально ввезенной продукции, товаров с явными признаками подделки, а также опасных для жизни и здоровья товаров, работ и услуг.</w:t>
      </w:r>
    </w:p>
    <w:p w14:paraId="19020000">
      <w:pPr>
        <w:pStyle w:val="Style_2"/>
        <w:ind w:firstLine="851"/>
        <w:jc w:val="both"/>
      </w:pPr>
      <w:r>
        <w:rPr>
          <w:b w:val="1"/>
        </w:rPr>
        <w:t>Восстановление институтов:</w:t>
      </w:r>
      <w:r>
        <w:t xml:space="preserve"> Возобновление и обеспечение эффективной работы комиссий по защите прав потребителей в муниципальных образованиях Республики Саха (Якутия).</w:t>
      </w:r>
    </w:p>
    <w:p w14:paraId="1A020000">
      <w:pPr>
        <w:pStyle w:val="Style_2"/>
        <w:ind w:firstLine="851"/>
        <w:jc w:val="both"/>
      </w:pPr>
    </w:p>
    <w:p w14:paraId="1B020000">
      <w:pPr>
        <w:pStyle w:val="Style_2"/>
        <w:ind w:firstLine="851"/>
        <w:jc w:val="both"/>
        <w:rPr>
          <w:b w:val="1"/>
          <w:highlight w:val="red"/>
        </w:rPr>
      </w:pPr>
      <w:r>
        <w:rPr>
          <w:b w:val="1"/>
        </w:rPr>
        <w:t xml:space="preserve">Целевые </w:t>
      </w:r>
      <w:r>
        <w:rPr>
          <w:b w:val="1"/>
          <w:spacing w:val="-2"/>
        </w:rPr>
        <w:t>индикаторы:</w:t>
      </w:r>
    </w:p>
    <w:p w14:paraId="1C020000">
      <w:pPr>
        <w:pStyle w:val="Style_2"/>
        <w:ind w:firstLine="851"/>
        <w:jc w:val="both"/>
      </w:pPr>
      <w:r>
        <w:t xml:space="preserve">- </w:t>
      </w:r>
      <w:r>
        <w:t>Количество размещенных информационных материалов в области защиты прав потребителей на официальных сайтах органов местного самоуправления и подведомственных им организациям</w:t>
      </w:r>
      <w:r>
        <w:t>;</w:t>
      </w:r>
    </w:p>
    <w:p w14:paraId="1D020000">
      <w:pPr>
        <w:pStyle w:val="Style_2"/>
        <w:ind w:firstLine="851"/>
        <w:jc w:val="both"/>
      </w:pPr>
      <w:r>
        <w:t xml:space="preserve">- </w:t>
      </w:r>
      <w:r>
        <w:t>Снижение количества отклонений при обороте товаров, подлежащих обязательной маркировке средствами идентификации</w:t>
      </w:r>
      <w:r>
        <w:t>;</w:t>
      </w:r>
    </w:p>
    <w:p w14:paraId="1E020000">
      <w:pPr>
        <w:pStyle w:val="Style_2"/>
        <w:ind w:firstLine="851"/>
        <w:jc w:val="both"/>
      </w:pPr>
      <w:r>
        <w:t xml:space="preserve">- </w:t>
      </w:r>
      <w:r>
        <w:t>Количество граждан (потребителей) и представителей предпринимательского сообщества, принявших участие в мероприятиях, направленных на правовое просвещение в сфере защиты прав потребителей</w:t>
      </w:r>
      <w:r>
        <w:t>;</w:t>
      </w:r>
    </w:p>
    <w:p w14:paraId="1F020000">
      <w:pPr>
        <w:pStyle w:val="Style_2"/>
        <w:ind w:firstLine="851"/>
        <w:jc w:val="both"/>
      </w:pPr>
      <w:r>
        <w:t xml:space="preserve">- </w:t>
      </w:r>
      <w:r>
        <w:t>Доля удовлетворённых исков в общем количестве исков, поданных государственным органом, уполномоченным на защиту прав потребителей, в защиту неопределённого круга потребителей и (или) коллективных исков</w:t>
      </w:r>
      <w:r>
        <w:t>.</w:t>
      </w:r>
    </w:p>
    <w:p w14:paraId="20020000">
      <w:pPr>
        <w:pStyle w:val="Style_2"/>
      </w:pPr>
    </w:p>
    <w:p w14:paraId="21020000">
      <w:pPr>
        <w:pStyle w:val="Style_2"/>
      </w:pPr>
    </w:p>
    <w:p w14:paraId="22020000">
      <w:pPr>
        <w:pStyle w:val="Style_2"/>
        <w:ind w:firstLine="851"/>
        <w:jc w:val="both"/>
        <w:rPr>
          <w:b w:val="1"/>
        </w:rPr>
      </w:pPr>
      <w:r>
        <w:rPr>
          <w:b w:val="1"/>
        </w:rPr>
        <w:t>Основными</w:t>
      </w:r>
      <w:r>
        <w:rPr>
          <w:b w:val="1"/>
          <w:spacing w:val="-6"/>
        </w:rPr>
        <w:t xml:space="preserve"> </w:t>
      </w:r>
      <w:r>
        <w:rPr>
          <w:b w:val="1"/>
        </w:rPr>
        <w:t>ожидаемыми</w:t>
      </w:r>
      <w:r>
        <w:rPr>
          <w:b w:val="1"/>
          <w:spacing w:val="-4"/>
        </w:rPr>
        <w:t xml:space="preserve"> </w:t>
      </w:r>
      <w:r>
        <w:rPr>
          <w:b w:val="1"/>
        </w:rPr>
        <w:t>результатами</w:t>
      </w:r>
      <w:r>
        <w:rPr>
          <w:b w:val="1"/>
          <w:spacing w:val="-6"/>
        </w:rPr>
        <w:t xml:space="preserve"> </w:t>
      </w:r>
      <w:r>
        <w:rPr>
          <w:b w:val="1"/>
        </w:rPr>
        <w:t>реализации</w:t>
      </w:r>
      <w:r>
        <w:rPr>
          <w:b w:val="1"/>
          <w:spacing w:val="-5"/>
        </w:rPr>
        <w:t xml:space="preserve"> </w:t>
      </w:r>
      <w:r>
        <w:rPr>
          <w:b w:val="1"/>
        </w:rPr>
        <w:t>Программы</w:t>
      </w:r>
      <w:r>
        <w:rPr>
          <w:b w:val="1"/>
          <w:spacing w:val="-5"/>
        </w:rPr>
        <w:t xml:space="preserve"> </w:t>
      </w:r>
      <w:r>
        <w:rPr>
          <w:b w:val="1"/>
        </w:rPr>
        <w:t>будут</w:t>
      </w:r>
      <w:r>
        <w:rPr>
          <w:b w:val="1"/>
          <w:spacing w:val="-4"/>
        </w:rPr>
        <w:t xml:space="preserve"> </w:t>
      </w:r>
      <w:r>
        <w:rPr>
          <w:b w:val="1"/>
          <w:spacing w:val="-2"/>
        </w:rPr>
        <w:t>являться:</w:t>
      </w:r>
    </w:p>
    <w:p w14:paraId="23020000">
      <w:pPr>
        <w:pStyle w:val="Style_6"/>
        <w:ind w:firstLine="790" w:left="61" w:right="284"/>
        <w:jc w:val="both"/>
        <w:rPr>
          <w:sz w:val="28"/>
        </w:rPr>
      </w:pPr>
      <w:r>
        <w:rPr>
          <w:b w:val="1"/>
          <w:sz w:val="28"/>
        </w:rPr>
        <w:t>Создание комплексной региональной системы:</w:t>
      </w:r>
      <w:r>
        <w:rPr>
          <w:sz w:val="28"/>
        </w:rPr>
        <w:t xml:space="preserve"> Формирование надежной и эффективной системы защиты прав потребителей, основанной на гармоничном взаимодействии всех уровней государственной власти, органов местного самоуправления и активном участии общественных организаций. Такой подход обеспечит всестороннюю защиту интересов потребителей в Республике Саха (Якутия).</w:t>
      </w:r>
    </w:p>
    <w:p w14:paraId="24020000">
      <w:pPr>
        <w:pStyle w:val="Style_6"/>
        <w:ind w:firstLine="790" w:left="61" w:right="284"/>
        <w:jc w:val="both"/>
        <w:rPr>
          <w:sz w:val="28"/>
        </w:rPr>
      </w:pPr>
      <w:r>
        <w:rPr>
          <w:b w:val="1"/>
          <w:sz w:val="28"/>
        </w:rPr>
        <w:t>Активизация органов местного самоуправления:</w:t>
      </w:r>
      <w:r>
        <w:rPr>
          <w:sz w:val="28"/>
        </w:rPr>
        <w:t xml:space="preserve"> Стимулирование органов местного самоуправления к повышению информированности населения и бизнес-сообщества о механизмах защиты прав потребителей и строгом соблюдении законодательства в предпринимательской деятельности.</w:t>
      </w:r>
    </w:p>
    <w:p w14:paraId="25020000">
      <w:pPr>
        <w:pStyle w:val="Style_6"/>
        <w:ind w:firstLine="790" w:left="61" w:right="284"/>
        <w:jc w:val="both"/>
        <w:rPr>
          <w:sz w:val="28"/>
        </w:rPr>
      </w:pPr>
      <w:r>
        <w:rPr>
          <w:b w:val="1"/>
          <w:sz w:val="28"/>
        </w:rPr>
        <w:t>Развитие гражданского общества:</w:t>
      </w:r>
      <w:r>
        <w:rPr>
          <w:sz w:val="28"/>
        </w:rPr>
        <w:t xml:space="preserve"> Усиление роли волонтерского движения, средств массовой информации и общественных организаций в деле продвижения и защиты прав потребителей на территории Республики Саха (Якутия).</w:t>
      </w:r>
    </w:p>
    <w:p w14:paraId="26020000">
      <w:pPr>
        <w:pStyle w:val="Style_6"/>
        <w:ind w:firstLine="790" w:left="61" w:right="284"/>
        <w:jc w:val="both"/>
        <w:rPr>
          <w:sz w:val="28"/>
        </w:rPr>
      </w:pPr>
      <w:r>
        <w:rPr>
          <w:b w:val="1"/>
          <w:sz w:val="28"/>
        </w:rPr>
        <w:t>Повышение информированности граждан:</w:t>
      </w:r>
      <w:r>
        <w:rPr>
          <w:sz w:val="28"/>
        </w:rPr>
        <w:t xml:space="preserve"> Обеспечение высокого качества и доступности информации о правах потребителей и предусмотренных российским законодательством механизмах их реализации.</w:t>
      </w:r>
    </w:p>
    <w:p w14:paraId="27020000">
      <w:pPr>
        <w:pStyle w:val="Style_6"/>
        <w:ind w:firstLine="790" w:left="61" w:right="284"/>
        <w:jc w:val="both"/>
        <w:rPr>
          <w:sz w:val="28"/>
        </w:rPr>
      </w:pPr>
      <w:r>
        <w:rPr>
          <w:b w:val="1"/>
          <w:sz w:val="28"/>
        </w:rPr>
        <w:t xml:space="preserve">Соблюдение обязательных требований при обороте </w:t>
      </w:r>
      <w:r>
        <w:rPr>
          <w:b w:val="1"/>
          <w:sz w:val="28"/>
        </w:rPr>
        <w:t>марккированных</w:t>
      </w:r>
      <w:r>
        <w:rPr>
          <w:b w:val="1"/>
          <w:sz w:val="28"/>
        </w:rPr>
        <w:t xml:space="preserve"> товаров:</w:t>
      </w:r>
      <w:r>
        <w:rPr>
          <w:sz w:val="28"/>
        </w:rPr>
        <w:t xml:space="preserve"> Существенное сокращение количества нарушений при реализации товаров, подлежащих обязательной маркировке средствами идентификации, и увеличение зарегистрированных в Государственной информационной системе мониторинга (далее - ГИС МТ) участников оборота маркированных товаров.</w:t>
      </w:r>
    </w:p>
    <w:p w14:paraId="28020000">
      <w:pPr>
        <w:pStyle w:val="Style_6"/>
        <w:ind w:firstLine="790" w:left="61" w:right="284"/>
        <w:jc w:val="both"/>
        <w:rPr>
          <w:sz w:val="28"/>
        </w:rPr>
      </w:pPr>
      <w:r>
        <w:rPr>
          <w:b w:val="1"/>
          <w:sz w:val="28"/>
        </w:rPr>
        <w:t>Борьба с контрафактом и фальсификатом:</w:t>
      </w:r>
      <w:r>
        <w:rPr>
          <w:sz w:val="28"/>
        </w:rPr>
        <w:t xml:space="preserve"> Значительное уменьшение оборота контрафактной, фальсифицированной и нелегально ввезенной продукции на территории Республики Саха (Якутия).</w:t>
      </w:r>
    </w:p>
    <w:p w14:paraId="29020000">
      <w:pPr>
        <w:pStyle w:val="Style_6"/>
        <w:ind w:firstLine="790" w:left="61" w:right="284"/>
        <w:jc w:val="both"/>
        <w:rPr>
          <w:sz w:val="28"/>
        </w:rPr>
      </w:pPr>
      <w:r>
        <w:rPr>
          <w:b w:val="1"/>
          <w:sz w:val="28"/>
        </w:rPr>
        <w:t>Гарантия качества и законности:</w:t>
      </w:r>
      <w:r>
        <w:rPr>
          <w:sz w:val="28"/>
        </w:rPr>
        <w:t xml:space="preserve"> Повышение качества товаров, работ и услуг, реализуемых гражданам, а также минимизация нарушений законодательства Российской Федерации, Республики Саха (Якутия) и правовых актов Евразийского экономического союза, регулирующих сферу защиты прав потребителей, включая обязательные требования при обороте маркированных товаров.</w:t>
      </w:r>
    </w:p>
    <w:p w14:paraId="2A020000">
      <w:pPr>
        <w:pStyle w:val="Style_6"/>
        <w:ind w:firstLine="790" w:left="61" w:right="284"/>
        <w:jc w:val="both"/>
        <w:rPr>
          <w:sz w:val="28"/>
        </w:rPr>
      </w:pPr>
      <w:r>
        <w:rPr>
          <w:b w:val="1"/>
          <w:sz w:val="28"/>
        </w:rPr>
        <w:t>Рост правосознания:</w:t>
      </w:r>
      <w:r>
        <w:rPr>
          <w:sz w:val="28"/>
        </w:rPr>
        <w:t xml:space="preserve"> Повышение уровня правовой грамотности населения Республики Саха (Якутия).</w:t>
      </w:r>
    </w:p>
    <w:p w14:paraId="2B020000">
      <w:pPr>
        <w:pStyle w:val="Style_6"/>
        <w:ind w:firstLine="790" w:left="61" w:right="284"/>
        <w:jc w:val="both"/>
        <w:rPr>
          <w:sz w:val="28"/>
        </w:rPr>
      </w:pPr>
      <w:r>
        <w:rPr>
          <w:b w:val="1"/>
          <w:sz w:val="28"/>
        </w:rPr>
        <w:t>Укрепление доверия к бизнесу:</w:t>
      </w:r>
      <w:r>
        <w:rPr>
          <w:sz w:val="28"/>
        </w:rPr>
        <w:t xml:space="preserve"> Повышение защищенности потребителей от недобросовестных действий продавцов и производителей, увеличение числа случаев добровольного удовлетворения законных требований потребителей, в том числе с применением медиативных процедур. Реализация комплекса мер, направленных на профилактику нарушений прав потребителей и обязательных требований при обороте маркированных товаров.</w:t>
      </w:r>
    </w:p>
    <w:p w14:paraId="2C020000">
      <w:pPr>
        <w:pStyle w:val="Style_2"/>
        <w:tabs>
          <w:tab w:leader="none" w:pos="1276" w:val="left"/>
        </w:tabs>
        <w:ind w:firstLine="790" w:left="61"/>
        <w:rPr>
          <w:b w:val="1"/>
        </w:rPr>
      </w:pPr>
    </w:p>
    <w:p w14:paraId="2D020000">
      <w:pPr>
        <w:pStyle w:val="Style_2"/>
        <w:tabs>
          <w:tab w:leader="none" w:pos="1276" w:val="left"/>
        </w:tabs>
        <w:ind w:firstLine="790" w:left="61"/>
      </w:pPr>
      <w:r>
        <w:rPr>
          <w:b w:val="1"/>
        </w:rPr>
        <w:t>Улучшение качества жизни:</w:t>
      </w:r>
      <w:r>
        <w:t xml:space="preserve"> Повышение общего уровня и качества жизни населения Республики Саха (Якутия) за счет обеспечения надежной защиты их потребительских прав.</w:t>
      </w:r>
    </w:p>
    <w:p w14:paraId="2E020000">
      <w:pPr>
        <w:pStyle w:val="Style_2"/>
        <w:tabs>
          <w:tab w:leader="none" w:pos="1276" w:val="left"/>
        </w:tabs>
        <w:ind/>
        <w:rPr>
          <w:b w:val="1"/>
          <w:highlight w:val="green"/>
        </w:rPr>
      </w:pPr>
    </w:p>
    <w:p w14:paraId="2F020000">
      <w:pPr>
        <w:pStyle w:val="Style_2"/>
        <w:numPr>
          <w:ilvl w:val="1"/>
          <w:numId w:val="13"/>
        </w:numPr>
        <w:tabs>
          <w:tab w:leader="none" w:pos="426" w:val="left"/>
          <w:tab w:leader="none" w:pos="14175" w:val="left"/>
        </w:tabs>
        <w:ind w:firstLine="0" w:left="0"/>
        <w:jc w:val="center"/>
        <w:rPr>
          <w:b w:val="1"/>
        </w:rPr>
      </w:pPr>
      <w:r>
        <w:rPr>
          <w:b w:val="1"/>
        </w:rPr>
        <w:t>Объемы финансирования</w:t>
      </w:r>
    </w:p>
    <w:p w14:paraId="30020000">
      <w:pPr>
        <w:pStyle w:val="Style_2"/>
        <w:ind w:firstLine="142"/>
        <w:rPr>
          <w:b w:val="1"/>
        </w:rPr>
      </w:pPr>
    </w:p>
    <w:p w14:paraId="31020000">
      <w:pPr>
        <w:ind w:firstLine="851" w:right="-28"/>
        <w:jc w:val="both"/>
        <w:rPr>
          <w:i w:val="1"/>
          <w:color w:val="000000"/>
          <w:sz w:val="28"/>
        </w:rPr>
      </w:pPr>
      <w:r>
        <w:rPr>
          <w:sz w:val="28"/>
        </w:rPr>
        <w:t>Финансирование для реализации П</w:t>
      </w:r>
      <w:r>
        <w:rPr>
          <w:sz w:val="28"/>
        </w:rPr>
        <w:t xml:space="preserve">рограммы </w:t>
      </w:r>
      <w:r>
        <w:rPr>
          <w:sz w:val="28"/>
        </w:rPr>
        <w:t xml:space="preserve">«Обеспечение защиты прав потребителей в Республике Саха (Якутия) на 2026 - 2030 годы» </w:t>
      </w:r>
      <w:r>
        <w:rPr>
          <w:sz w:val="28"/>
        </w:rPr>
        <w:t xml:space="preserve">– </w:t>
      </w:r>
      <w:r>
        <w:rPr>
          <w:sz w:val="28"/>
        </w:rPr>
        <w:t>не требуется.</w:t>
      </w:r>
    </w:p>
    <w:p w14:paraId="32020000">
      <w:pPr>
        <w:ind w:right="11002"/>
        <w:rPr>
          <w:i w:val="1"/>
          <w:sz w:val="28"/>
        </w:rPr>
      </w:pPr>
    </w:p>
    <w:p w14:paraId="33020000">
      <w:pPr>
        <w:ind/>
        <w:jc w:val="center"/>
        <w:rPr>
          <w:b w:val="1"/>
          <w:sz w:val="28"/>
        </w:rPr>
      </w:pPr>
      <w:r>
        <w:rPr>
          <w:b w:val="1"/>
          <w:spacing w:val="-6"/>
          <w:sz w:val="28"/>
        </w:rPr>
        <w:t>V.</w:t>
      </w:r>
      <w:r>
        <w:rPr>
          <w:b w:val="1"/>
          <w:sz w:val="28"/>
        </w:rPr>
        <w:t xml:space="preserve"> </w:t>
      </w:r>
      <w:r>
        <w:rPr>
          <w:b w:val="1"/>
          <w:sz w:val="28"/>
        </w:rPr>
        <w:t xml:space="preserve"> </w:t>
      </w:r>
      <w:r>
        <w:rPr>
          <w:b w:val="1"/>
          <w:sz w:val="28"/>
        </w:rPr>
        <w:t>Механизм реализации Региональной программы</w:t>
      </w:r>
    </w:p>
    <w:p w14:paraId="34020000">
      <w:pPr>
        <w:ind w:firstLine="851"/>
        <w:rPr>
          <w:b w:val="1"/>
          <w:sz w:val="28"/>
        </w:rPr>
      </w:pPr>
    </w:p>
    <w:p w14:paraId="35020000">
      <w:pPr>
        <w:pStyle w:val="Style_2"/>
        <w:ind w:firstLine="851"/>
        <w:jc w:val="both"/>
      </w:pPr>
      <w:r>
        <w:t xml:space="preserve">В рамках реализации Программы «Обеспечение защиты прав потребителей в Республике Саха (Якутия)» (далее – Региональная программа), участниками Программы назначаются ответственные должностные лица. Данные лица осуществляют планирование и исполнение мероприятий, а также подготовку и представление сведений в Министерство предпринимательства, торговли и туризма Республики Саха (Якутия) (далее – </w:t>
      </w:r>
      <w:r>
        <w:t>Минпред</w:t>
      </w:r>
      <w:r>
        <w:t xml:space="preserve"> РС(Я)).</w:t>
      </w:r>
    </w:p>
    <w:p w14:paraId="36020000">
      <w:pPr>
        <w:pStyle w:val="Style_2"/>
        <w:ind w:firstLine="851"/>
        <w:jc w:val="both"/>
        <w:rPr>
          <w:b w:val="1"/>
        </w:rPr>
      </w:pPr>
    </w:p>
    <w:p w14:paraId="37020000">
      <w:pPr>
        <w:pStyle w:val="Style_2"/>
        <w:ind w:firstLine="851"/>
        <w:jc w:val="both"/>
        <w:rPr>
          <w:b w:val="1"/>
        </w:rPr>
      </w:pPr>
      <w:r>
        <w:rPr>
          <w:b w:val="1"/>
        </w:rPr>
        <w:t>Министерство предпринимательства, торговли и туризма Республики Саха (Якутия) в рамках реализации Региональной програм</w:t>
      </w:r>
      <w:r>
        <w:rPr>
          <w:b w:val="1"/>
        </w:rPr>
        <w:t>мы выполняет следующие функции:</w:t>
      </w:r>
    </w:p>
    <w:p w14:paraId="38020000">
      <w:pPr>
        <w:pStyle w:val="Style_2"/>
        <w:ind w:firstLine="851"/>
        <w:jc w:val="both"/>
      </w:pPr>
      <w:r>
        <w:rPr>
          <w:b w:val="1"/>
        </w:rPr>
        <w:t xml:space="preserve">Координация и взаимодействие: </w:t>
      </w:r>
      <w:r>
        <w:t>Осуществляет комплексное взаимодействие с исполнительными органами государственной власти Республики Саха (Якутия), органами местного самоуправления муниципальных образований, территориальными органами федеральных органов власти, а также общественными организациями, направленное на успешную реализацию мероприятий Региональной программы.</w:t>
      </w:r>
    </w:p>
    <w:p w14:paraId="39020000">
      <w:pPr>
        <w:pStyle w:val="Style_2"/>
        <w:ind w:firstLine="851"/>
        <w:jc w:val="both"/>
      </w:pPr>
      <w:r>
        <w:rPr>
          <w:b w:val="1"/>
        </w:rPr>
        <w:t xml:space="preserve">Информационно-аналитическое обеспечение: </w:t>
      </w:r>
      <w:r>
        <w:t>Организует сбор, систематизацию и анализ статистической и аналитической информации, касающейся хода выполнения мероприятий Региональной программы. Обеспечивает подготовку высококачественных информационных и аналитических материалов по ключевым направлениям программы.</w:t>
      </w:r>
    </w:p>
    <w:p w14:paraId="3A020000">
      <w:pPr>
        <w:pStyle w:val="Style_2"/>
        <w:ind w:firstLine="851"/>
        <w:jc w:val="both"/>
      </w:pPr>
      <w:r>
        <w:rPr>
          <w:b w:val="1"/>
        </w:rPr>
        <w:t xml:space="preserve">Мониторинг и контроль: </w:t>
      </w:r>
      <w:r>
        <w:t>Осуществляет постоянный контроль за уровнем выполнения мероприятий исполнителями Региональной программы в течение отчетного года, своевременно выявляя и реагируя на возникающие вопросы.</w:t>
      </w:r>
    </w:p>
    <w:p w14:paraId="3B020000">
      <w:pPr>
        <w:pStyle w:val="Style_2"/>
        <w:ind w:firstLine="851"/>
        <w:jc w:val="both"/>
        <w:rPr>
          <w:b w:val="1"/>
        </w:rPr>
      </w:pPr>
      <w:r>
        <w:rPr>
          <w:b w:val="1"/>
        </w:rPr>
        <w:t xml:space="preserve">Информационная поддержка и популяризация: </w:t>
      </w:r>
      <w:r>
        <w:t>Обеспечивает широкое освещение мероприятий, направленных на повышение уровня защищенности потребителей в Республике Саха (Якутия), используя для этого потенциал средств массовой информации и информационно-телекоммуникационной сети "Интернет".</w:t>
      </w:r>
    </w:p>
    <w:p w14:paraId="3C020000">
      <w:pPr>
        <w:pStyle w:val="Style_2"/>
        <w:ind w:firstLine="851"/>
        <w:jc w:val="both"/>
      </w:pPr>
      <w:r>
        <w:rPr>
          <w:b w:val="1"/>
        </w:rPr>
        <w:t xml:space="preserve">Отчетность и оценка эффективности: </w:t>
      </w:r>
      <w:r>
        <w:t>Подготавливает всеобъемлющий отчет о реализации Региональной программы за отчетный год, включая оценку достижения целевых индикаторов, с последующей публикацией данного отчета в информационно-телекоммуникационной сети "Интернет".</w:t>
      </w:r>
    </w:p>
    <w:p w14:paraId="3D020000">
      <w:pPr>
        <w:pStyle w:val="Style_2"/>
        <w:ind w:firstLine="851"/>
        <w:jc w:val="both"/>
      </w:pPr>
      <w:r>
        <w:rPr>
          <w:b w:val="1"/>
        </w:rPr>
        <w:t xml:space="preserve">Организация совещаний и консультаций: </w:t>
      </w:r>
      <w:r>
        <w:t>По запросам исполнителей инициирует проведение заседаний координационных и совещательных (консультативных) органов Республики Саха (Якутия), определяя оптимальный состав участников для детального рассмотрения и решения поставленных задач.</w:t>
      </w:r>
    </w:p>
    <w:p w14:paraId="3E020000">
      <w:pPr>
        <w:pStyle w:val="Style_2"/>
        <w:ind w:firstLine="851"/>
        <w:jc w:val="both"/>
      </w:pPr>
      <w:r>
        <w:rPr>
          <w:b w:val="1"/>
        </w:rPr>
        <w:t xml:space="preserve">Совершенствование программы: </w:t>
      </w:r>
      <w:r>
        <w:t>При наличии объективной необходимости разрабатывает предложения о внесении изменений и дополнений в Региональную программу, включая корректировку состава участников и Перечня основных мероприятий.</w:t>
      </w:r>
    </w:p>
    <w:p w14:paraId="3F020000">
      <w:pPr>
        <w:pStyle w:val="Style_2"/>
        <w:ind w:firstLine="851"/>
        <w:rPr>
          <w:b w:val="1"/>
        </w:rPr>
      </w:pPr>
    </w:p>
    <w:p w14:paraId="40020000">
      <w:pPr>
        <w:pStyle w:val="Style_2"/>
        <w:ind w:firstLine="851"/>
        <w:jc w:val="both"/>
        <w:rPr>
          <w:b w:val="1"/>
        </w:rPr>
      </w:pPr>
      <w:r>
        <w:rPr>
          <w:b w:val="1"/>
        </w:rPr>
        <w:t>Исполнители, в рамках своей компетенции, призваны осуществлять следующие функции в процессе реализации Региональной программы:</w:t>
      </w:r>
    </w:p>
    <w:p w14:paraId="41020000">
      <w:pPr>
        <w:pStyle w:val="Style_2"/>
        <w:numPr>
          <w:ilvl w:val="0"/>
          <w:numId w:val="16"/>
        </w:numPr>
        <w:ind w:firstLine="851" w:left="0"/>
        <w:jc w:val="both"/>
      </w:pPr>
      <w:r>
        <w:t>Непосредственное выполнение основных мероприятий Программы.</w:t>
      </w:r>
    </w:p>
    <w:p w14:paraId="42020000">
      <w:pPr>
        <w:pStyle w:val="Style_2"/>
        <w:numPr>
          <w:ilvl w:val="0"/>
          <w:numId w:val="16"/>
        </w:numPr>
        <w:ind w:firstLine="851" w:left="0"/>
        <w:jc w:val="both"/>
      </w:pPr>
      <w:r>
        <w:t>Направление предложений в Министерство внешних связей и делам народов Республики Саха (Якутия) (</w:t>
      </w:r>
      <w:r>
        <w:t>Минпред</w:t>
      </w:r>
      <w:r>
        <w:t xml:space="preserve"> РС(Я)) относительно корректировки Программы, в частности, в части основных мероприятий, требующих их непосредственного участия.</w:t>
      </w:r>
    </w:p>
    <w:p w14:paraId="43020000">
      <w:pPr>
        <w:pStyle w:val="Style_2"/>
        <w:numPr>
          <w:ilvl w:val="0"/>
          <w:numId w:val="16"/>
        </w:numPr>
        <w:ind w:firstLine="851" w:left="0"/>
        <w:jc w:val="both"/>
      </w:pPr>
      <w:r>
        <w:t xml:space="preserve">Информирование </w:t>
      </w:r>
      <w:r>
        <w:t>Минпреда</w:t>
      </w:r>
      <w:r>
        <w:t xml:space="preserve"> РС(Я) об инициировании заседаний координационных и совещательных (консультативных) органов Республики Саха (Якутия) при возникновении такой необходимости.</w:t>
      </w:r>
    </w:p>
    <w:p w14:paraId="44020000">
      <w:pPr>
        <w:pStyle w:val="Style_2"/>
        <w:ind w:firstLine="851"/>
        <w:jc w:val="both"/>
      </w:pPr>
    </w:p>
    <w:p w14:paraId="45020000">
      <w:pPr>
        <w:pStyle w:val="Style_2"/>
        <w:ind w:firstLine="851"/>
        <w:jc w:val="both"/>
      </w:pPr>
      <w:r>
        <w:t xml:space="preserve">Ответственные должностные лица, являющиеся участниками Региональной программы, ежегодно, не позднее 10 февраля, представляют в </w:t>
      </w:r>
      <w:r>
        <w:t>Минпред</w:t>
      </w:r>
      <w:r>
        <w:t xml:space="preserve"> РС(Я) отчетные сведения о проведенных в предыдущем году мероприятиях и достигнутых результатах, а также перечень основных мероприятий, запл</w:t>
      </w:r>
      <w:r>
        <w:t>анированных на предстоящий год.</w:t>
      </w:r>
    </w:p>
    <w:p w14:paraId="46020000">
      <w:pPr>
        <w:pStyle w:val="Style_2"/>
        <w:ind w:firstLine="851"/>
        <w:jc w:val="both"/>
      </w:pPr>
    </w:p>
    <w:p w14:paraId="47020000">
      <w:pPr>
        <w:pStyle w:val="Style_2"/>
        <w:ind w:firstLine="851"/>
        <w:jc w:val="both"/>
      </w:pPr>
      <w:r>
        <w:t>Минпред</w:t>
      </w:r>
      <w:r>
        <w:t xml:space="preserve"> РС(Я) ежегодно, по итогам отчетного года, до 10 марта, формирует подробный отчет о динамике реализации Программы и проводит оценку ее эффективности. Данный отчет впоследствии публикуется на официальном интернет-сайте Министерства.</w:t>
      </w:r>
    </w:p>
    <w:p w14:paraId="48020000">
      <w:pPr>
        <w:pStyle w:val="Style_2"/>
        <w:ind w:firstLine="851"/>
        <w:jc w:val="both"/>
      </w:pPr>
    </w:p>
    <w:p w14:paraId="49020000">
      <w:pPr>
        <w:pStyle w:val="Style_2"/>
        <w:ind w:firstLine="851"/>
        <w:jc w:val="both"/>
      </w:pPr>
      <w:r>
        <w:t>В случае, если оценка эффективности реализации Программы окажется неудовлетворительной (уровень эффективности признан как "удовлетворительный") или низким ("неэффективный"), осуществляется соответствующая корректировка и доработка Программы для повышения ее результативности.</w:t>
      </w:r>
    </w:p>
    <w:p w14:paraId="4A020000">
      <w:pPr>
        <w:pStyle w:val="Style_3"/>
        <w:ind w:hanging="1628" w:left="7588" w:right="3533"/>
      </w:pPr>
    </w:p>
    <w:p w14:paraId="4B020000">
      <w:pPr>
        <w:pStyle w:val="Style_3"/>
        <w:ind w:hanging="1628" w:left="7588" w:right="3533"/>
      </w:pPr>
      <w:r>
        <w:t>Ц</w:t>
      </w:r>
      <w:r>
        <w:t>елевые</w:t>
      </w:r>
      <w:r>
        <w:rPr>
          <w:spacing w:val="-9"/>
        </w:rPr>
        <w:t xml:space="preserve"> </w:t>
      </w:r>
      <w:r>
        <w:t xml:space="preserve">индикаторы </w:t>
      </w:r>
      <w:r>
        <w:rPr>
          <w:spacing w:val="-2"/>
        </w:rPr>
        <w:t>программы</w:t>
      </w:r>
    </w:p>
    <w:p w14:paraId="4C020000">
      <w:pPr>
        <w:pStyle w:val="Style_2"/>
        <w:rPr>
          <w:b w:val="1"/>
          <w:sz w:val="20"/>
        </w:rPr>
      </w:pPr>
    </w:p>
    <w:p w14:paraId="4D020000">
      <w:pPr>
        <w:pStyle w:val="Style_2"/>
        <w:rPr>
          <w:b w:val="1"/>
          <w:sz w:val="20"/>
        </w:rPr>
      </w:pPr>
    </w:p>
    <w:p w14:paraId="4E020000">
      <w:pPr>
        <w:pStyle w:val="Style_2"/>
        <w:rPr>
          <w:b w:val="1"/>
          <w:sz w:val="2"/>
        </w:rPr>
      </w:pPr>
    </w:p>
    <w:tbl>
      <w:tblPr>
        <w:tblStyle w:val="Style_9"/>
        <w:tblW w:type="auto" w:w="0"/>
        <w:jc w:val="center"/>
        <w:tblBorders>
          <w:top w:color="000000" w:sz="4" w:val="single"/>
          <w:left w:color="000000" w:sz="4" w:val="single"/>
          <w:bottom w:color="000000" w:sz="4" w:val="single"/>
          <w:right w:color="000000" w:sz="4" w:val="single"/>
        </w:tblBorders>
        <w:tblLayout w:type="fixed"/>
      </w:tblPr>
      <w:tblGrid>
        <w:gridCol w:w="801"/>
        <w:gridCol w:w="7558"/>
        <w:gridCol w:w="818"/>
        <w:gridCol w:w="993"/>
        <w:gridCol w:w="980"/>
        <w:gridCol w:w="10"/>
        <w:gridCol w:w="1179"/>
        <w:gridCol w:w="1189"/>
        <w:gridCol w:w="1189"/>
      </w:tblGrid>
      <w:tr>
        <w:tc>
          <w:tcPr>
            <w:tcW w:type="dxa" w:w="8359"/>
            <w:gridSpan w:val="2"/>
            <w:tcBorders>
              <w:top w:color="000000" w:sz="4" w:val="single"/>
              <w:left w:color="000000" w:sz="4" w:val="single"/>
              <w:bottom w:color="000000" w:sz="4" w:val="single"/>
              <w:right w:color="000000" w:sz="4" w:val="single"/>
            </w:tcBorders>
          </w:tcPr>
          <w:p w14:paraId="4F020000">
            <w:pPr>
              <w:ind w:firstLine="567" w:right="-25"/>
              <w:jc w:val="center"/>
              <w:rPr>
                <w:sz w:val="28"/>
              </w:rPr>
            </w:pPr>
            <w:r>
              <w:rPr>
                <w:sz w:val="28"/>
              </w:rPr>
              <w:t xml:space="preserve">   </w:t>
            </w:r>
          </w:p>
        </w:tc>
        <w:tc>
          <w:tcPr>
            <w:tcW w:type="dxa" w:w="818"/>
            <w:tcBorders>
              <w:top w:color="000000" w:sz="4" w:val="single"/>
              <w:left w:color="000000" w:sz="4" w:val="single"/>
              <w:bottom w:color="000000" w:sz="4" w:val="single"/>
              <w:right w:color="000000" w:sz="4" w:val="single"/>
            </w:tcBorders>
            <w:vAlign w:val="center"/>
          </w:tcPr>
          <w:p w14:paraId="50020000">
            <w:pPr>
              <w:ind/>
              <w:jc w:val="center"/>
              <w:rPr>
                <w:sz w:val="28"/>
              </w:rPr>
            </w:pPr>
            <w:r>
              <w:rPr>
                <w:sz w:val="28"/>
              </w:rPr>
              <w:t>Ед. изм.</w:t>
            </w:r>
          </w:p>
        </w:tc>
        <w:tc>
          <w:tcPr>
            <w:tcW w:type="dxa" w:w="993"/>
            <w:tcBorders>
              <w:top w:color="000000" w:sz="4" w:val="single"/>
              <w:left w:color="000000" w:sz="4" w:val="single"/>
              <w:bottom w:color="000000" w:sz="4" w:val="single"/>
              <w:right w:color="000000" w:sz="4" w:val="single"/>
            </w:tcBorders>
            <w:vAlign w:val="center"/>
          </w:tcPr>
          <w:p w14:paraId="51020000">
            <w:pPr>
              <w:ind/>
              <w:jc w:val="center"/>
              <w:rPr>
                <w:sz w:val="28"/>
              </w:rPr>
            </w:pPr>
            <w:r>
              <w:rPr>
                <w:sz w:val="28"/>
              </w:rPr>
              <w:t>2026 год</w:t>
            </w:r>
          </w:p>
        </w:tc>
        <w:tc>
          <w:tcPr>
            <w:tcW w:type="dxa" w:w="980"/>
            <w:tcBorders>
              <w:top w:color="000000" w:sz="4" w:val="single"/>
              <w:left w:color="000000" w:sz="4" w:val="single"/>
              <w:bottom w:color="000000" w:sz="4" w:val="single"/>
              <w:right w:color="000000" w:sz="4" w:val="single"/>
            </w:tcBorders>
            <w:vAlign w:val="center"/>
          </w:tcPr>
          <w:p w14:paraId="52020000">
            <w:pPr>
              <w:ind/>
              <w:jc w:val="center"/>
              <w:rPr>
                <w:sz w:val="28"/>
              </w:rPr>
            </w:pPr>
            <w:r>
              <w:rPr>
                <w:sz w:val="28"/>
              </w:rPr>
              <w:t>2027</w:t>
            </w:r>
          </w:p>
          <w:p w14:paraId="53020000">
            <w:pPr>
              <w:ind/>
              <w:jc w:val="center"/>
              <w:rPr>
                <w:sz w:val="28"/>
              </w:rPr>
            </w:pPr>
            <w:r>
              <w:rPr>
                <w:sz w:val="28"/>
              </w:rPr>
              <w:t>год</w:t>
            </w:r>
          </w:p>
        </w:tc>
        <w:tc>
          <w:tcPr>
            <w:tcW w:type="dxa" w:w="1189"/>
            <w:gridSpan w:val="2"/>
            <w:tcBorders>
              <w:top w:color="000000" w:sz="4" w:val="single"/>
              <w:left w:color="000000" w:sz="4" w:val="single"/>
              <w:bottom w:color="000000" w:sz="4" w:val="single"/>
              <w:right w:color="000000" w:sz="4" w:val="single"/>
            </w:tcBorders>
            <w:vAlign w:val="center"/>
          </w:tcPr>
          <w:p w14:paraId="54020000">
            <w:pPr>
              <w:ind/>
              <w:jc w:val="center"/>
              <w:rPr>
                <w:sz w:val="28"/>
              </w:rPr>
            </w:pPr>
            <w:r>
              <w:rPr>
                <w:sz w:val="28"/>
              </w:rPr>
              <w:t>2028 год</w:t>
            </w:r>
          </w:p>
        </w:tc>
        <w:tc>
          <w:tcPr>
            <w:tcW w:type="dxa" w:w="1189"/>
            <w:tcBorders>
              <w:top w:color="000000" w:sz="4" w:val="single"/>
              <w:left w:color="000000" w:sz="4" w:val="single"/>
              <w:bottom w:color="000000" w:sz="4" w:val="single"/>
              <w:right w:color="000000" w:sz="4" w:val="single"/>
            </w:tcBorders>
            <w:vAlign w:val="center"/>
          </w:tcPr>
          <w:p w14:paraId="55020000">
            <w:pPr>
              <w:ind/>
              <w:jc w:val="center"/>
              <w:rPr>
                <w:sz w:val="28"/>
              </w:rPr>
            </w:pPr>
            <w:r>
              <w:rPr>
                <w:sz w:val="28"/>
              </w:rPr>
              <w:t>2029 год</w:t>
            </w:r>
          </w:p>
        </w:tc>
        <w:tc>
          <w:tcPr>
            <w:tcW w:type="dxa" w:w="1189"/>
            <w:tcBorders>
              <w:top w:color="000000" w:sz="4" w:val="single"/>
              <w:left w:color="000000" w:sz="4" w:val="single"/>
              <w:bottom w:color="000000" w:sz="4" w:val="single"/>
              <w:right w:color="000000" w:sz="4" w:val="single"/>
            </w:tcBorders>
            <w:vAlign w:val="center"/>
          </w:tcPr>
          <w:p w14:paraId="56020000">
            <w:pPr>
              <w:ind/>
              <w:jc w:val="center"/>
              <w:rPr>
                <w:sz w:val="28"/>
              </w:rPr>
            </w:pPr>
            <w:r>
              <w:rPr>
                <w:sz w:val="28"/>
              </w:rPr>
              <w:t>2030 год</w:t>
            </w:r>
          </w:p>
        </w:tc>
      </w:tr>
      <w:tr>
        <w:tc>
          <w:tcPr>
            <w:tcW w:type="dxa" w:w="801"/>
            <w:tcBorders>
              <w:top w:color="000000" w:sz="4" w:val="single"/>
              <w:left w:color="000000" w:sz="4" w:val="single"/>
              <w:bottom w:color="000000" w:sz="4" w:val="single"/>
              <w:right w:color="000000" w:sz="4" w:val="single"/>
            </w:tcBorders>
          </w:tcPr>
          <w:p w14:paraId="57020000">
            <w:pPr>
              <w:ind/>
              <w:jc w:val="center"/>
              <w:rPr>
                <w:sz w:val="28"/>
              </w:rPr>
            </w:pPr>
            <w:r>
              <w:rPr>
                <w:sz w:val="28"/>
              </w:rPr>
              <w:t>1.</w:t>
            </w:r>
          </w:p>
        </w:tc>
        <w:tc>
          <w:tcPr>
            <w:tcW w:type="dxa" w:w="7558"/>
            <w:tcBorders>
              <w:top w:color="000000" w:sz="4" w:val="single"/>
              <w:left w:sz="4" w:val="nil"/>
              <w:bottom w:color="000000" w:sz="4" w:val="single"/>
              <w:right w:color="000000" w:sz="4" w:val="single"/>
            </w:tcBorders>
          </w:tcPr>
          <w:p w14:paraId="58020000">
            <w:pPr>
              <w:ind/>
              <w:jc w:val="both"/>
              <w:rPr>
                <w:sz w:val="28"/>
              </w:rPr>
            </w:pPr>
            <w:r>
              <w:rPr>
                <w:sz w:val="28"/>
              </w:rPr>
              <w:t>Количество размещенных информационных материалов в области защиты прав потребителей на официальных сайтах органов местного самоуправления и подведомственных им организациям</w:t>
            </w:r>
          </w:p>
        </w:tc>
        <w:tc>
          <w:tcPr>
            <w:tcW w:type="dxa" w:w="818"/>
            <w:tcBorders>
              <w:top w:color="000000" w:sz="4" w:val="single"/>
              <w:left w:color="000000" w:sz="4" w:val="single"/>
              <w:bottom w:color="000000" w:sz="4" w:val="single"/>
              <w:right w:color="000000" w:sz="4" w:val="single"/>
            </w:tcBorders>
            <w:vAlign w:val="center"/>
          </w:tcPr>
          <w:p w14:paraId="59020000">
            <w:pPr>
              <w:ind/>
              <w:jc w:val="both"/>
              <w:rPr>
                <w:sz w:val="28"/>
              </w:rPr>
            </w:pPr>
            <w:r>
              <w:rPr>
                <w:sz w:val="28"/>
              </w:rPr>
              <w:t xml:space="preserve"> ед.</w:t>
            </w:r>
          </w:p>
        </w:tc>
        <w:tc>
          <w:tcPr>
            <w:tcW w:type="dxa" w:w="993"/>
            <w:tcBorders>
              <w:top w:color="000000" w:sz="4" w:val="single"/>
              <w:left w:color="000000" w:sz="4" w:val="single"/>
              <w:bottom w:color="000000" w:sz="4" w:val="single"/>
              <w:right w:color="000000" w:sz="4" w:val="single"/>
            </w:tcBorders>
            <w:vAlign w:val="center"/>
          </w:tcPr>
          <w:p w14:paraId="5A020000">
            <w:pPr>
              <w:ind/>
              <w:jc w:val="center"/>
              <w:rPr>
                <w:sz w:val="28"/>
              </w:rPr>
            </w:pPr>
            <w:r>
              <w:rPr>
                <w:sz w:val="28"/>
              </w:rPr>
              <w:t>72</w:t>
            </w:r>
          </w:p>
        </w:tc>
        <w:tc>
          <w:tcPr>
            <w:tcW w:type="dxa" w:w="990"/>
            <w:gridSpan w:val="2"/>
            <w:tcBorders>
              <w:top w:color="000000" w:sz="4" w:val="single"/>
              <w:left w:color="000000" w:sz="4" w:val="single"/>
              <w:bottom w:color="000000" w:sz="4" w:val="single"/>
              <w:right w:color="000000" w:sz="4" w:val="single"/>
            </w:tcBorders>
            <w:vAlign w:val="center"/>
          </w:tcPr>
          <w:p w14:paraId="5B020000">
            <w:pPr>
              <w:ind/>
              <w:jc w:val="center"/>
              <w:rPr>
                <w:sz w:val="28"/>
              </w:rPr>
            </w:pPr>
            <w:r>
              <w:rPr>
                <w:sz w:val="28"/>
              </w:rPr>
              <w:t>74</w:t>
            </w:r>
          </w:p>
        </w:tc>
        <w:tc>
          <w:tcPr>
            <w:tcW w:type="dxa" w:w="1179"/>
            <w:tcBorders>
              <w:top w:color="000000" w:sz="4" w:val="single"/>
              <w:left w:color="000000" w:sz="4" w:val="single"/>
              <w:bottom w:color="000000" w:sz="4" w:val="single"/>
              <w:right w:color="000000" w:sz="4" w:val="single"/>
            </w:tcBorders>
            <w:vAlign w:val="center"/>
          </w:tcPr>
          <w:p w14:paraId="5C020000">
            <w:pPr>
              <w:ind/>
              <w:jc w:val="center"/>
              <w:rPr>
                <w:sz w:val="28"/>
              </w:rPr>
            </w:pPr>
            <w:r>
              <w:rPr>
                <w:sz w:val="28"/>
              </w:rPr>
              <w:t>76</w:t>
            </w:r>
          </w:p>
        </w:tc>
        <w:tc>
          <w:tcPr>
            <w:tcW w:type="dxa" w:w="1189"/>
            <w:tcBorders>
              <w:top w:color="000000" w:sz="4" w:val="single"/>
              <w:left w:color="000000" w:sz="4" w:val="single"/>
              <w:bottom w:color="000000" w:sz="4" w:val="single"/>
              <w:right w:color="000000" w:sz="4" w:val="single"/>
            </w:tcBorders>
            <w:vAlign w:val="center"/>
          </w:tcPr>
          <w:p w14:paraId="5D020000">
            <w:pPr>
              <w:ind/>
              <w:jc w:val="center"/>
              <w:rPr>
                <w:sz w:val="28"/>
              </w:rPr>
            </w:pPr>
            <w:r>
              <w:rPr>
                <w:sz w:val="28"/>
              </w:rPr>
              <w:t>78</w:t>
            </w:r>
          </w:p>
        </w:tc>
        <w:tc>
          <w:tcPr>
            <w:tcW w:type="dxa" w:w="1189"/>
            <w:tcBorders>
              <w:top w:color="000000" w:sz="4" w:val="single"/>
              <w:left w:color="000000" w:sz="4" w:val="single"/>
              <w:bottom w:color="000000" w:sz="4" w:val="single"/>
              <w:right w:color="000000" w:sz="4" w:val="single"/>
            </w:tcBorders>
            <w:vAlign w:val="center"/>
          </w:tcPr>
          <w:p w14:paraId="5E020000">
            <w:pPr>
              <w:ind/>
              <w:jc w:val="center"/>
              <w:rPr>
                <w:sz w:val="28"/>
              </w:rPr>
            </w:pPr>
            <w:r>
              <w:rPr>
                <w:sz w:val="28"/>
              </w:rPr>
              <w:t>80</w:t>
            </w:r>
          </w:p>
        </w:tc>
      </w:tr>
      <w:tr>
        <w:tc>
          <w:tcPr>
            <w:tcW w:type="dxa" w:w="801"/>
            <w:tcBorders>
              <w:top w:color="000000" w:sz="4" w:val="single"/>
              <w:left w:color="000000" w:sz="4" w:val="single"/>
              <w:bottom w:color="000000" w:sz="4" w:val="single"/>
              <w:right w:color="000000" w:sz="4" w:val="single"/>
            </w:tcBorders>
          </w:tcPr>
          <w:p w14:paraId="5F020000">
            <w:pPr>
              <w:ind/>
              <w:jc w:val="center"/>
              <w:rPr>
                <w:sz w:val="28"/>
              </w:rPr>
            </w:pPr>
            <w:r>
              <w:rPr>
                <w:sz w:val="28"/>
              </w:rPr>
              <w:t>2</w:t>
            </w:r>
          </w:p>
        </w:tc>
        <w:tc>
          <w:tcPr>
            <w:tcW w:type="dxa" w:w="7558"/>
            <w:tcBorders>
              <w:top w:color="000000" w:sz="4" w:val="single"/>
              <w:left w:sz="4" w:val="nil"/>
              <w:bottom w:color="000000" w:sz="4" w:val="single"/>
              <w:right w:color="000000" w:sz="4" w:val="single"/>
            </w:tcBorders>
          </w:tcPr>
          <w:p w14:paraId="60020000">
            <w:pPr>
              <w:ind/>
              <w:jc w:val="both"/>
              <w:rPr>
                <w:sz w:val="28"/>
              </w:rPr>
            </w:pPr>
            <w:r>
              <w:rPr>
                <w:sz w:val="28"/>
              </w:rPr>
              <w:t>Снижение количества отклонений при обороте товаров, подлежащих обязательной маркировке средствами идентификации</w:t>
            </w:r>
          </w:p>
        </w:tc>
        <w:tc>
          <w:tcPr>
            <w:tcW w:type="dxa" w:w="818"/>
            <w:tcBorders>
              <w:top w:color="000000" w:sz="4" w:val="single"/>
              <w:left w:color="000000" w:sz="4" w:val="single"/>
              <w:bottom w:color="000000" w:sz="4" w:val="single"/>
              <w:right w:color="000000" w:sz="4" w:val="single"/>
            </w:tcBorders>
            <w:vAlign w:val="center"/>
          </w:tcPr>
          <w:p w14:paraId="61020000">
            <w:pPr>
              <w:ind/>
              <w:jc w:val="center"/>
              <w:rPr>
                <w:sz w:val="28"/>
              </w:rPr>
            </w:pPr>
            <w:r>
              <w:rPr>
                <w:sz w:val="28"/>
              </w:rPr>
              <w:t>%</w:t>
            </w:r>
          </w:p>
        </w:tc>
        <w:tc>
          <w:tcPr>
            <w:tcW w:type="dxa" w:w="993"/>
            <w:tcBorders>
              <w:top w:color="000000" w:sz="4" w:val="single"/>
              <w:left w:color="000000" w:sz="4" w:val="single"/>
              <w:bottom w:color="000000" w:sz="4" w:val="single"/>
              <w:right w:color="000000" w:sz="4" w:val="single"/>
            </w:tcBorders>
            <w:vAlign w:val="center"/>
          </w:tcPr>
          <w:p w14:paraId="62020000">
            <w:pPr>
              <w:ind/>
              <w:jc w:val="center"/>
              <w:rPr>
                <w:sz w:val="28"/>
              </w:rPr>
            </w:pPr>
            <w:r>
              <w:rPr>
                <w:sz w:val="28"/>
              </w:rPr>
              <w:t>7</w:t>
            </w:r>
          </w:p>
        </w:tc>
        <w:tc>
          <w:tcPr>
            <w:tcW w:type="dxa" w:w="990"/>
            <w:gridSpan w:val="2"/>
            <w:tcBorders>
              <w:top w:color="000000" w:sz="4" w:val="single"/>
              <w:left w:color="000000" w:sz="4" w:val="single"/>
              <w:bottom w:color="000000" w:sz="4" w:val="single"/>
              <w:right w:color="000000" w:sz="4" w:val="single"/>
            </w:tcBorders>
            <w:vAlign w:val="center"/>
          </w:tcPr>
          <w:p w14:paraId="63020000">
            <w:pPr>
              <w:ind/>
              <w:jc w:val="center"/>
              <w:rPr>
                <w:sz w:val="28"/>
              </w:rPr>
            </w:pPr>
            <w:r>
              <w:rPr>
                <w:sz w:val="28"/>
              </w:rPr>
              <w:t>7</w:t>
            </w:r>
          </w:p>
        </w:tc>
        <w:tc>
          <w:tcPr>
            <w:tcW w:type="dxa" w:w="1179"/>
            <w:tcBorders>
              <w:top w:color="000000" w:sz="4" w:val="single"/>
              <w:left w:color="000000" w:sz="4" w:val="single"/>
              <w:bottom w:color="000000" w:sz="4" w:val="single"/>
              <w:right w:color="000000" w:sz="4" w:val="single"/>
            </w:tcBorders>
            <w:vAlign w:val="center"/>
          </w:tcPr>
          <w:p w14:paraId="64020000">
            <w:pPr>
              <w:ind/>
              <w:jc w:val="center"/>
              <w:rPr>
                <w:sz w:val="28"/>
              </w:rPr>
            </w:pPr>
            <w:r>
              <w:rPr>
                <w:sz w:val="28"/>
              </w:rPr>
              <w:t>7</w:t>
            </w:r>
          </w:p>
        </w:tc>
        <w:tc>
          <w:tcPr>
            <w:tcW w:type="dxa" w:w="1189"/>
            <w:tcBorders>
              <w:top w:color="000000" w:sz="4" w:val="single"/>
              <w:left w:color="000000" w:sz="4" w:val="single"/>
              <w:bottom w:color="000000" w:sz="4" w:val="single"/>
              <w:right w:color="000000" w:sz="4" w:val="single"/>
            </w:tcBorders>
            <w:vAlign w:val="center"/>
          </w:tcPr>
          <w:p w14:paraId="65020000">
            <w:pPr>
              <w:ind/>
              <w:jc w:val="center"/>
              <w:rPr>
                <w:sz w:val="28"/>
              </w:rPr>
            </w:pPr>
            <w:r>
              <w:rPr>
                <w:sz w:val="28"/>
              </w:rPr>
              <w:t>7</w:t>
            </w:r>
          </w:p>
        </w:tc>
        <w:tc>
          <w:tcPr>
            <w:tcW w:type="dxa" w:w="1189"/>
            <w:tcBorders>
              <w:top w:color="000000" w:sz="4" w:val="single"/>
              <w:left w:color="000000" w:sz="4" w:val="single"/>
              <w:bottom w:color="000000" w:sz="4" w:val="single"/>
              <w:right w:color="000000" w:sz="4" w:val="single"/>
            </w:tcBorders>
            <w:vAlign w:val="center"/>
          </w:tcPr>
          <w:p w14:paraId="66020000">
            <w:pPr>
              <w:ind/>
              <w:jc w:val="center"/>
              <w:rPr>
                <w:sz w:val="28"/>
              </w:rPr>
            </w:pPr>
            <w:r>
              <w:rPr>
                <w:sz w:val="28"/>
              </w:rPr>
              <w:t>7</w:t>
            </w:r>
          </w:p>
        </w:tc>
      </w:tr>
      <w:tr>
        <w:tc>
          <w:tcPr>
            <w:tcW w:type="dxa" w:w="801"/>
            <w:tcBorders>
              <w:top w:color="000000" w:sz="4" w:val="single"/>
              <w:left w:color="000000" w:sz="4" w:val="single"/>
              <w:bottom w:color="000000" w:sz="4" w:val="single"/>
              <w:right w:color="000000" w:sz="4" w:val="single"/>
            </w:tcBorders>
          </w:tcPr>
          <w:p w14:paraId="67020000">
            <w:pPr>
              <w:ind/>
              <w:jc w:val="center"/>
              <w:rPr>
                <w:sz w:val="28"/>
              </w:rPr>
            </w:pPr>
            <w:r>
              <w:rPr>
                <w:sz w:val="28"/>
              </w:rPr>
              <w:t>3</w:t>
            </w:r>
          </w:p>
        </w:tc>
        <w:tc>
          <w:tcPr>
            <w:tcW w:type="dxa" w:w="7558"/>
            <w:tcBorders>
              <w:top w:color="000000" w:sz="4" w:val="single"/>
              <w:left w:sz="4" w:val="nil"/>
              <w:bottom w:color="000000" w:sz="4" w:val="single"/>
              <w:right w:color="000000" w:sz="4" w:val="single"/>
            </w:tcBorders>
          </w:tcPr>
          <w:p w14:paraId="68020000">
            <w:pPr>
              <w:ind/>
              <w:jc w:val="both"/>
              <w:rPr>
                <w:sz w:val="28"/>
              </w:rPr>
            </w:pPr>
            <w:r>
              <w:rPr>
                <w:sz w:val="28"/>
              </w:rPr>
              <w:t>Количество граждан (потребителей) и представителей предпринимательского сообщества, принявших участие в мероприятиях, направленных на правовое просвещение в сфере защиты прав потребителей</w:t>
            </w:r>
          </w:p>
        </w:tc>
        <w:tc>
          <w:tcPr>
            <w:tcW w:type="dxa" w:w="818"/>
            <w:tcBorders>
              <w:top w:color="000000" w:sz="4" w:val="single"/>
              <w:left w:color="000000" w:sz="4" w:val="single"/>
              <w:bottom w:color="000000" w:sz="4" w:val="single"/>
              <w:right w:color="000000" w:sz="4" w:val="single"/>
            </w:tcBorders>
            <w:vAlign w:val="center"/>
          </w:tcPr>
          <w:p w14:paraId="69020000">
            <w:pPr>
              <w:ind/>
              <w:jc w:val="center"/>
              <w:rPr>
                <w:sz w:val="28"/>
              </w:rPr>
            </w:pPr>
            <w:r>
              <w:rPr>
                <w:sz w:val="28"/>
              </w:rPr>
              <w:t>ед.</w:t>
            </w:r>
          </w:p>
        </w:tc>
        <w:tc>
          <w:tcPr>
            <w:tcW w:type="dxa" w:w="993"/>
            <w:tcBorders>
              <w:top w:color="000000" w:sz="4" w:val="single"/>
              <w:left w:color="000000" w:sz="4" w:val="single"/>
              <w:bottom w:color="000000" w:sz="4" w:val="single"/>
              <w:right w:color="000000" w:sz="4" w:val="single"/>
            </w:tcBorders>
            <w:vAlign w:val="center"/>
          </w:tcPr>
          <w:p w14:paraId="6A020000">
            <w:pPr>
              <w:ind/>
              <w:jc w:val="center"/>
              <w:rPr>
                <w:sz w:val="28"/>
              </w:rPr>
            </w:pPr>
            <w:r>
              <w:rPr>
                <w:sz w:val="28"/>
              </w:rPr>
              <w:t>2000</w:t>
            </w:r>
          </w:p>
        </w:tc>
        <w:tc>
          <w:tcPr>
            <w:tcW w:type="dxa" w:w="990"/>
            <w:gridSpan w:val="2"/>
            <w:tcBorders>
              <w:top w:color="000000" w:sz="4" w:val="single"/>
              <w:left w:color="000000" w:sz="4" w:val="single"/>
              <w:bottom w:color="000000" w:sz="4" w:val="single"/>
              <w:right w:color="000000" w:sz="4" w:val="single"/>
            </w:tcBorders>
            <w:vAlign w:val="center"/>
          </w:tcPr>
          <w:p w14:paraId="6B020000">
            <w:pPr>
              <w:ind/>
              <w:jc w:val="center"/>
              <w:rPr>
                <w:sz w:val="28"/>
              </w:rPr>
            </w:pPr>
            <w:r>
              <w:rPr>
                <w:sz w:val="28"/>
              </w:rPr>
              <w:t>2200</w:t>
            </w:r>
          </w:p>
        </w:tc>
        <w:tc>
          <w:tcPr>
            <w:tcW w:type="dxa" w:w="1179"/>
            <w:tcBorders>
              <w:top w:color="000000" w:sz="4" w:val="single"/>
              <w:left w:color="000000" w:sz="4" w:val="single"/>
              <w:bottom w:color="000000" w:sz="4" w:val="single"/>
              <w:right w:color="000000" w:sz="4" w:val="single"/>
            </w:tcBorders>
            <w:vAlign w:val="center"/>
          </w:tcPr>
          <w:p w14:paraId="6C020000">
            <w:pPr>
              <w:ind/>
              <w:jc w:val="center"/>
              <w:rPr>
                <w:sz w:val="28"/>
              </w:rPr>
            </w:pPr>
            <w:r>
              <w:rPr>
                <w:sz w:val="28"/>
              </w:rPr>
              <w:t>2400</w:t>
            </w:r>
          </w:p>
        </w:tc>
        <w:tc>
          <w:tcPr>
            <w:tcW w:type="dxa" w:w="1189"/>
            <w:tcBorders>
              <w:top w:color="000000" w:sz="4" w:val="single"/>
              <w:left w:color="000000" w:sz="4" w:val="single"/>
              <w:bottom w:color="000000" w:sz="4" w:val="single"/>
              <w:right w:color="000000" w:sz="4" w:val="single"/>
            </w:tcBorders>
            <w:vAlign w:val="center"/>
          </w:tcPr>
          <w:p w14:paraId="6D020000">
            <w:pPr>
              <w:ind/>
              <w:jc w:val="center"/>
              <w:rPr>
                <w:sz w:val="28"/>
              </w:rPr>
            </w:pPr>
            <w:r>
              <w:rPr>
                <w:sz w:val="28"/>
              </w:rPr>
              <w:t>2600</w:t>
            </w:r>
          </w:p>
        </w:tc>
        <w:tc>
          <w:tcPr>
            <w:tcW w:type="dxa" w:w="1189"/>
            <w:tcBorders>
              <w:top w:color="000000" w:sz="4" w:val="single"/>
              <w:left w:color="000000" w:sz="4" w:val="single"/>
              <w:bottom w:color="000000" w:sz="4" w:val="single"/>
              <w:right w:color="000000" w:sz="4" w:val="single"/>
            </w:tcBorders>
            <w:vAlign w:val="center"/>
          </w:tcPr>
          <w:p w14:paraId="6E020000">
            <w:pPr>
              <w:ind/>
              <w:jc w:val="center"/>
              <w:rPr>
                <w:sz w:val="28"/>
              </w:rPr>
            </w:pPr>
            <w:r>
              <w:rPr>
                <w:sz w:val="28"/>
              </w:rPr>
              <w:t>2800</w:t>
            </w:r>
          </w:p>
        </w:tc>
      </w:tr>
      <w:tr>
        <w:tc>
          <w:tcPr>
            <w:tcW w:type="dxa" w:w="801"/>
            <w:tcBorders>
              <w:top w:color="000000" w:sz="4" w:val="single"/>
              <w:left w:color="000000" w:sz="4" w:val="single"/>
              <w:bottom w:color="000000" w:sz="4" w:val="single"/>
              <w:right w:color="000000" w:sz="4" w:val="single"/>
            </w:tcBorders>
          </w:tcPr>
          <w:p w14:paraId="6F020000">
            <w:pPr>
              <w:ind/>
              <w:jc w:val="center"/>
              <w:rPr>
                <w:sz w:val="28"/>
              </w:rPr>
            </w:pPr>
            <w:r>
              <w:rPr>
                <w:sz w:val="28"/>
              </w:rPr>
              <w:t>4</w:t>
            </w:r>
          </w:p>
        </w:tc>
        <w:tc>
          <w:tcPr>
            <w:tcW w:type="dxa" w:w="7558"/>
            <w:tcBorders>
              <w:top w:color="000000" w:sz="4" w:val="single"/>
              <w:left w:sz="4" w:val="nil"/>
              <w:bottom w:color="000000" w:sz="4" w:val="single"/>
              <w:right w:color="000000" w:sz="4" w:val="single"/>
            </w:tcBorders>
          </w:tcPr>
          <w:p w14:paraId="70020000">
            <w:pPr>
              <w:ind/>
              <w:jc w:val="both"/>
              <w:rPr>
                <w:sz w:val="28"/>
              </w:rPr>
            </w:pPr>
            <w:r>
              <w:rPr>
                <w:sz w:val="28"/>
              </w:rPr>
              <w:t xml:space="preserve">Доля удовлетворённых исков в общем количестве исков, поданных государственным органом, уполномоченным на защиту прав потребителей, в защиту неопределённого круга потребителей и (или) коллективных исков </w:t>
            </w:r>
          </w:p>
        </w:tc>
        <w:tc>
          <w:tcPr>
            <w:tcW w:type="dxa" w:w="818"/>
            <w:tcBorders>
              <w:top w:color="000000" w:sz="4" w:val="single"/>
              <w:left w:color="000000" w:sz="4" w:val="single"/>
              <w:bottom w:color="000000" w:sz="4" w:val="single"/>
              <w:right w:color="000000" w:sz="4" w:val="single"/>
            </w:tcBorders>
            <w:vAlign w:val="center"/>
          </w:tcPr>
          <w:p w14:paraId="71020000">
            <w:pPr>
              <w:ind/>
              <w:jc w:val="center"/>
              <w:rPr>
                <w:sz w:val="28"/>
              </w:rPr>
            </w:pPr>
            <w:r>
              <w:rPr>
                <w:sz w:val="28"/>
              </w:rPr>
              <w:t>%</w:t>
            </w:r>
          </w:p>
        </w:tc>
        <w:tc>
          <w:tcPr>
            <w:tcW w:type="dxa" w:w="993"/>
            <w:tcBorders>
              <w:top w:color="000000" w:sz="4" w:val="single"/>
              <w:left w:color="000000" w:sz="4" w:val="single"/>
              <w:bottom w:color="000000" w:sz="4" w:val="single"/>
              <w:right w:color="000000" w:sz="4" w:val="single"/>
            </w:tcBorders>
            <w:vAlign w:val="center"/>
          </w:tcPr>
          <w:p w14:paraId="72020000">
            <w:pPr>
              <w:ind/>
              <w:jc w:val="center"/>
              <w:rPr>
                <w:sz w:val="28"/>
              </w:rPr>
            </w:pPr>
            <w:r>
              <w:rPr>
                <w:sz w:val="28"/>
              </w:rPr>
              <w:t>95</w:t>
            </w:r>
          </w:p>
        </w:tc>
        <w:tc>
          <w:tcPr>
            <w:tcW w:type="dxa" w:w="990"/>
            <w:gridSpan w:val="2"/>
            <w:tcBorders>
              <w:top w:color="000000" w:sz="4" w:val="single"/>
              <w:left w:color="000000" w:sz="4" w:val="single"/>
              <w:bottom w:color="000000" w:sz="4" w:val="single"/>
              <w:right w:color="000000" w:sz="4" w:val="single"/>
            </w:tcBorders>
            <w:vAlign w:val="center"/>
          </w:tcPr>
          <w:p w14:paraId="73020000">
            <w:pPr>
              <w:ind/>
              <w:jc w:val="center"/>
              <w:rPr>
                <w:sz w:val="28"/>
              </w:rPr>
            </w:pPr>
            <w:r>
              <w:rPr>
                <w:sz w:val="28"/>
              </w:rPr>
              <w:t>95</w:t>
            </w:r>
          </w:p>
        </w:tc>
        <w:tc>
          <w:tcPr>
            <w:tcW w:type="dxa" w:w="1179"/>
            <w:tcBorders>
              <w:top w:color="000000" w:sz="4" w:val="single"/>
              <w:left w:color="000000" w:sz="4" w:val="single"/>
              <w:bottom w:color="000000" w:sz="4" w:val="single"/>
              <w:right w:color="000000" w:sz="4" w:val="single"/>
            </w:tcBorders>
            <w:vAlign w:val="center"/>
          </w:tcPr>
          <w:p w14:paraId="74020000">
            <w:pPr>
              <w:ind/>
              <w:jc w:val="center"/>
              <w:rPr>
                <w:sz w:val="28"/>
              </w:rPr>
            </w:pPr>
            <w:r>
              <w:rPr>
                <w:sz w:val="28"/>
              </w:rPr>
              <w:t>95</w:t>
            </w:r>
          </w:p>
        </w:tc>
        <w:tc>
          <w:tcPr>
            <w:tcW w:type="dxa" w:w="1189"/>
            <w:tcBorders>
              <w:top w:color="000000" w:sz="4" w:val="single"/>
              <w:left w:color="000000" w:sz="4" w:val="single"/>
              <w:bottom w:color="000000" w:sz="4" w:val="single"/>
              <w:right w:color="000000" w:sz="4" w:val="single"/>
            </w:tcBorders>
            <w:vAlign w:val="center"/>
          </w:tcPr>
          <w:p w14:paraId="75020000">
            <w:pPr>
              <w:ind/>
              <w:jc w:val="center"/>
              <w:rPr>
                <w:sz w:val="28"/>
              </w:rPr>
            </w:pPr>
            <w:r>
              <w:rPr>
                <w:sz w:val="28"/>
              </w:rPr>
              <w:t>95</w:t>
            </w:r>
          </w:p>
        </w:tc>
        <w:tc>
          <w:tcPr>
            <w:tcW w:type="dxa" w:w="1189"/>
            <w:tcBorders>
              <w:top w:color="000000" w:sz="4" w:val="single"/>
              <w:left w:color="000000" w:sz="4" w:val="single"/>
              <w:bottom w:color="000000" w:sz="4" w:val="single"/>
              <w:right w:color="000000" w:sz="4" w:val="single"/>
            </w:tcBorders>
            <w:vAlign w:val="center"/>
          </w:tcPr>
          <w:p w14:paraId="76020000">
            <w:pPr>
              <w:ind/>
              <w:jc w:val="center"/>
              <w:rPr>
                <w:sz w:val="28"/>
              </w:rPr>
            </w:pPr>
            <w:r>
              <w:rPr>
                <w:sz w:val="28"/>
              </w:rPr>
              <w:t>95</w:t>
            </w:r>
          </w:p>
        </w:tc>
      </w:tr>
    </w:tbl>
    <w:p w14:paraId="77020000">
      <w:pPr>
        <w:sectPr>
          <w:headerReference r:id="rId2" w:type="default"/>
          <w:pgSz w:h="11910" w:orient="landscape" w:w="16840"/>
          <w:pgMar w:bottom="1135" w:footer="720" w:gutter="0" w:header="720" w:left="1701" w:right="822" w:top="1100"/>
        </w:sectPr>
      </w:pPr>
    </w:p>
    <w:p w14:paraId="78020000">
      <w:pPr>
        <w:pStyle w:val="Style_3"/>
        <w:ind/>
        <w:jc w:val="center"/>
        <w:rPr>
          <w:b w:val="0"/>
          <w:sz w:val="24"/>
        </w:rPr>
      </w:pPr>
      <w:r>
        <w:t>VI</w:t>
      </w:r>
      <w:r>
        <w:t xml:space="preserve">. </w:t>
      </w:r>
      <w:r>
        <w:t>Перечень</w:t>
      </w:r>
      <w:r>
        <w:rPr>
          <w:spacing w:val="-6"/>
        </w:rPr>
        <w:t xml:space="preserve"> </w:t>
      </w:r>
      <w:r>
        <w:rPr>
          <w:spacing w:val="-6"/>
        </w:rPr>
        <w:t xml:space="preserve">основных </w:t>
      </w:r>
      <w:r>
        <w:t>мероприятий</w:t>
      </w:r>
      <w:r>
        <w:rPr>
          <w:spacing w:val="-5"/>
        </w:rPr>
        <w:t xml:space="preserve"> </w:t>
      </w:r>
      <w:r>
        <w:rPr>
          <w:spacing w:val="-2"/>
        </w:rPr>
        <w:t>программы</w:t>
      </w:r>
    </w:p>
    <w:p w14:paraId="79020000">
      <w:pPr>
        <w:pStyle w:val="Style_2"/>
        <w:rPr>
          <w:b w:val="1"/>
        </w:rPr>
      </w:pPr>
    </w:p>
    <w:tbl>
      <w:tblPr>
        <w:tblStyle w:val="Style_8"/>
        <w:tblW w:type="auto" w:w="0"/>
        <w:tblLayout w:type="fixed"/>
      </w:tblPr>
      <w:tblGrid>
        <w:gridCol w:w="674"/>
        <w:gridCol w:w="4393"/>
        <w:gridCol w:w="1564"/>
        <w:gridCol w:w="3894"/>
        <w:gridCol w:w="4042"/>
      </w:tblGrid>
      <w:tr>
        <w:tc>
          <w:tcPr>
            <w:tcW w:type="dxa" w:w="14567"/>
            <w:gridSpan w:val="5"/>
            <w:vAlign w:val="center"/>
          </w:tcPr>
          <w:p w14:paraId="7A020000">
            <w:pPr>
              <w:pStyle w:val="Style_2"/>
              <w:numPr>
                <w:ilvl w:val="0"/>
                <w:numId w:val="17"/>
              </w:numPr>
              <w:ind w:firstLine="0" w:left="0"/>
              <w:jc w:val="center"/>
              <w:rPr>
                <w:b w:val="1"/>
                <w:sz w:val="24"/>
              </w:rPr>
            </w:pPr>
            <w:r>
              <w:rPr>
                <w:b w:val="1"/>
                <w:sz w:val="24"/>
              </w:rPr>
              <w:t>Укрепление системы обеспечения прав потребителей в Республике Саха (Якутия)</w:t>
            </w:r>
          </w:p>
        </w:tc>
      </w:tr>
      <w:tr>
        <w:tc>
          <w:tcPr>
            <w:tcW w:type="dxa" w:w="6631"/>
            <w:gridSpan w:val="3"/>
            <w:vAlign w:val="center"/>
          </w:tcPr>
          <w:p w14:paraId="7B020000">
            <w:pPr>
              <w:pStyle w:val="Style_2"/>
              <w:ind/>
              <w:jc w:val="center"/>
              <w:rPr>
                <w:sz w:val="24"/>
              </w:rPr>
            </w:pPr>
            <w:r>
              <w:rPr>
                <w:sz w:val="24"/>
              </w:rPr>
              <w:t>Краткое описание основного мероприятия:</w:t>
            </w:r>
          </w:p>
        </w:tc>
        <w:tc>
          <w:tcPr>
            <w:tcW w:type="dxa" w:w="7936"/>
            <w:gridSpan w:val="2"/>
            <w:vAlign w:val="center"/>
          </w:tcPr>
          <w:p w14:paraId="7C020000">
            <w:pPr>
              <w:pStyle w:val="Style_2"/>
              <w:ind w:firstLine="459"/>
              <w:jc w:val="both"/>
              <w:rPr>
                <w:sz w:val="24"/>
              </w:rPr>
            </w:pPr>
            <w:r>
              <w:rPr>
                <w:sz w:val="24"/>
              </w:rPr>
              <w:t>Данное мероприятие призвано сформировать комплексную и действенную систему, гарантирующую эффективную и общедоступную защиту прав каждого потребителя на терри</w:t>
            </w:r>
            <w:r>
              <w:rPr>
                <w:sz w:val="24"/>
              </w:rPr>
              <w:t>тории Республики Саха (Якутия).</w:t>
            </w:r>
          </w:p>
          <w:p w14:paraId="7D020000">
            <w:pPr>
              <w:pStyle w:val="Style_2"/>
              <w:ind w:firstLine="459"/>
              <w:jc w:val="both"/>
              <w:rPr>
                <w:sz w:val="24"/>
              </w:rPr>
            </w:pPr>
            <w:r>
              <w:rPr>
                <w:sz w:val="24"/>
              </w:rPr>
              <w:t>В рамках реализации этой стратегической задачи планируется оказание всестороннего содействия органам местного самоуправления и общественным объединениям потребителей в осуществлении их функций по защите прав граждан. Особое внимание будет уделено налаживанию оперативного и слаженного межведомственного информационного обмена по актуальным вопросам потребительской сферы. Налаживание тесного взаимодействия с органами судебной власти будет способствовать постоянному анализу и обобщению судебной практики, что, в свою очередь, позволит вырабатывать наиболее эффективные подходы к разрешению споров данной категории. Важнейшим аспектом станет обеспечение максимальной доступности квалифицированной правовой помощи в области защиты прав потребителей для всех слоев населения региона.</w:t>
            </w:r>
          </w:p>
        </w:tc>
      </w:tr>
      <w:tr>
        <w:tc>
          <w:tcPr>
            <w:tcW w:type="dxa" w:w="674"/>
            <w:vAlign w:val="center"/>
          </w:tcPr>
          <w:p w14:paraId="7E020000">
            <w:pPr>
              <w:pStyle w:val="Style_2"/>
              <w:ind/>
              <w:jc w:val="center"/>
              <w:rPr>
                <w:b w:val="1"/>
                <w:sz w:val="24"/>
              </w:rPr>
            </w:pPr>
            <w:r>
              <w:rPr>
                <w:b w:val="1"/>
                <w:spacing w:val="-10"/>
                <w:sz w:val="24"/>
              </w:rPr>
              <w:t>№</w:t>
            </w:r>
          </w:p>
        </w:tc>
        <w:tc>
          <w:tcPr>
            <w:tcW w:type="dxa" w:w="4393"/>
            <w:vAlign w:val="center"/>
          </w:tcPr>
          <w:p w14:paraId="7F020000">
            <w:pPr>
              <w:pStyle w:val="Style_2"/>
              <w:ind/>
              <w:jc w:val="center"/>
              <w:rPr>
                <w:b w:val="1"/>
                <w:sz w:val="24"/>
              </w:rPr>
            </w:pPr>
            <w:r>
              <w:rPr>
                <w:b w:val="1"/>
                <w:sz w:val="24"/>
              </w:rPr>
              <w:t xml:space="preserve">Наименование </w:t>
            </w:r>
            <w:r>
              <w:rPr>
                <w:b w:val="1"/>
                <w:spacing w:val="-2"/>
                <w:sz w:val="24"/>
              </w:rPr>
              <w:t>мероприятия</w:t>
            </w:r>
          </w:p>
        </w:tc>
        <w:tc>
          <w:tcPr>
            <w:tcW w:type="dxa" w:w="1564"/>
            <w:vAlign w:val="center"/>
          </w:tcPr>
          <w:p w14:paraId="80020000">
            <w:pPr>
              <w:pStyle w:val="Style_2"/>
              <w:ind/>
              <w:jc w:val="center"/>
              <w:rPr>
                <w:b w:val="1"/>
                <w:sz w:val="24"/>
              </w:rPr>
            </w:pPr>
            <w:r>
              <w:rPr>
                <w:b w:val="1"/>
                <w:spacing w:val="-4"/>
                <w:sz w:val="24"/>
              </w:rPr>
              <w:t xml:space="preserve">Срок </w:t>
            </w:r>
            <w:r>
              <w:rPr>
                <w:b w:val="1"/>
                <w:spacing w:val="-2"/>
                <w:sz w:val="24"/>
              </w:rPr>
              <w:t>реализаци</w:t>
            </w:r>
            <w:r>
              <w:rPr>
                <w:b w:val="1"/>
                <w:spacing w:val="-10"/>
                <w:sz w:val="24"/>
              </w:rPr>
              <w:t>и</w:t>
            </w:r>
          </w:p>
        </w:tc>
        <w:tc>
          <w:tcPr>
            <w:tcW w:type="dxa" w:w="3894"/>
            <w:vAlign w:val="center"/>
          </w:tcPr>
          <w:p w14:paraId="81020000">
            <w:pPr>
              <w:pStyle w:val="Style_2"/>
              <w:ind/>
              <w:jc w:val="center"/>
              <w:rPr>
                <w:b w:val="1"/>
                <w:sz w:val="24"/>
              </w:rPr>
            </w:pPr>
            <w:r>
              <w:rPr>
                <w:b w:val="1"/>
                <w:spacing w:val="-2"/>
                <w:sz w:val="24"/>
              </w:rPr>
              <w:t>Ответственные исполнители</w:t>
            </w:r>
          </w:p>
        </w:tc>
        <w:tc>
          <w:tcPr>
            <w:tcW w:type="dxa" w:w="4042"/>
            <w:vAlign w:val="center"/>
          </w:tcPr>
          <w:p w14:paraId="82020000">
            <w:pPr>
              <w:pStyle w:val="Style_2"/>
              <w:ind/>
              <w:jc w:val="center"/>
              <w:rPr>
                <w:b w:val="1"/>
                <w:sz w:val="24"/>
              </w:rPr>
            </w:pPr>
            <w:r>
              <w:rPr>
                <w:b w:val="1"/>
                <w:sz w:val="24"/>
              </w:rPr>
              <w:t>Ожидаемый</w:t>
            </w:r>
            <w:r>
              <w:rPr>
                <w:b w:val="1"/>
                <w:spacing w:val="-1"/>
                <w:sz w:val="24"/>
              </w:rPr>
              <w:t xml:space="preserve"> </w:t>
            </w:r>
            <w:r>
              <w:rPr>
                <w:b w:val="1"/>
                <w:spacing w:val="-2"/>
                <w:sz w:val="24"/>
              </w:rPr>
              <w:t>результат</w:t>
            </w:r>
          </w:p>
        </w:tc>
      </w:tr>
      <w:tr>
        <w:tc>
          <w:tcPr>
            <w:tcW w:type="dxa" w:w="674"/>
            <w:tcBorders>
              <w:bottom w:color="000000" w:sz="4" w:val="single"/>
            </w:tcBorders>
            <w:vAlign w:val="center"/>
          </w:tcPr>
          <w:p w14:paraId="83020000">
            <w:pPr>
              <w:pStyle w:val="Style_2"/>
              <w:ind/>
              <w:jc w:val="center"/>
              <w:rPr>
                <w:sz w:val="24"/>
              </w:rPr>
            </w:pPr>
            <w:r>
              <w:rPr>
                <w:sz w:val="24"/>
              </w:rPr>
              <w:t>1.1</w:t>
            </w:r>
          </w:p>
        </w:tc>
        <w:tc>
          <w:tcPr>
            <w:tcW w:type="dxa" w:w="4393"/>
            <w:tcBorders>
              <w:bottom w:color="000000" w:sz="4" w:val="single"/>
            </w:tcBorders>
            <w:vAlign w:val="center"/>
          </w:tcPr>
          <w:p w14:paraId="84020000">
            <w:pPr>
              <w:widowControl w:val="1"/>
              <w:spacing w:afterAutospacing="on" w:beforeAutospacing="on"/>
              <w:ind w:firstLine="743"/>
              <w:jc w:val="both"/>
              <w:rPr>
                <w:sz w:val="24"/>
              </w:rPr>
            </w:pPr>
            <w:r>
              <w:rPr>
                <w:sz w:val="24"/>
              </w:rPr>
              <w:t>Развитие и актуализация механизмов защиты прав потребителей посредством участия в работе ключевых координационных и совещательных органов:</w:t>
            </w:r>
          </w:p>
          <w:p w14:paraId="85020000">
            <w:pPr>
              <w:widowControl w:val="1"/>
              <w:numPr>
                <w:ilvl w:val="0"/>
                <w:numId w:val="18"/>
              </w:numPr>
              <w:ind w:firstLine="34" w:left="0"/>
              <w:jc w:val="both"/>
              <w:rPr>
                <w:sz w:val="24"/>
              </w:rPr>
            </w:pPr>
            <w:r>
              <w:rPr>
                <w:sz w:val="24"/>
              </w:rPr>
              <w:t xml:space="preserve">Межведомственный </w:t>
            </w:r>
            <w:r>
              <w:rPr>
                <w:sz w:val="24"/>
              </w:rPr>
              <w:t>координационный совет при Правительстве Республики Саха (Якутия)</w:t>
            </w:r>
            <w:r>
              <w:rPr>
                <w:sz w:val="24"/>
              </w:rPr>
              <w:t xml:space="preserve"> по созданию благоприятных условий для обеспечения прав потребителей, просвещения населения в области защиты потребительских прав, а также реализации региональной торговой и промышленной политики с обязательным учетом потребительских интересов.</w:t>
            </w:r>
          </w:p>
          <w:p w14:paraId="86020000">
            <w:pPr>
              <w:widowControl w:val="1"/>
              <w:numPr>
                <w:ilvl w:val="0"/>
                <w:numId w:val="18"/>
              </w:numPr>
              <w:ind w:firstLine="34" w:left="0"/>
              <w:jc w:val="both"/>
              <w:rPr>
                <w:sz w:val="24"/>
              </w:rPr>
            </w:pPr>
            <w:r>
              <w:rPr>
                <w:sz w:val="24"/>
              </w:rPr>
              <w:t>Межведомственная комиссия при Правительстве Республики Саха (Якутия)</w:t>
            </w:r>
            <w:r>
              <w:rPr>
                <w:sz w:val="24"/>
              </w:rPr>
              <w:t xml:space="preserve"> по вопросам развития потребительского рынка и регулирования производства товаров и услуг на территории Республики Саха (Якутия).</w:t>
            </w:r>
          </w:p>
          <w:p w14:paraId="87020000">
            <w:pPr>
              <w:widowControl w:val="1"/>
              <w:numPr>
                <w:ilvl w:val="0"/>
                <w:numId w:val="18"/>
              </w:numPr>
              <w:ind w:firstLine="34" w:left="0"/>
              <w:jc w:val="both"/>
              <w:rPr>
                <w:sz w:val="24"/>
              </w:rPr>
            </w:pPr>
            <w:r>
              <w:rPr>
                <w:sz w:val="24"/>
              </w:rPr>
              <w:t>Комиссия по противодействию незаконному обороту промышленной продукции в Республике Саха (Якутия)</w:t>
            </w:r>
            <w:r>
              <w:rPr>
                <w:sz w:val="24"/>
              </w:rPr>
              <w:t>.</w:t>
            </w:r>
          </w:p>
          <w:p w14:paraId="88020000">
            <w:pPr>
              <w:widowControl w:val="1"/>
              <w:numPr>
                <w:ilvl w:val="0"/>
                <w:numId w:val="18"/>
              </w:numPr>
              <w:ind w:firstLine="34" w:left="0"/>
              <w:jc w:val="both"/>
              <w:rPr>
                <w:sz w:val="24"/>
              </w:rPr>
            </w:pPr>
            <w:r>
              <w:rPr>
                <w:sz w:val="24"/>
              </w:rPr>
              <w:t>Межведомственная комиссия по обеспечению законности в сфере предпринимательской деятельности при Главе Республики Саха (Якутия)</w:t>
            </w:r>
            <w:r>
              <w:rPr>
                <w:sz w:val="24"/>
              </w:rPr>
              <w:t>.</w:t>
            </w:r>
          </w:p>
          <w:p w14:paraId="89020000">
            <w:pPr>
              <w:widowControl w:val="1"/>
              <w:numPr>
                <w:ilvl w:val="0"/>
                <w:numId w:val="18"/>
              </w:numPr>
              <w:ind w:firstLine="34" w:left="0"/>
              <w:jc w:val="both"/>
              <w:rPr>
                <w:sz w:val="24"/>
              </w:rPr>
            </w:pPr>
            <w:r>
              <w:rPr>
                <w:sz w:val="24"/>
              </w:rPr>
              <w:t>Межведомственный оперативный штаб по контролю ситуации во внедрении маркировки товаров средствами идентификации в Республике Саха (Якутия)</w:t>
            </w:r>
            <w:r>
              <w:rPr>
                <w:sz w:val="24"/>
              </w:rPr>
              <w:t>.</w:t>
            </w:r>
          </w:p>
          <w:p w14:paraId="8A020000">
            <w:pPr>
              <w:pStyle w:val="Style_2"/>
              <w:ind/>
              <w:jc w:val="both"/>
              <w:rPr>
                <w:sz w:val="24"/>
              </w:rPr>
            </w:pPr>
            <w:r>
              <w:rPr>
                <w:sz w:val="24"/>
              </w:rPr>
              <w:t xml:space="preserve">        </w:t>
            </w:r>
            <w:r>
              <w:rPr>
                <w:sz w:val="24"/>
              </w:rPr>
              <w:t xml:space="preserve"> </w:t>
            </w:r>
          </w:p>
        </w:tc>
        <w:tc>
          <w:tcPr>
            <w:tcW w:type="dxa" w:w="1564"/>
            <w:tcBorders>
              <w:bottom w:color="000000" w:sz="4" w:val="single"/>
            </w:tcBorders>
            <w:vAlign w:val="center"/>
          </w:tcPr>
          <w:p w14:paraId="8B020000">
            <w:pPr>
              <w:pStyle w:val="Style_2"/>
              <w:ind/>
              <w:jc w:val="center"/>
              <w:rPr>
                <w:sz w:val="24"/>
              </w:rPr>
            </w:pPr>
            <w:r>
              <w:rPr>
                <w:sz w:val="24"/>
              </w:rPr>
              <w:t>2026-2030</w:t>
            </w:r>
            <w:r>
              <w:rPr>
                <w:sz w:val="24"/>
              </w:rPr>
              <w:t xml:space="preserve"> годы</w:t>
            </w:r>
          </w:p>
        </w:tc>
        <w:tc>
          <w:tcPr>
            <w:tcW w:type="dxa" w:w="3894"/>
            <w:tcBorders>
              <w:bottom w:color="000000" w:sz="4" w:val="single"/>
            </w:tcBorders>
            <w:vAlign w:val="center"/>
          </w:tcPr>
          <w:p w14:paraId="8C020000">
            <w:pPr>
              <w:pStyle w:val="Style_2"/>
              <w:ind/>
              <w:jc w:val="center"/>
              <w:rPr>
                <w:sz w:val="24"/>
              </w:rPr>
            </w:pPr>
            <w:r>
              <w:rPr>
                <w:sz w:val="24"/>
              </w:rPr>
              <w:t>Министерство предпринимательства, торговли и туризма Республики Саха (Якутия);</w:t>
            </w:r>
          </w:p>
          <w:p w14:paraId="8D020000">
            <w:pPr>
              <w:pStyle w:val="Style_2"/>
              <w:ind/>
              <w:jc w:val="center"/>
              <w:rPr>
                <w:sz w:val="24"/>
              </w:rPr>
            </w:pPr>
            <w:r>
              <w:rPr>
                <w:sz w:val="24"/>
              </w:rPr>
              <w:t xml:space="preserve">Органы </w:t>
            </w:r>
            <w:r>
              <w:rPr>
                <w:sz w:val="24"/>
              </w:rPr>
              <w:t>местного самоуправления Республики Саха (Якутия)</w:t>
            </w:r>
            <w:r>
              <w:rPr>
                <w:sz w:val="24"/>
              </w:rPr>
              <w:t>;</w:t>
            </w:r>
          </w:p>
          <w:p w14:paraId="8E020000">
            <w:pPr>
              <w:ind/>
              <w:jc w:val="center"/>
              <w:rPr>
                <w:sz w:val="24"/>
              </w:rPr>
            </w:pPr>
            <w:r>
              <w:rPr>
                <w:sz w:val="24"/>
              </w:rPr>
              <w:t xml:space="preserve">Общественная палата Республики </w:t>
            </w:r>
            <w:r>
              <w:rPr>
                <w:sz w:val="24"/>
              </w:rPr>
              <w:t>Саха (Якутия) (по согласованию);</w:t>
            </w:r>
          </w:p>
          <w:p w14:paraId="8F020000">
            <w:pPr>
              <w:ind/>
              <w:jc w:val="center"/>
              <w:rPr>
                <w:sz w:val="24"/>
              </w:rPr>
            </w:pPr>
            <w:r>
              <w:rPr>
                <w:sz w:val="24"/>
              </w:rPr>
              <w:t>Союз "Торгово-промышленная палата Республики Саха (Якутия)" (по согласованию)</w:t>
            </w:r>
            <w:r>
              <w:rPr>
                <w:sz w:val="24"/>
              </w:rPr>
              <w:t>;</w:t>
            </w:r>
          </w:p>
          <w:p w14:paraId="90020000">
            <w:pPr>
              <w:pStyle w:val="Style_2"/>
              <w:ind/>
              <w:jc w:val="center"/>
              <w:rPr>
                <w:sz w:val="24"/>
              </w:rPr>
            </w:pPr>
            <w:r>
              <w:rPr>
                <w:sz w:val="24"/>
              </w:rPr>
              <w:t>Министерство о</w:t>
            </w:r>
            <w:r>
              <w:rPr>
                <w:sz w:val="24"/>
              </w:rPr>
              <w:t>бразования</w:t>
            </w:r>
            <w:r>
              <w:rPr>
                <w:sz w:val="24"/>
              </w:rPr>
              <w:tab/>
            </w:r>
            <w:r>
              <w:rPr>
                <w:sz w:val="24"/>
              </w:rPr>
              <w:t xml:space="preserve">и науки Республики Саха </w:t>
            </w:r>
            <w:r>
              <w:rPr>
                <w:sz w:val="24"/>
              </w:rPr>
              <w:t>(Якутия);</w:t>
            </w:r>
          </w:p>
          <w:p w14:paraId="91020000">
            <w:pPr>
              <w:pStyle w:val="Style_2"/>
              <w:ind/>
              <w:jc w:val="center"/>
              <w:rPr>
                <w:sz w:val="24"/>
              </w:rPr>
            </w:pPr>
            <w:r>
              <w:rPr>
                <w:sz w:val="24"/>
              </w:rPr>
              <w:t>М</w:t>
            </w:r>
            <w:r>
              <w:rPr>
                <w:sz w:val="24"/>
              </w:rPr>
              <w:t xml:space="preserve">инистерство сельского хозяйства и </w:t>
            </w:r>
            <w:r>
              <w:rPr>
                <w:sz w:val="24"/>
              </w:rPr>
              <w:t>продовольственной политики</w:t>
            </w:r>
            <w:r>
              <w:rPr>
                <w:sz w:val="24"/>
              </w:rPr>
              <w:tab/>
            </w:r>
            <w:r>
              <w:rPr>
                <w:sz w:val="24"/>
              </w:rPr>
              <w:t>Республики Саха (Якутия);</w:t>
            </w:r>
          </w:p>
          <w:p w14:paraId="92020000">
            <w:pPr>
              <w:pStyle w:val="Style_2"/>
              <w:ind/>
              <w:jc w:val="center"/>
              <w:rPr>
                <w:sz w:val="24"/>
              </w:rPr>
            </w:pPr>
            <w:r>
              <w:rPr>
                <w:sz w:val="24"/>
              </w:rPr>
              <w:t>Министерство внутренних дел по Республике Саха (Якутия)</w:t>
            </w:r>
            <w:r>
              <w:rPr>
                <w:sz w:val="24"/>
              </w:rPr>
              <w:t>;</w:t>
            </w:r>
          </w:p>
          <w:p w14:paraId="9302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r>
              <w:rPr>
                <w:sz w:val="24"/>
              </w:rPr>
              <w:t>;</w:t>
            </w:r>
          </w:p>
          <w:p w14:paraId="94020000">
            <w:pPr>
              <w:pStyle w:val="Style_2"/>
              <w:ind/>
              <w:jc w:val="center"/>
              <w:rPr>
                <w:sz w:val="24"/>
              </w:rPr>
            </w:pPr>
            <w:r>
              <w:rPr>
                <w:sz w:val="24"/>
              </w:rPr>
              <w:t>Министерство здравоохранения Республики Саха (Якутия);</w:t>
            </w:r>
          </w:p>
          <w:p w14:paraId="95020000">
            <w:pPr>
              <w:pStyle w:val="Style_2"/>
              <w:ind/>
              <w:jc w:val="center"/>
              <w:rPr>
                <w:sz w:val="24"/>
              </w:rPr>
            </w:pPr>
            <w:r>
              <w:rPr>
                <w:sz w:val="24"/>
              </w:rPr>
              <w:t>Министерство по физической культуре и спорту Республики Саха (Якутия);</w:t>
            </w:r>
          </w:p>
          <w:p w14:paraId="96020000">
            <w:pPr>
              <w:pStyle w:val="Style_2"/>
              <w:ind/>
              <w:jc w:val="center"/>
              <w:rPr>
                <w:sz w:val="24"/>
              </w:rPr>
            </w:pPr>
            <w:r>
              <w:rPr>
                <w:sz w:val="24"/>
              </w:rPr>
              <w:t>Министерство внутренних дел по Республике Саха (Якутия) (по согласованию);</w:t>
            </w:r>
          </w:p>
          <w:p w14:paraId="97020000">
            <w:pPr>
              <w:pStyle w:val="Style_2"/>
              <w:ind/>
              <w:jc w:val="center"/>
              <w:rPr>
                <w:sz w:val="24"/>
              </w:rPr>
            </w:pPr>
            <w:r>
              <w:rPr>
                <w:sz w:val="24"/>
              </w:rPr>
              <w:t>УФНС России по Республике Саха (Якутия) (по согласованию);</w:t>
            </w:r>
          </w:p>
          <w:p w14:paraId="9802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99020000">
            <w:pPr>
              <w:pStyle w:val="Style_2"/>
              <w:ind/>
              <w:jc w:val="center"/>
              <w:rPr>
                <w:sz w:val="24"/>
              </w:rPr>
            </w:pPr>
            <w:r>
              <w:rPr>
                <w:sz w:val="24"/>
              </w:rPr>
              <w:t>Управление</w:t>
            </w:r>
            <w:r>
              <w:rPr>
                <w:sz w:val="24"/>
              </w:rPr>
              <w:t xml:space="preserve"> Федеральной службы по ветеринарному и фитосанитарному надзору по Амурской области и Республике Саха (Якутия)</w:t>
            </w:r>
            <w:r>
              <w:rPr>
                <w:sz w:val="24"/>
              </w:rPr>
              <w:t xml:space="preserve"> (по согласованию)</w:t>
            </w:r>
            <w:r>
              <w:rPr>
                <w:sz w:val="24"/>
              </w:rPr>
              <w:t>;</w:t>
            </w:r>
          </w:p>
          <w:p w14:paraId="9A020000">
            <w:pPr>
              <w:pStyle w:val="Style_2"/>
              <w:ind/>
              <w:jc w:val="center"/>
              <w:rPr>
                <w:sz w:val="24"/>
              </w:rPr>
            </w:pPr>
            <w:r>
              <w:rPr>
                <w:sz w:val="24"/>
              </w:rPr>
              <w:t>Управление Роспотребнадз</w:t>
            </w:r>
            <w:r>
              <w:rPr>
                <w:sz w:val="24"/>
              </w:rPr>
              <w:t>ора по РС(Я)) (по согласованию)</w:t>
            </w:r>
            <w:r>
              <w:rPr>
                <w:sz w:val="24"/>
              </w:rPr>
              <w:t>;</w:t>
            </w:r>
          </w:p>
          <w:p w14:paraId="9B020000">
            <w:pPr>
              <w:ind/>
              <w:jc w:val="center"/>
              <w:rPr>
                <w:sz w:val="24"/>
              </w:rPr>
            </w:pPr>
            <w:r>
              <w:rPr>
                <w:sz w:val="24"/>
              </w:rPr>
              <w:t>ФБУЗ «Центр гигиены и эпидемиоло</w:t>
            </w:r>
            <w:r>
              <w:rPr>
                <w:sz w:val="24"/>
              </w:rPr>
              <w:t>гии в Республике Саха (Якутия)»</w:t>
            </w:r>
            <w:r>
              <w:rPr>
                <w:sz w:val="24"/>
              </w:rPr>
              <w:t xml:space="preserve"> (по согласованию);</w:t>
            </w:r>
          </w:p>
          <w:p w14:paraId="9C020000">
            <w:pPr>
              <w:ind/>
              <w:jc w:val="center"/>
              <w:rPr>
                <w:sz w:val="24"/>
              </w:rPr>
            </w:pPr>
            <w:r>
              <w:rPr>
                <w:sz w:val="24"/>
              </w:rPr>
              <w:t>Отделение - Национальный банк по Республики Саха (Якутия) Дальневосточного главного управления Центрального банка Российской Федерации (по согласованию)</w:t>
            </w:r>
            <w:r>
              <w:rPr>
                <w:sz w:val="24"/>
              </w:rPr>
              <w:t>;</w:t>
            </w:r>
          </w:p>
          <w:p w14:paraId="9D020000">
            <w:pPr>
              <w:ind/>
              <w:jc w:val="center"/>
              <w:rPr>
                <w:sz w:val="24"/>
              </w:rPr>
            </w:pPr>
            <w:r>
              <w:rPr>
                <w:sz w:val="24"/>
              </w:rPr>
              <w:t>Региональный центр поддержки маркировки «Честный знак» (по согласованию);</w:t>
            </w:r>
          </w:p>
          <w:p w14:paraId="9E020000">
            <w:pPr>
              <w:ind/>
              <w:jc w:val="center"/>
              <w:rPr>
                <w:sz w:val="24"/>
              </w:rPr>
            </w:pPr>
            <w:r>
              <w:rPr>
                <w:sz w:val="24"/>
              </w:rPr>
              <w:t>Общественные организации по защите прав потребителей (по согласованию);</w:t>
            </w:r>
          </w:p>
          <w:p w14:paraId="9F020000">
            <w:pPr>
              <w:ind/>
              <w:jc w:val="center"/>
              <w:rPr>
                <w:sz w:val="24"/>
              </w:rPr>
            </w:pPr>
            <w:r>
              <w:rPr>
                <w:sz w:val="24"/>
              </w:rPr>
              <w:t>Национальная вещательная компания «Саха» (НВК «Саха») (по согласованию);</w:t>
            </w:r>
          </w:p>
          <w:p w14:paraId="A0020000">
            <w:pPr>
              <w:ind/>
              <w:jc w:val="center"/>
              <w:rPr>
                <w:sz w:val="24"/>
              </w:rPr>
            </w:pPr>
            <w:r>
              <w:rPr>
                <w:sz w:val="24"/>
              </w:rPr>
              <w:t>Государственное автономное учреждение Республики Саха (Якутия) "САХАПЕЧАТЬ" (по согласованию);</w:t>
            </w:r>
          </w:p>
          <w:p w14:paraId="A1020000">
            <w:pPr>
              <w:ind/>
              <w:jc w:val="center"/>
              <w:rPr>
                <w:sz w:val="24"/>
              </w:rPr>
            </w:pP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A2020000">
            <w:pPr>
              <w:ind/>
              <w:jc w:val="center"/>
              <w:rPr>
                <w:sz w:val="24"/>
              </w:rPr>
            </w:pPr>
            <w:r>
              <w:rPr>
                <w:sz w:val="24"/>
              </w:rPr>
              <w:t>Автономное учреждение Республики Саха (Якутия) «Якутское-Саха информационн</w:t>
            </w:r>
            <w:r>
              <w:rPr>
                <w:sz w:val="24"/>
              </w:rPr>
              <w:t>ое агентство» (по согласованию).</w:t>
            </w:r>
          </w:p>
        </w:tc>
        <w:tc>
          <w:tcPr>
            <w:tcW w:type="dxa" w:w="4042"/>
            <w:tcBorders>
              <w:bottom w:color="000000" w:sz="4" w:val="single"/>
            </w:tcBorders>
            <w:vAlign w:val="center"/>
          </w:tcPr>
          <w:p w14:paraId="A3020000">
            <w:pPr>
              <w:pStyle w:val="Style_2"/>
              <w:ind/>
              <w:jc w:val="both"/>
              <w:rPr>
                <w:sz w:val="24"/>
              </w:rPr>
            </w:pPr>
            <w:r>
              <w:rPr>
                <w:sz w:val="24"/>
              </w:rPr>
              <w:t xml:space="preserve">     </w:t>
            </w:r>
            <w:r>
              <w:rPr>
                <w:sz w:val="24"/>
              </w:rPr>
              <w:t>Формирование и устойчивое функционирование сбалансированной региональной системы защиты прав потребителей. Достижение данного результата будет обеспечено через налаженное взаимодействие исполнительных органов государственной власти Республики Саха (Якутия), органов местного самоуправления, а также посредством применения комплексного и системного подхода к защите потребительских прав.</w:t>
            </w:r>
          </w:p>
        </w:tc>
      </w:tr>
      <w:tr>
        <w:trPr>
          <w:trHeight w:hRule="atLeast" w:val="506"/>
        </w:trPr>
        <w:tc>
          <w:tcPr>
            <w:tcW w:type="dxa" w:w="674"/>
            <w:tcBorders>
              <w:top w:color="000000" w:sz="4" w:val="single"/>
              <w:left w:color="000000" w:sz="4" w:val="single"/>
              <w:bottom w:color="000000" w:sz="4" w:val="single"/>
              <w:right w:color="000000" w:sz="4" w:val="single"/>
            </w:tcBorders>
            <w:vAlign w:val="center"/>
          </w:tcPr>
          <w:p w14:paraId="A4020000">
            <w:pPr>
              <w:pStyle w:val="Style_2"/>
              <w:ind/>
              <w:jc w:val="center"/>
              <w:rPr>
                <w:sz w:val="24"/>
              </w:rPr>
            </w:pPr>
            <w:r>
              <w:rPr>
                <w:sz w:val="24"/>
              </w:rPr>
              <w:t xml:space="preserve">1.2 </w:t>
            </w:r>
          </w:p>
        </w:tc>
        <w:tc>
          <w:tcPr>
            <w:tcW w:type="dxa" w:w="4393"/>
            <w:tcBorders>
              <w:top w:color="000000" w:sz="4" w:val="single"/>
              <w:left w:color="000000" w:sz="4" w:val="single"/>
              <w:bottom w:color="000000" w:sz="4" w:val="single"/>
              <w:right w:color="000000" w:sz="4" w:val="single"/>
            </w:tcBorders>
            <w:vAlign w:val="center"/>
          </w:tcPr>
          <w:p w14:paraId="A5020000">
            <w:pPr>
              <w:pStyle w:val="Style_2"/>
              <w:ind w:firstLine="459"/>
              <w:jc w:val="both"/>
              <w:rPr>
                <w:sz w:val="24"/>
              </w:rPr>
            </w:pPr>
            <w:r>
              <w:rPr>
                <w:sz w:val="24"/>
              </w:rPr>
              <w:t>Разработка и реализация комплекса мер, направленных на совершенствование механизмов защиты прав потребителей посредством организации и проведения совещаний, круглых столов и других профильных мероприятий, способствующих формированию единой позиции и выработке согласованных стратегических решений.</w:t>
            </w:r>
          </w:p>
        </w:tc>
        <w:tc>
          <w:tcPr>
            <w:tcW w:type="dxa" w:w="1564"/>
            <w:tcBorders>
              <w:top w:color="000000" w:sz="4" w:val="single"/>
              <w:left w:color="000000" w:sz="4" w:val="single"/>
              <w:bottom w:color="000000" w:sz="4" w:val="single"/>
              <w:right w:color="000000" w:sz="4" w:val="single"/>
            </w:tcBorders>
            <w:vAlign w:val="center"/>
          </w:tcPr>
          <w:p w14:paraId="A6020000">
            <w:pPr>
              <w:pStyle w:val="Style_2"/>
              <w:ind/>
              <w:jc w:val="center"/>
              <w:rPr>
                <w:sz w:val="24"/>
              </w:rPr>
            </w:pPr>
            <w:r>
              <w:rPr>
                <w:sz w:val="24"/>
              </w:rPr>
              <w:t>2026-2030</w:t>
            </w:r>
            <w:r>
              <w:rPr>
                <w:sz w:val="24"/>
              </w:rPr>
              <w:t xml:space="preserve"> годы</w:t>
            </w:r>
          </w:p>
        </w:tc>
        <w:tc>
          <w:tcPr>
            <w:tcW w:type="dxa" w:w="3894"/>
            <w:tcBorders>
              <w:top w:color="000000" w:sz="4" w:val="single"/>
              <w:left w:color="000000" w:sz="4" w:val="single"/>
              <w:bottom w:color="000000" w:sz="4" w:val="single"/>
              <w:right w:color="000000" w:sz="4" w:val="single"/>
            </w:tcBorders>
            <w:vAlign w:val="center"/>
          </w:tcPr>
          <w:p w14:paraId="A7020000">
            <w:pPr>
              <w:pStyle w:val="Style_2"/>
              <w:ind/>
              <w:jc w:val="center"/>
              <w:rPr>
                <w:sz w:val="24"/>
              </w:rPr>
            </w:pPr>
            <w:r>
              <w:rPr>
                <w:sz w:val="24"/>
              </w:rPr>
              <w:t>Министерство предпринимательства, торговли и туризма Республики Саха (Якутия);</w:t>
            </w:r>
          </w:p>
          <w:p w14:paraId="A8020000">
            <w:pPr>
              <w:pStyle w:val="Style_2"/>
              <w:ind/>
              <w:jc w:val="center"/>
              <w:rPr>
                <w:sz w:val="24"/>
              </w:rPr>
            </w:pPr>
            <w:r>
              <w:rPr>
                <w:sz w:val="24"/>
              </w:rPr>
              <w:t>Органы местного самоуправления Республики Саха (Якутия);</w:t>
            </w:r>
          </w:p>
          <w:p w14:paraId="A9020000">
            <w:pPr>
              <w:pStyle w:val="Style_2"/>
              <w:ind/>
              <w:jc w:val="center"/>
              <w:rPr>
                <w:sz w:val="24"/>
              </w:rPr>
            </w:pPr>
            <w:r>
              <w:rPr>
                <w:sz w:val="24"/>
              </w:rPr>
              <w:t>Министерство внутренних дел по Республике Саха (Якутия) (по согласованию);</w:t>
            </w:r>
          </w:p>
          <w:p w14:paraId="AA020000">
            <w:pPr>
              <w:pStyle w:val="Style_2"/>
              <w:ind/>
              <w:jc w:val="center"/>
              <w:rPr>
                <w:sz w:val="24"/>
              </w:rPr>
            </w:pPr>
            <w:r>
              <w:rPr>
                <w:sz w:val="24"/>
              </w:rPr>
              <w:t>УФНС России по Республике Саха (Якутия) (по согласованию);</w:t>
            </w:r>
          </w:p>
          <w:p w14:paraId="AB020000">
            <w:pPr>
              <w:pStyle w:val="Style_2"/>
              <w:ind/>
              <w:jc w:val="center"/>
              <w:rPr>
                <w:sz w:val="24"/>
              </w:rPr>
            </w:pPr>
            <w:r>
              <w:rPr>
                <w:sz w:val="24"/>
              </w:rPr>
              <w:t>Управление Роспотребнадз</w:t>
            </w:r>
            <w:r>
              <w:rPr>
                <w:sz w:val="24"/>
              </w:rPr>
              <w:t>ора по РС(Я)) (по согласованию)</w:t>
            </w:r>
            <w:r>
              <w:rPr>
                <w:sz w:val="24"/>
              </w:rPr>
              <w:t>;</w:t>
            </w:r>
          </w:p>
          <w:p w14:paraId="AC020000">
            <w:pPr>
              <w:pStyle w:val="Style_2"/>
              <w:ind/>
              <w:jc w:val="center"/>
              <w:rPr>
                <w:sz w:val="24"/>
              </w:rPr>
            </w:pPr>
            <w:r>
              <w:rPr>
                <w:sz w:val="24"/>
              </w:rPr>
              <w:t>Региональный центр поддержки маркировки «</w:t>
            </w:r>
            <w:r>
              <w:rPr>
                <w:sz w:val="24"/>
              </w:rPr>
              <w:t>Честный знак» (по согласованию).</w:t>
            </w:r>
          </w:p>
        </w:tc>
        <w:tc>
          <w:tcPr>
            <w:tcW w:type="dxa" w:w="4042"/>
            <w:tcBorders>
              <w:top w:color="000000" w:sz="4" w:val="single"/>
              <w:left w:color="000000" w:sz="4" w:val="single"/>
              <w:bottom w:color="000000" w:sz="4" w:val="single"/>
              <w:right w:color="000000" w:sz="4" w:val="single"/>
            </w:tcBorders>
            <w:vAlign w:val="center"/>
          </w:tcPr>
          <w:p w14:paraId="AD020000">
            <w:pPr>
              <w:pStyle w:val="Style_2"/>
              <w:ind/>
              <w:jc w:val="both"/>
              <w:rPr>
                <w:sz w:val="24"/>
              </w:rPr>
            </w:pPr>
            <w:r>
              <w:rPr>
                <w:sz w:val="24"/>
              </w:rPr>
              <w:t xml:space="preserve">     </w:t>
            </w:r>
            <w:r>
              <w:rPr>
                <w:sz w:val="24"/>
              </w:rPr>
              <w:t>Формирование научно обоснованной тактики, определение приоритетных направлений региональной политики в сфере защиты прав потребителей и актуализация существующей системы обеспечения их прав, основанная на результатах проведенных дискуссий и аналитической работе.</w:t>
            </w:r>
          </w:p>
        </w:tc>
      </w:tr>
      <w:tr>
        <w:tc>
          <w:tcPr>
            <w:tcW w:type="dxa" w:w="674"/>
            <w:tcBorders>
              <w:top w:color="000000" w:sz="4" w:val="single"/>
            </w:tcBorders>
            <w:vAlign w:val="center"/>
          </w:tcPr>
          <w:p w14:paraId="AE020000">
            <w:pPr>
              <w:pStyle w:val="Style_2"/>
              <w:ind/>
              <w:jc w:val="center"/>
              <w:rPr>
                <w:sz w:val="24"/>
              </w:rPr>
            </w:pPr>
            <w:r>
              <w:rPr>
                <w:sz w:val="24"/>
              </w:rPr>
              <w:t>1.3.</w:t>
            </w:r>
          </w:p>
        </w:tc>
        <w:tc>
          <w:tcPr>
            <w:tcW w:type="dxa" w:w="4393"/>
            <w:tcBorders>
              <w:top w:color="000000" w:sz="4" w:val="single"/>
            </w:tcBorders>
            <w:vAlign w:val="center"/>
          </w:tcPr>
          <w:p w14:paraId="AF020000">
            <w:pPr>
              <w:pStyle w:val="Style_2"/>
              <w:ind/>
              <w:jc w:val="both"/>
              <w:rPr>
                <w:sz w:val="24"/>
              </w:rPr>
            </w:pPr>
            <w:r>
              <w:rPr>
                <w:sz w:val="24"/>
              </w:rPr>
              <w:t xml:space="preserve">     </w:t>
            </w:r>
            <w:r>
              <w:rPr>
                <w:sz w:val="24"/>
              </w:rPr>
              <w:t>Разработка и актуализация муниципальных программ по комплексной защите прав потребителей.</w:t>
            </w:r>
          </w:p>
        </w:tc>
        <w:tc>
          <w:tcPr>
            <w:tcW w:type="dxa" w:w="1564"/>
            <w:tcBorders>
              <w:top w:color="000000" w:sz="4" w:val="single"/>
            </w:tcBorders>
            <w:vAlign w:val="center"/>
          </w:tcPr>
          <w:p w14:paraId="B0020000">
            <w:pPr>
              <w:pStyle w:val="Style_2"/>
              <w:ind/>
              <w:jc w:val="center"/>
              <w:rPr>
                <w:sz w:val="24"/>
              </w:rPr>
            </w:pPr>
            <w:r>
              <w:rPr>
                <w:sz w:val="24"/>
              </w:rPr>
              <w:t>2026-20</w:t>
            </w:r>
            <w:r>
              <w:rPr>
                <w:sz w:val="24"/>
              </w:rPr>
              <w:t>27 годы</w:t>
            </w:r>
          </w:p>
        </w:tc>
        <w:tc>
          <w:tcPr>
            <w:tcW w:type="dxa" w:w="3894"/>
            <w:tcBorders>
              <w:top w:color="000000" w:sz="4" w:val="single"/>
            </w:tcBorders>
            <w:vAlign w:val="center"/>
          </w:tcPr>
          <w:p w14:paraId="B1020000">
            <w:pPr>
              <w:pStyle w:val="Style_2"/>
              <w:ind/>
              <w:jc w:val="center"/>
              <w:rPr>
                <w:sz w:val="24"/>
              </w:rPr>
            </w:pPr>
            <w:r>
              <w:rPr>
                <w:sz w:val="24"/>
              </w:rPr>
              <w:t>Органы местного самоупра</w:t>
            </w:r>
            <w:r>
              <w:rPr>
                <w:sz w:val="24"/>
              </w:rPr>
              <w:t>вления Республики Саха (Якутия)</w:t>
            </w:r>
            <w:r>
              <w:rPr>
                <w:sz w:val="24"/>
              </w:rPr>
              <w:t>.</w:t>
            </w:r>
          </w:p>
          <w:p w14:paraId="B2020000">
            <w:pPr>
              <w:pStyle w:val="Style_2"/>
              <w:ind/>
              <w:jc w:val="center"/>
              <w:rPr>
                <w:sz w:val="24"/>
              </w:rPr>
            </w:pPr>
          </w:p>
        </w:tc>
        <w:tc>
          <w:tcPr>
            <w:tcW w:type="dxa" w:w="4042"/>
            <w:tcBorders>
              <w:top w:color="000000" w:sz="4" w:val="single"/>
            </w:tcBorders>
            <w:vAlign w:val="center"/>
          </w:tcPr>
          <w:p w14:paraId="B3020000">
            <w:pPr>
              <w:pStyle w:val="Style_2"/>
              <w:ind w:firstLine="533"/>
              <w:jc w:val="both"/>
              <w:rPr>
                <w:sz w:val="24"/>
              </w:rPr>
            </w:pPr>
            <w:r>
              <w:rPr>
                <w:sz w:val="24"/>
              </w:rPr>
              <w:t>Повышение эффективности деятельности органов местного самоуправления в сфере обеспечения защиты прав потребителей.</w:t>
            </w:r>
          </w:p>
        </w:tc>
      </w:tr>
      <w:tr>
        <w:tc>
          <w:tcPr>
            <w:tcW w:type="dxa" w:w="674"/>
            <w:vAlign w:val="center"/>
          </w:tcPr>
          <w:p w14:paraId="B4020000">
            <w:pPr>
              <w:pStyle w:val="Style_2"/>
              <w:ind/>
              <w:jc w:val="center"/>
              <w:rPr>
                <w:sz w:val="24"/>
              </w:rPr>
            </w:pPr>
            <w:r>
              <w:rPr>
                <w:sz w:val="24"/>
              </w:rPr>
              <w:t>1.4</w:t>
            </w:r>
          </w:p>
        </w:tc>
        <w:tc>
          <w:tcPr>
            <w:tcW w:type="dxa" w:w="4393"/>
            <w:vAlign w:val="center"/>
          </w:tcPr>
          <w:p w14:paraId="B5020000">
            <w:pPr>
              <w:pStyle w:val="Style_2"/>
              <w:ind w:firstLine="318"/>
              <w:jc w:val="both"/>
              <w:rPr>
                <w:sz w:val="24"/>
              </w:rPr>
            </w:pPr>
            <w:r>
              <w:rPr>
                <w:sz w:val="24"/>
              </w:rPr>
              <w:t>Мониторинг деятельности органов местного самоуправления муниципальных образований Республики Саха (Якутия) в сфере организации защиты прав потребителей.</w:t>
            </w:r>
          </w:p>
        </w:tc>
        <w:tc>
          <w:tcPr>
            <w:tcW w:type="dxa" w:w="1564"/>
            <w:vAlign w:val="center"/>
          </w:tcPr>
          <w:p w14:paraId="B6020000">
            <w:pPr>
              <w:pStyle w:val="Style_2"/>
              <w:ind/>
              <w:jc w:val="center"/>
              <w:rPr>
                <w:sz w:val="24"/>
              </w:rPr>
            </w:pPr>
            <w:r>
              <w:rPr>
                <w:sz w:val="24"/>
              </w:rPr>
              <w:t>2026-2030 годы</w:t>
            </w:r>
          </w:p>
        </w:tc>
        <w:tc>
          <w:tcPr>
            <w:tcW w:type="dxa" w:w="3894"/>
            <w:vAlign w:val="center"/>
          </w:tcPr>
          <w:p w14:paraId="B7020000">
            <w:pPr>
              <w:pStyle w:val="Style_2"/>
              <w:ind/>
              <w:jc w:val="center"/>
              <w:rPr>
                <w:sz w:val="24"/>
              </w:rPr>
            </w:pPr>
            <w:r>
              <w:rPr>
                <w:sz w:val="24"/>
              </w:rPr>
              <w:t>Министерство предпринимательства, торговли и туризма Республики Саха (Якутия);</w:t>
            </w:r>
          </w:p>
          <w:p w14:paraId="B8020000">
            <w:pPr>
              <w:pStyle w:val="Style_2"/>
              <w:ind/>
              <w:jc w:val="center"/>
              <w:rPr>
                <w:sz w:val="24"/>
              </w:rPr>
            </w:pPr>
            <w:r>
              <w:rPr>
                <w:sz w:val="24"/>
              </w:rPr>
              <w:t>Органы местного самоупра</w:t>
            </w:r>
            <w:r>
              <w:rPr>
                <w:sz w:val="24"/>
              </w:rPr>
              <w:t>вления Республики Саха (Якутия)</w:t>
            </w:r>
            <w:r>
              <w:rPr>
                <w:sz w:val="24"/>
              </w:rPr>
              <w:t>.</w:t>
            </w:r>
          </w:p>
        </w:tc>
        <w:tc>
          <w:tcPr>
            <w:tcW w:type="dxa" w:w="4042"/>
            <w:vAlign w:val="center"/>
          </w:tcPr>
          <w:p w14:paraId="B9020000">
            <w:pPr>
              <w:pStyle w:val="Style_2"/>
              <w:ind/>
              <w:jc w:val="both"/>
              <w:rPr>
                <w:sz w:val="24"/>
              </w:rPr>
            </w:pPr>
            <w:r>
              <w:rPr>
                <w:sz w:val="24"/>
              </w:rPr>
              <w:t xml:space="preserve">     </w:t>
            </w:r>
            <w:r>
              <w:rPr>
                <w:sz w:val="24"/>
              </w:rPr>
              <w:t>Анализ данных, полученных в ходе мониторинга, позволит разработать стратегию и определить приоритетные направления для совершенствования системы защиты прав потребителей в муниципальных образованиях Республики Саха (Якутия), а также актуализировать существующие механизмы.</w:t>
            </w:r>
          </w:p>
        </w:tc>
      </w:tr>
      <w:tr>
        <w:tc>
          <w:tcPr>
            <w:tcW w:type="dxa" w:w="674"/>
            <w:vAlign w:val="center"/>
          </w:tcPr>
          <w:p w14:paraId="BA020000">
            <w:pPr>
              <w:pStyle w:val="Style_2"/>
              <w:ind/>
              <w:jc w:val="center"/>
              <w:rPr>
                <w:sz w:val="24"/>
              </w:rPr>
            </w:pPr>
            <w:r>
              <w:rPr>
                <w:sz w:val="24"/>
              </w:rPr>
              <w:t>1.5</w:t>
            </w:r>
          </w:p>
        </w:tc>
        <w:tc>
          <w:tcPr>
            <w:tcW w:type="dxa" w:w="4393"/>
            <w:vAlign w:val="center"/>
          </w:tcPr>
          <w:p w14:paraId="BB020000">
            <w:pPr>
              <w:pStyle w:val="Style_2"/>
              <w:ind w:firstLine="459"/>
              <w:jc w:val="both"/>
              <w:rPr>
                <w:sz w:val="24"/>
              </w:rPr>
            </w:pPr>
            <w:r>
              <w:rPr>
                <w:sz w:val="24"/>
              </w:rPr>
              <w:t>Проведение социологического исследования посредством анкетирования населения муниципальных образований Республики Саха (Якутия) с целью выявления уровня защиты прав потребителей и оценки доступности информации в данной сфере.</w:t>
            </w:r>
          </w:p>
        </w:tc>
        <w:tc>
          <w:tcPr>
            <w:tcW w:type="dxa" w:w="1564"/>
            <w:vAlign w:val="center"/>
          </w:tcPr>
          <w:p w14:paraId="BC020000">
            <w:pPr>
              <w:pStyle w:val="Style_2"/>
              <w:ind/>
              <w:jc w:val="center"/>
              <w:rPr>
                <w:sz w:val="24"/>
              </w:rPr>
            </w:pPr>
            <w:r>
              <w:rPr>
                <w:sz w:val="24"/>
              </w:rPr>
              <w:t>2026-2030 годы</w:t>
            </w:r>
          </w:p>
        </w:tc>
        <w:tc>
          <w:tcPr>
            <w:tcW w:type="dxa" w:w="3894"/>
            <w:vAlign w:val="center"/>
          </w:tcPr>
          <w:p w14:paraId="BD020000">
            <w:pPr>
              <w:pStyle w:val="Style_2"/>
              <w:ind/>
              <w:jc w:val="center"/>
              <w:rPr>
                <w:sz w:val="24"/>
              </w:rPr>
            </w:pPr>
          </w:p>
          <w:p w14:paraId="BE020000">
            <w:pPr>
              <w:pStyle w:val="Style_2"/>
              <w:ind/>
              <w:jc w:val="center"/>
              <w:rPr>
                <w:sz w:val="24"/>
              </w:rPr>
            </w:pPr>
            <w:r>
              <w:rPr>
                <w:sz w:val="24"/>
              </w:rPr>
              <w:t>Органы местного самоупра</w:t>
            </w:r>
            <w:r>
              <w:rPr>
                <w:sz w:val="24"/>
              </w:rPr>
              <w:t>вления Республики Саха (Якутия)</w:t>
            </w:r>
            <w:r>
              <w:rPr>
                <w:sz w:val="24"/>
              </w:rPr>
              <w:t xml:space="preserve">; </w:t>
            </w:r>
            <w:r>
              <w:rPr>
                <w:sz w:val="24"/>
              </w:rPr>
              <w:t>Министерство инноваций, цифрового развития и инфокоммуникационных технологий Республики Саха (Якутия)</w:t>
            </w:r>
            <w:r>
              <w:rPr>
                <w:sz w:val="24"/>
              </w:rPr>
              <w:t>.</w:t>
            </w:r>
          </w:p>
        </w:tc>
        <w:tc>
          <w:tcPr>
            <w:tcW w:type="dxa" w:w="4042"/>
            <w:vAlign w:val="center"/>
          </w:tcPr>
          <w:p w14:paraId="BF020000">
            <w:pPr>
              <w:pStyle w:val="Style_2"/>
              <w:ind/>
              <w:jc w:val="both"/>
              <w:rPr>
                <w:sz w:val="24"/>
              </w:rPr>
            </w:pPr>
            <w:r>
              <w:rPr>
                <w:sz w:val="24"/>
              </w:rPr>
              <w:t xml:space="preserve">     </w:t>
            </w:r>
            <w:r>
              <w:rPr>
                <w:sz w:val="24"/>
              </w:rPr>
              <w:t>Формирование комплексной оценки фактического состояния защиты прав потребителей в муниципальных образованиях субъекта Российской Федерации. Определение и обоснование приоритетов развития системы защиты прав потребителей, требующих первоочередного внимания, на основе детального анализа полученных в ходе исследования данных.</w:t>
            </w:r>
          </w:p>
        </w:tc>
      </w:tr>
      <w:tr>
        <w:tc>
          <w:tcPr>
            <w:tcW w:type="dxa" w:w="674"/>
            <w:vAlign w:val="center"/>
          </w:tcPr>
          <w:p w14:paraId="C0020000">
            <w:pPr>
              <w:pStyle w:val="Style_2"/>
              <w:ind/>
              <w:jc w:val="center"/>
              <w:rPr>
                <w:sz w:val="24"/>
              </w:rPr>
            </w:pPr>
            <w:r>
              <w:rPr>
                <w:sz w:val="24"/>
              </w:rPr>
              <w:t xml:space="preserve">1.6 </w:t>
            </w:r>
          </w:p>
        </w:tc>
        <w:tc>
          <w:tcPr>
            <w:tcW w:type="dxa" w:w="4393"/>
            <w:vAlign w:val="center"/>
          </w:tcPr>
          <w:p w14:paraId="C1020000">
            <w:pPr>
              <w:pStyle w:val="Style_2"/>
              <w:ind/>
              <w:jc w:val="both"/>
              <w:rPr>
                <w:sz w:val="24"/>
              </w:rPr>
            </w:pPr>
            <w:r>
              <w:rPr>
                <w:sz w:val="24"/>
              </w:rPr>
              <w:t xml:space="preserve">     </w:t>
            </w:r>
            <w:r>
              <w:rPr>
                <w:sz w:val="24"/>
              </w:rPr>
              <w:t>Восстановление и формирование комиссий по защите прав потребителей в муниципальных образованиях Республики Саха (Якутия).</w:t>
            </w:r>
          </w:p>
        </w:tc>
        <w:tc>
          <w:tcPr>
            <w:tcW w:type="dxa" w:w="1564"/>
            <w:vAlign w:val="center"/>
          </w:tcPr>
          <w:p w14:paraId="C2020000">
            <w:pPr>
              <w:pStyle w:val="Style_2"/>
              <w:ind/>
              <w:jc w:val="center"/>
              <w:rPr>
                <w:sz w:val="24"/>
              </w:rPr>
            </w:pPr>
            <w:r>
              <w:rPr>
                <w:sz w:val="24"/>
              </w:rPr>
              <w:t>2026-2030 годы</w:t>
            </w:r>
          </w:p>
        </w:tc>
        <w:tc>
          <w:tcPr>
            <w:tcW w:type="dxa" w:w="3894"/>
            <w:vAlign w:val="center"/>
          </w:tcPr>
          <w:p w14:paraId="C3020000">
            <w:pPr>
              <w:pStyle w:val="Style_2"/>
              <w:ind/>
              <w:jc w:val="center"/>
              <w:rPr>
                <w:sz w:val="24"/>
              </w:rPr>
            </w:pPr>
            <w:r>
              <w:rPr>
                <w:sz w:val="24"/>
              </w:rPr>
              <w:t>Органы местного самоупра</w:t>
            </w:r>
            <w:r>
              <w:rPr>
                <w:sz w:val="24"/>
              </w:rPr>
              <w:t>вления Республики Саха (Якутия)</w:t>
            </w:r>
          </w:p>
          <w:p w14:paraId="C4020000">
            <w:pPr>
              <w:pStyle w:val="Style_2"/>
              <w:ind/>
              <w:jc w:val="center"/>
              <w:rPr>
                <w:sz w:val="24"/>
              </w:rPr>
            </w:pPr>
            <w:r>
              <w:rPr>
                <w:sz w:val="24"/>
              </w:rPr>
              <w:t>Общественные организации по защите прав</w:t>
            </w:r>
            <w:r>
              <w:rPr>
                <w:sz w:val="24"/>
              </w:rPr>
              <w:t xml:space="preserve"> потребителей (по согласованию).</w:t>
            </w:r>
          </w:p>
        </w:tc>
        <w:tc>
          <w:tcPr>
            <w:tcW w:type="dxa" w:w="4042"/>
            <w:vAlign w:val="center"/>
          </w:tcPr>
          <w:p w14:paraId="C5020000">
            <w:pPr>
              <w:pStyle w:val="Style_2"/>
              <w:ind/>
              <w:jc w:val="both"/>
              <w:rPr>
                <w:sz w:val="24"/>
              </w:rPr>
            </w:pPr>
            <w:r>
              <w:rPr>
                <w:sz w:val="24"/>
              </w:rPr>
              <w:t xml:space="preserve">     </w:t>
            </w:r>
            <w:r>
              <w:rPr>
                <w:sz w:val="24"/>
              </w:rPr>
              <w:t>Повышение активности и эффективности деятельности органов местного самоуправления в части информирования и консультирования граждан и субъектов предпринимательской деятельности относительно механизмов защиты прав потребителей и соблюдения законности в сфере предпринимательства.</w:t>
            </w:r>
          </w:p>
          <w:p w14:paraId="C6020000">
            <w:pPr>
              <w:pStyle w:val="Style_2"/>
              <w:ind w:firstLine="391"/>
              <w:jc w:val="both"/>
              <w:rPr>
                <w:sz w:val="24"/>
              </w:rPr>
            </w:pPr>
            <w:r>
              <w:rPr>
                <w:sz w:val="24"/>
              </w:rPr>
              <w:t>Существенное улучшение доступности информации о правах потребителей и установленных законодательством Российской Федерации механизмах их реализации и защиты.</w:t>
            </w:r>
          </w:p>
        </w:tc>
      </w:tr>
      <w:tr>
        <w:trPr>
          <w:trHeight w:hRule="atLeast" w:val="3697"/>
        </w:trPr>
        <w:tc>
          <w:tcPr>
            <w:tcW w:type="dxa" w:w="674"/>
            <w:vAlign w:val="center"/>
          </w:tcPr>
          <w:p w14:paraId="C7020000">
            <w:pPr>
              <w:pStyle w:val="Style_2"/>
              <w:ind/>
              <w:jc w:val="center"/>
              <w:rPr>
                <w:sz w:val="24"/>
              </w:rPr>
            </w:pPr>
            <w:r>
              <w:rPr>
                <w:sz w:val="24"/>
              </w:rPr>
              <w:t>1.7</w:t>
            </w:r>
          </w:p>
        </w:tc>
        <w:tc>
          <w:tcPr>
            <w:tcW w:type="dxa" w:w="4393"/>
            <w:vAlign w:val="center"/>
          </w:tcPr>
          <w:p w14:paraId="C8020000">
            <w:pPr>
              <w:pStyle w:val="Style_2"/>
              <w:ind/>
              <w:jc w:val="both"/>
              <w:rPr>
                <w:sz w:val="24"/>
              </w:rPr>
            </w:pPr>
            <w:r>
              <w:rPr>
                <w:sz w:val="24"/>
              </w:rPr>
              <w:t xml:space="preserve">     </w:t>
            </w:r>
            <w:r>
              <w:rPr>
                <w:sz w:val="24"/>
              </w:rPr>
              <w:t>Активизация волонтерского движения для широкого распространения знаний в сфере защиты прав потребителей.</w:t>
            </w:r>
          </w:p>
        </w:tc>
        <w:tc>
          <w:tcPr>
            <w:tcW w:type="dxa" w:w="1564"/>
            <w:vAlign w:val="center"/>
          </w:tcPr>
          <w:p w14:paraId="C9020000">
            <w:pPr>
              <w:pStyle w:val="Style_2"/>
              <w:ind/>
              <w:jc w:val="center"/>
              <w:rPr>
                <w:sz w:val="24"/>
              </w:rPr>
            </w:pPr>
            <w:r>
              <w:rPr>
                <w:sz w:val="24"/>
              </w:rPr>
              <w:t>2026-2030 годы</w:t>
            </w:r>
          </w:p>
        </w:tc>
        <w:tc>
          <w:tcPr>
            <w:tcW w:type="dxa" w:w="3894"/>
            <w:vAlign w:val="center"/>
          </w:tcPr>
          <w:p w14:paraId="CA020000">
            <w:pPr>
              <w:pStyle w:val="Style_2"/>
              <w:ind/>
              <w:jc w:val="center"/>
              <w:rPr>
                <w:sz w:val="24"/>
              </w:rPr>
            </w:pPr>
            <w:r>
              <w:rPr>
                <w:sz w:val="24"/>
              </w:rPr>
              <w:t>Органы местного самоупра</w:t>
            </w:r>
            <w:r>
              <w:rPr>
                <w:sz w:val="24"/>
              </w:rPr>
              <w:t>вления Республики Саха (Якутия);</w:t>
            </w:r>
          </w:p>
          <w:p w14:paraId="CB020000">
            <w:pPr>
              <w:pStyle w:val="Style_2"/>
              <w:ind/>
              <w:jc w:val="center"/>
              <w:rPr>
                <w:sz w:val="24"/>
              </w:rPr>
            </w:pPr>
            <w:r>
              <w:rPr>
                <w:sz w:val="24"/>
              </w:rPr>
              <w:t>Министерство предпринимательства, торговли и туризма Республики Саха (Якутия);</w:t>
            </w:r>
          </w:p>
          <w:p w14:paraId="CC020000">
            <w:pPr>
              <w:pStyle w:val="Style_2"/>
              <w:ind/>
              <w:jc w:val="center"/>
              <w:rPr>
                <w:sz w:val="24"/>
              </w:rPr>
            </w:pPr>
            <w:r>
              <w:rPr>
                <w:sz w:val="24"/>
              </w:rPr>
              <w:t>Министерство образования и науки Республики Саха (Якутия);</w:t>
            </w:r>
          </w:p>
          <w:p w14:paraId="CD020000">
            <w:pPr>
              <w:pStyle w:val="Style_2"/>
              <w:ind/>
              <w:jc w:val="center"/>
              <w:rPr>
                <w:sz w:val="24"/>
              </w:rPr>
            </w:pPr>
            <w:r>
              <w:rPr>
                <w:sz w:val="24"/>
              </w:rPr>
              <w:t>Министерство по физической культуре и спорту Республики Саха (Якутия);</w:t>
            </w:r>
          </w:p>
          <w:p w14:paraId="CE020000">
            <w:pPr>
              <w:pStyle w:val="Style_2"/>
              <w:ind/>
              <w:jc w:val="center"/>
              <w:rPr>
                <w:sz w:val="24"/>
              </w:rPr>
            </w:pPr>
            <w:r>
              <w:rPr>
                <w:sz w:val="24"/>
              </w:rPr>
              <w:t xml:space="preserve">Учреждения среднего профессионального и высшего образования </w:t>
            </w:r>
            <w:r>
              <w:rPr>
                <w:sz w:val="24"/>
              </w:rPr>
              <w:t>(по согласованию)</w:t>
            </w:r>
            <w:r>
              <w:rPr>
                <w:sz w:val="24"/>
              </w:rPr>
              <w:t>;</w:t>
            </w:r>
          </w:p>
          <w:p w14:paraId="CF020000">
            <w:pPr>
              <w:pStyle w:val="Style_2"/>
              <w:ind/>
              <w:jc w:val="center"/>
              <w:rPr>
                <w:sz w:val="24"/>
              </w:rPr>
            </w:pPr>
            <w:r>
              <w:rPr>
                <w:sz w:val="24"/>
              </w:rPr>
              <w:t>Общественные организации по защите прав</w:t>
            </w:r>
            <w:r>
              <w:rPr>
                <w:sz w:val="24"/>
              </w:rPr>
              <w:t xml:space="preserve"> потребителей (по согласованию);</w:t>
            </w:r>
          </w:p>
          <w:p w14:paraId="D002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tc>
        <w:tc>
          <w:tcPr>
            <w:tcW w:type="dxa" w:w="4042"/>
            <w:vAlign w:val="center"/>
          </w:tcPr>
          <w:p w14:paraId="D1020000">
            <w:pPr>
              <w:pStyle w:val="Style_2"/>
              <w:ind/>
              <w:jc w:val="both"/>
              <w:rPr>
                <w:sz w:val="24"/>
              </w:rPr>
            </w:pPr>
            <w:r>
              <w:rPr>
                <w:sz w:val="24"/>
              </w:rPr>
              <w:t xml:space="preserve">     </w:t>
            </w:r>
            <w:r>
              <w:rPr>
                <w:sz w:val="24"/>
              </w:rPr>
              <w:t>Комплексное повышение правовой культуры граждан посредством увеличения числа информационно-просветительских мероприятий. Данные мероприятия будут направлены на углубленное информирование потребителей и стимулирование их активного вовлечения в реализацию программы.</w:t>
            </w:r>
          </w:p>
        </w:tc>
      </w:tr>
      <w:tr>
        <w:tc>
          <w:tcPr>
            <w:tcW w:type="dxa" w:w="674"/>
            <w:vAlign w:val="center"/>
          </w:tcPr>
          <w:p w14:paraId="D2020000">
            <w:pPr>
              <w:pStyle w:val="Style_2"/>
              <w:ind/>
              <w:jc w:val="center"/>
              <w:rPr>
                <w:sz w:val="24"/>
              </w:rPr>
            </w:pPr>
            <w:r>
              <w:rPr>
                <w:sz w:val="24"/>
              </w:rPr>
              <w:t>1.8</w:t>
            </w:r>
          </w:p>
        </w:tc>
        <w:tc>
          <w:tcPr>
            <w:tcW w:type="dxa" w:w="4393"/>
            <w:vAlign w:val="center"/>
          </w:tcPr>
          <w:p w14:paraId="D3020000">
            <w:pPr>
              <w:pStyle w:val="Style_6"/>
              <w:tabs>
                <w:tab w:leader="none" w:pos="1030" w:val="left"/>
                <w:tab w:leader="none" w:pos="1606" w:val="left"/>
                <w:tab w:leader="none" w:pos="2233" w:val="left"/>
                <w:tab w:leader="none" w:pos="2655" w:val="left"/>
                <w:tab w:leader="none" w:pos="2764" w:val="left"/>
              </w:tabs>
              <w:ind w:right="95"/>
              <w:jc w:val="both"/>
              <w:rPr>
                <w:sz w:val="24"/>
              </w:rPr>
            </w:pPr>
            <w:r>
              <w:rPr>
                <w:spacing w:val="-2"/>
                <w:sz w:val="24"/>
              </w:rPr>
              <w:t xml:space="preserve">     </w:t>
            </w:r>
            <w:r>
              <w:rPr>
                <w:sz w:val="24"/>
              </w:rPr>
              <w:t>Досудебное урегулирование потребительских споров.</w:t>
            </w:r>
          </w:p>
        </w:tc>
        <w:tc>
          <w:tcPr>
            <w:tcW w:type="dxa" w:w="1564"/>
            <w:vAlign w:val="center"/>
          </w:tcPr>
          <w:p w14:paraId="D4020000">
            <w:pPr>
              <w:pStyle w:val="Style_6"/>
              <w:ind w:left="11" w:right="2"/>
              <w:jc w:val="center"/>
              <w:rPr>
                <w:sz w:val="24"/>
              </w:rPr>
            </w:pPr>
            <w:r>
              <w:rPr>
                <w:sz w:val="24"/>
              </w:rPr>
              <w:t>2026-2030 годы</w:t>
            </w:r>
          </w:p>
        </w:tc>
        <w:tc>
          <w:tcPr>
            <w:tcW w:type="dxa" w:w="3894"/>
            <w:vAlign w:val="center"/>
          </w:tcPr>
          <w:p w14:paraId="D5020000">
            <w:pPr>
              <w:pStyle w:val="Style_6"/>
              <w:tabs>
                <w:tab w:leader="none" w:pos="2358" w:val="left"/>
              </w:tabs>
              <w:ind w:firstLine="10" w:left="108" w:right="95"/>
              <w:jc w:val="center"/>
              <w:rPr>
                <w:spacing w:val="-2"/>
                <w:sz w:val="24"/>
              </w:rPr>
            </w:pPr>
            <w:r>
              <w:rPr>
                <w:spacing w:val="-2"/>
                <w:sz w:val="24"/>
              </w:rPr>
              <w:t>Органы местного самоуправления Республики Саха (Якутия);</w:t>
            </w:r>
          </w:p>
          <w:p w14:paraId="D6020000">
            <w:pPr>
              <w:pStyle w:val="Style_6"/>
              <w:tabs>
                <w:tab w:leader="none" w:pos="2358" w:val="left"/>
              </w:tabs>
              <w:ind w:firstLine="10" w:left="108" w:right="95"/>
              <w:jc w:val="center"/>
              <w:rPr>
                <w:sz w:val="24"/>
              </w:rPr>
            </w:pPr>
            <w:r>
              <w:rPr>
                <w:spacing w:val="-2"/>
                <w:sz w:val="24"/>
              </w:rPr>
              <w:t>Управление Роспотребнадзора по РС(Я)) (по согласованию)</w:t>
            </w:r>
            <w:r>
              <w:rPr>
                <w:spacing w:val="-2"/>
                <w:sz w:val="24"/>
              </w:rPr>
              <w:t>.</w:t>
            </w:r>
          </w:p>
        </w:tc>
        <w:tc>
          <w:tcPr>
            <w:tcW w:type="dxa" w:w="4042"/>
            <w:vAlign w:val="center"/>
          </w:tcPr>
          <w:p w14:paraId="D7020000">
            <w:pPr>
              <w:pStyle w:val="Style_6"/>
              <w:tabs>
                <w:tab w:leader="none" w:pos="1395" w:val="left"/>
                <w:tab w:leader="none" w:pos="2339" w:val="left"/>
              </w:tabs>
              <w:ind w:firstLine="10" w:left="108" w:right="95"/>
              <w:jc w:val="both"/>
              <w:rPr>
                <w:spacing w:val="-2"/>
                <w:sz w:val="24"/>
              </w:rPr>
            </w:pPr>
            <w:r>
              <w:rPr>
                <w:spacing w:val="-2"/>
                <w:sz w:val="24"/>
              </w:rPr>
              <w:t xml:space="preserve">     </w:t>
            </w:r>
            <w:r>
              <w:rPr>
                <w:spacing w:val="-2"/>
                <w:sz w:val="24"/>
              </w:rPr>
              <w:t>Существенное повышение уровня защиты прав потребителей от недобросовестных действий продавцов, производителей товаров, исполнителей работ и услуг. Ожидается статистически значимое увеличение числа случаев добровольного удовлетворения законных требований потребителей, в том числе посредством применения процедуры медиации. Будет реализован комплекс мер, направленных на превентивное снижение нарушений прав потребителей и обязательных требований при</w:t>
            </w:r>
            <w:r>
              <w:rPr>
                <w:spacing w:val="-2"/>
                <w:sz w:val="24"/>
              </w:rPr>
              <w:t xml:space="preserve"> обороте маркированных товаров.</w:t>
            </w:r>
          </w:p>
          <w:p w14:paraId="D8020000">
            <w:pPr>
              <w:pStyle w:val="Style_6"/>
              <w:tabs>
                <w:tab w:leader="none" w:pos="1395" w:val="left"/>
                <w:tab w:leader="none" w:pos="2339" w:val="left"/>
              </w:tabs>
              <w:ind w:firstLine="425" w:left="108" w:right="95"/>
              <w:jc w:val="both"/>
              <w:rPr>
                <w:sz w:val="24"/>
              </w:rPr>
            </w:pPr>
            <w:r>
              <w:rPr>
                <w:spacing w:val="-2"/>
                <w:sz w:val="24"/>
              </w:rPr>
              <w:t>Дополнительным ожидаемым результатом является сокращение количества нарушений законодательства в сфере потребительского рынка.</w:t>
            </w:r>
          </w:p>
        </w:tc>
      </w:tr>
      <w:tr>
        <w:tc>
          <w:tcPr>
            <w:tcW w:type="dxa" w:w="674"/>
            <w:vAlign w:val="center"/>
          </w:tcPr>
          <w:p w14:paraId="D9020000">
            <w:pPr>
              <w:pStyle w:val="Style_2"/>
              <w:ind/>
              <w:jc w:val="center"/>
              <w:rPr>
                <w:sz w:val="24"/>
              </w:rPr>
            </w:pPr>
            <w:r>
              <w:rPr>
                <w:sz w:val="24"/>
              </w:rPr>
              <w:t>1.9</w:t>
            </w:r>
          </w:p>
        </w:tc>
        <w:tc>
          <w:tcPr>
            <w:tcW w:type="dxa" w:w="4393"/>
            <w:vAlign w:val="center"/>
          </w:tcPr>
          <w:p w14:paraId="DA020000">
            <w:pPr>
              <w:pStyle w:val="Style_2"/>
              <w:ind/>
              <w:jc w:val="both"/>
              <w:rPr>
                <w:sz w:val="24"/>
              </w:rPr>
            </w:pPr>
            <w:r>
              <w:rPr>
                <w:sz w:val="24"/>
              </w:rPr>
              <w:t xml:space="preserve">     </w:t>
            </w:r>
            <w:r>
              <w:rPr>
                <w:sz w:val="24"/>
              </w:rPr>
              <w:t>Обеспечение соблюдения законодательства Российской Федерации о государственном языке Российской Федерации в части использования русского языка в информации, предназначенной для потребителей товаров, работ и услуг.</w:t>
            </w:r>
          </w:p>
        </w:tc>
        <w:tc>
          <w:tcPr>
            <w:tcW w:type="dxa" w:w="1564"/>
            <w:vAlign w:val="center"/>
          </w:tcPr>
          <w:p w14:paraId="DB020000">
            <w:pPr>
              <w:pStyle w:val="Style_2"/>
              <w:ind/>
              <w:jc w:val="center"/>
              <w:rPr>
                <w:sz w:val="24"/>
              </w:rPr>
            </w:pPr>
            <w:r>
              <w:rPr>
                <w:sz w:val="24"/>
              </w:rPr>
              <w:t>2026-2030 годы</w:t>
            </w:r>
          </w:p>
        </w:tc>
        <w:tc>
          <w:tcPr>
            <w:tcW w:type="dxa" w:w="3894"/>
            <w:vAlign w:val="center"/>
          </w:tcPr>
          <w:p w14:paraId="DC020000">
            <w:pPr>
              <w:pStyle w:val="Style_2"/>
              <w:ind/>
              <w:jc w:val="center"/>
              <w:rPr>
                <w:sz w:val="24"/>
              </w:rPr>
            </w:pPr>
            <w:r>
              <w:rPr>
                <w:sz w:val="24"/>
              </w:rPr>
              <w:t>Органы местного самоуправления Республики Саха (Якутия);</w:t>
            </w:r>
          </w:p>
          <w:p w14:paraId="DD020000">
            <w:pPr>
              <w:pStyle w:val="Style_2"/>
              <w:ind/>
              <w:jc w:val="center"/>
              <w:rPr>
                <w:sz w:val="24"/>
              </w:rPr>
            </w:pPr>
            <w:r>
              <w:rPr>
                <w:sz w:val="24"/>
              </w:rPr>
              <w:t>Министерство предпринимательства, торговли и туризма Республики Саха (Якутия);</w:t>
            </w:r>
          </w:p>
          <w:p w14:paraId="DE020000">
            <w:pPr>
              <w:pStyle w:val="Style_2"/>
              <w:ind/>
              <w:jc w:val="center"/>
              <w:rPr>
                <w:sz w:val="24"/>
              </w:rPr>
            </w:pPr>
            <w:r>
              <w:rPr>
                <w:sz w:val="24"/>
              </w:rPr>
              <w:t>Союз "Торгово-промышленная палата Республики Саха (Якутия)" (по согласованию)</w:t>
            </w:r>
            <w:r>
              <w:rPr>
                <w:sz w:val="24"/>
              </w:rPr>
              <w:t>;</w:t>
            </w:r>
          </w:p>
          <w:p w14:paraId="DF020000">
            <w:pPr>
              <w:pStyle w:val="Style_2"/>
              <w:ind/>
              <w:jc w:val="center"/>
              <w:rPr>
                <w:sz w:val="24"/>
              </w:rPr>
            </w:pPr>
            <w:r>
              <w:rPr>
                <w:sz w:val="24"/>
              </w:rPr>
              <w:t>Управление Роспотребнадзора по РС(Я)) (по согласованию)</w:t>
            </w:r>
            <w:r>
              <w:rPr>
                <w:sz w:val="24"/>
              </w:rPr>
              <w:t>;</w:t>
            </w:r>
          </w:p>
          <w:p w14:paraId="E0020000">
            <w:pPr>
              <w:pStyle w:val="Style_2"/>
              <w:ind/>
              <w:jc w:val="center"/>
              <w:rPr>
                <w:sz w:val="24"/>
              </w:rPr>
            </w:pPr>
            <w:r>
              <w:rPr>
                <w:sz w:val="24"/>
              </w:rPr>
              <w:t>Общественные организации по защите прав</w:t>
            </w:r>
            <w:r>
              <w:rPr>
                <w:sz w:val="24"/>
              </w:rPr>
              <w:t xml:space="preserve"> потребителей (по согласованию).</w:t>
            </w:r>
          </w:p>
        </w:tc>
        <w:tc>
          <w:tcPr>
            <w:tcW w:type="dxa" w:w="4042"/>
            <w:vAlign w:val="center"/>
          </w:tcPr>
          <w:p w14:paraId="E1020000">
            <w:pPr>
              <w:pStyle w:val="Style_2"/>
              <w:ind w:firstLine="533"/>
              <w:jc w:val="both"/>
              <w:rPr>
                <w:sz w:val="24"/>
              </w:rPr>
            </w:pPr>
            <w:r>
              <w:rPr>
                <w:sz w:val="24"/>
              </w:rPr>
              <w:t>Значительное сокращение употребления заимствованных слов, в частности англицизмов, в публичном информационном пространстве на территории Республики Саха (Якутия).</w:t>
            </w:r>
          </w:p>
          <w:p w14:paraId="E2020000">
            <w:pPr>
              <w:pStyle w:val="Style_2"/>
              <w:ind w:firstLine="533"/>
              <w:jc w:val="both"/>
              <w:rPr>
                <w:sz w:val="24"/>
              </w:rPr>
            </w:pPr>
            <w:r>
              <w:rPr>
                <w:sz w:val="24"/>
              </w:rPr>
              <w:t xml:space="preserve">Гарантированное обеспечение права потребителей на получение полной и достоверной информации о приобретаемых товарах, выполняемых работах и предоставляемых услугах на государственном языке Российской </w:t>
            </w:r>
            <w:r>
              <w:rPr>
                <w:sz w:val="24"/>
              </w:rPr>
              <w:t>Федерации.</w:t>
            </w:r>
            <w:r>
              <w:rPr>
                <w:sz w:val="24"/>
              </w:rPr>
              <w:t xml:space="preserve">   </w:t>
            </w:r>
            <w:r>
              <w:rPr>
                <w:sz w:val="24"/>
              </w:rPr>
              <w:t xml:space="preserve">  </w:t>
            </w:r>
          </w:p>
        </w:tc>
      </w:tr>
      <w:tr>
        <w:tc>
          <w:tcPr>
            <w:tcW w:type="dxa" w:w="674"/>
            <w:vAlign w:val="center"/>
          </w:tcPr>
          <w:p w14:paraId="E3020000">
            <w:pPr>
              <w:pStyle w:val="Style_2"/>
              <w:ind/>
              <w:jc w:val="center"/>
              <w:rPr>
                <w:sz w:val="24"/>
              </w:rPr>
            </w:pPr>
            <w:r>
              <w:rPr>
                <w:sz w:val="24"/>
              </w:rPr>
              <w:t xml:space="preserve">1.10 </w:t>
            </w:r>
          </w:p>
        </w:tc>
        <w:tc>
          <w:tcPr>
            <w:tcW w:type="dxa" w:w="4393"/>
            <w:vAlign w:val="center"/>
          </w:tcPr>
          <w:p w14:paraId="E4020000">
            <w:pPr>
              <w:pStyle w:val="Style_2"/>
              <w:ind w:firstLine="459"/>
              <w:jc w:val="both"/>
              <w:rPr>
                <w:sz w:val="24"/>
              </w:rPr>
            </w:pPr>
            <w:r>
              <w:rPr>
                <w:sz w:val="24"/>
              </w:rPr>
              <w:t>Осуществление независимой экспертизы товаров и услуг на предмет их соответствия действующим нормативным правовым актам в контексте предоставления правовой помощи, с особым вниманием к нуждам социально уязвимых групп населения.</w:t>
            </w:r>
          </w:p>
        </w:tc>
        <w:tc>
          <w:tcPr>
            <w:tcW w:type="dxa" w:w="1564"/>
            <w:vAlign w:val="center"/>
          </w:tcPr>
          <w:p w14:paraId="E5020000">
            <w:pPr>
              <w:pStyle w:val="Style_2"/>
              <w:ind/>
              <w:jc w:val="center"/>
              <w:rPr>
                <w:b w:val="1"/>
                <w:sz w:val="24"/>
              </w:rPr>
            </w:pPr>
            <w:r>
              <w:rPr>
                <w:sz w:val="24"/>
              </w:rPr>
              <w:t>2026-2030 годы</w:t>
            </w:r>
          </w:p>
        </w:tc>
        <w:tc>
          <w:tcPr>
            <w:tcW w:type="dxa" w:w="3894"/>
            <w:vAlign w:val="center"/>
          </w:tcPr>
          <w:p w14:paraId="E6020000">
            <w:pPr>
              <w:pStyle w:val="Style_2"/>
              <w:ind/>
              <w:jc w:val="center"/>
              <w:rPr>
                <w:sz w:val="24"/>
              </w:rPr>
            </w:pPr>
            <w:r>
              <w:rPr>
                <w:sz w:val="24"/>
              </w:rPr>
              <w:t>Союз "Торгово-промышленная палата Республики Саха (Якутия)" (по согласованию);</w:t>
            </w:r>
          </w:p>
          <w:p w14:paraId="E7020000">
            <w:pPr>
              <w:pStyle w:val="Style_2"/>
              <w:ind/>
              <w:jc w:val="center"/>
              <w:rPr>
                <w:sz w:val="24"/>
              </w:rPr>
            </w:pPr>
            <w:r>
              <w:rPr>
                <w:sz w:val="24"/>
              </w:rPr>
              <w:t>АНО «</w:t>
            </w:r>
            <w:r>
              <w:rPr>
                <w:sz w:val="24"/>
              </w:rPr>
              <w:t>Союзэкпертиза</w:t>
            </w:r>
            <w:r>
              <w:rPr>
                <w:sz w:val="24"/>
              </w:rPr>
              <w:t>»</w:t>
            </w:r>
          </w:p>
          <w:p w14:paraId="E8020000">
            <w:pPr>
              <w:pStyle w:val="Style_2"/>
              <w:ind/>
              <w:jc w:val="center"/>
              <w:rPr>
                <w:sz w:val="24"/>
              </w:rPr>
            </w:pPr>
            <w:r>
              <w:rPr>
                <w:sz w:val="24"/>
              </w:rPr>
              <w:t xml:space="preserve">Торгово-промышленной палаты Республики Саха (Якутия) </w:t>
            </w:r>
          </w:p>
          <w:p w14:paraId="E9020000">
            <w:pPr>
              <w:pStyle w:val="Style_2"/>
              <w:ind/>
              <w:jc w:val="center"/>
              <w:rPr>
                <w:sz w:val="24"/>
              </w:rPr>
            </w:pPr>
            <w:r>
              <w:rPr>
                <w:sz w:val="24"/>
              </w:rPr>
              <w:t>(</w:t>
            </w:r>
            <w:r>
              <w:rPr>
                <w:sz w:val="24"/>
              </w:rPr>
              <w:t>по</w:t>
            </w:r>
            <w:r>
              <w:rPr>
                <w:sz w:val="24"/>
              </w:rPr>
              <w:t xml:space="preserve"> согласованию); </w:t>
            </w:r>
          </w:p>
          <w:p w14:paraId="EA020000">
            <w:pPr>
              <w:pStyle w:val="Style_2"/>
              <w:ind/>
              <w:jc w:val="center"/>
              <w:rPr>
                <w:sz w:val="24"/>
              </w:rPr>
            </w:pPr>
            <w:r>
              <w:rPr>
                <w:sz w:val="24"/>
              </w:rPr>
              <w:t>Федеральное бюджетное учреждение «Государственный региональный центр стандартизации, метрологии и испытаний в Республике Саха (Якутия) (по согласованию);</w:t>
            </w:r>
          </w:p>
          <w:p w14:paraId="EB020000">
            <w:pPr>
              <w:pStyle w:val="Style_2"/>
              <w:ind/>
              <w:jc w:val="center"/>
              <w:rPr>
                <w:b w:val="1"/>
                <w:sz w:val="24"/>
              </w:rPr>
            </w:pPr>
            <w:r>
              <w:rPr>
                <w:sz w:val="24"/>
              </w:rPr>
              <w:t>Общественные организации по защите прав</w:t>
            </w:r>
            <w:r>
              <w:rPr>
                <w:sz w:val="24"/>
              </w:rPr>
              <w:tab/>
            </w:r>
            <w:r>
              <w:rPr>
                <w:sz w:val="24"/>
              </w:rPr>
              <w:t xml:space="preserve">потребителей      </w:t>
            </w:r>
            <w:r>
              <w:rPr>
                <w:sz w:val="24"/>
              </w:rPr>
              <w:t xml:space="preserve">   (</w:t>
            </w:r>
            <w:r>
              <w:rPr>
                <w:sz w:val="24"/>
              </w:rPr>
              <w:t>по согласованию).</w:t>
            </w:r>
          </w:p>
        </w:tc>
        <w:tc>
          <w:tcPr>
            <w:tcW w:type="dxa" w:w="4042"/>
            <w:vAlign w:val="center"/>
          </w:tcPr>
          <w:p w14:paraId="EC020000">
            <w:pPr>
              <w:pStyle w:val="Style_2"/>
              <w:ind w:firstLine="533"/>
              <w:jc w:val="both"/>
              <w:rPr>
                <w:sz w:val="24"/>
              </w:rPr>
            </w:pPr>
            <w:r>
              <w:rPr>
                <w:sz w:val="24"/>
              </w:rPr>
              <w:t>Существенное повышение уровня правовой защищенности потребителей от недобросовестных действий, совершаемых продавцами, производителями и поставщиками услуг.</w:t>
            </w:r>
          </w:p>
        </w:tc>
      </w:tr>
      <w:tr>
        <w:tc>
          <w:tcPr>
            <w:tcW w:type="dxa" w:w="674"/>
            <w:vAlign w:val="center"/>
          </w:tcPr>
          <w:p w14:paraId="ED020000">
            <w:pPr>
              <w:pStyle w:val="Style_2"/>
              <w:ind/>
              <w:jc w:val="center"/>
              <w:rPr>
                <w:sz w:val="24"/>
              </w:rPr>
            </w:pPr>
            <w:r>
              <w:rPr>
                <w:sz w:val="24"/>
              </w:rPr>
              <w:t>1.11</w:t>
            </w:r>
          </w:p>
        </w:tc>
        <w:tc>
          <w:tcPr>
            <w:tcW w:type="dxa" w:w="4393"/>
            <w:vAlign w:val="center"/>
          </w:tcPr>
          <w:p w14:paraId="EE020000">
            <w:pPr>
              <w:pStyle w:val="Style_2"/>
              <w:ind/>
              <w:jc w:val="both"/>
              <w:rPr>
                <w:sz w:val="24"/>
              </w:rPr>
            </w:pPr>
            <w:r>
              <w:rPr>
                <w:sz w:val="24"/>
              </w:rPr>
              <w:t xml:space="preserve">     </w:t>
            </w:r>
            <w:r>
              <w:rPr>
                <w:sz w:val="24"/>
              </w:rPr>
              <w:t>Содействие общественным объединениям потребителей в осуществлении судебной защиты прав потребителей.</w:t>
            </w:r>
          </w:p>
          <w:p w14:paraId="EF020000">
            <w:pPr>
              <w:pStyle w:val="Style_2"/>
              <w:ind w:firstLine="743"/>
              <w:jc w:val="both"/>
              <w:rPr>
                <w:sz w:val="24"/>
              </w:rPr>
            </w:pPr>
            <w:r>
              <w:rPr>
                <w:sz w:val="24"/>
              </w:rPr>
              <w:t>Мероприятие направлено на оказание всесторонней поддержки общественным объединениям потребителей, включая оказание юридической помощи при подготовке и подаче исковых заявлений в суд. Особое внимание будет уделено защите прав и законных интересов неопределенного круга лиц, а также социально уязвимых групп населения.</w:t>
            </w:r>
          </w:p>
        </w:tc>
        <w:tc>
          <w:tcPr>
            <w:tcW w:type="dxa" w:w="1564"/>
            <w:vAlign w:val="center"/>
          </w:tcPr>
          <w:p w14:paraId="F0020000">
            <w:pPr>
              <w:pStyle w:val="Style_2"/>
              <w:ind/>
              <w:jc w:val="center"/>
              <w:rPr>
                <w:sz w:val="24"/>
              </w:rPr>
            </w:pPr>
            <w:r>
              <w:rPr>
                <w:sz w:val="24"/>
              </w:rPr>
              <w:t>2026-2030 годы</w:t>
            </w:r>
          </w:p>
        </w:tc>
        <w:tc>
          <w:tcPr>
            <w:tcW w:type="dxa" w:w="3894"/>
            <w:vAlign w:val="center"/>
          </w:tcPr>
          <w:p w14:paraId="F1020000">
            <w:pPr>
              <w:pStyle w:val="Style_2"/>
              <w:ind/>
              <w:jc w:val="center"/>
              <w:rPr>
                <w:sz w:val="24"/>
              </w:rPr>
            </w:pPr>
            <w:r>
              <w:rPr>
                <w:sz w:val="24"/>
              </w:rPr>
              <w:t xml:space="preserve">Органы </w:t>
            </w:r>
            <w:r>
              <w:rPr>
                <w:sz w:val="24"/>
              </w:rPr>
              <w:t>местного самоуправления Республики Саха (Якутия)</w:t>
            </w:r>
            <w:r>
              <w:rPr>
                <w:sz w:val="24"/>
              </w:rPr>
              <w:t>;</w:t>
            </w:r>
            <w:r>
              <w:rPr>
                <w:sz w:val="24"/>
              </w:rPr>
              <w:t xml:space="preserve"> </w:t>
            </w:r>
          </w:p>
          <w:p w14:paraId="F2020000">
            <w:pPr>
              <w:pStyle w:val="Style_2"/>
              <w:ind/>
              <w:jc w:val="center"/>
              <w:rPr>
                <w:sz w:val="24"/>
              </w:rPr>
            </w:pPr>
            <w:r>
              <w:rPr>
                <w:sz w:val="24"/>
              </w:rPr>
              <w:t xml:space="preserve">Управление Роспотребнадзора </w:t>
            </w:r>
            <w:r>
              <w:rPr>
                <w:sz w:val="24"/>
              </w:rPr>
              <w:t>по РС(Я) (по согласованию).</w:t>
            </w:r>
          </w:p>
        </w:tc>
        <w:tc>
          <w:tcPr>
            <w:tcW w:type="dxa" w:w="4042"/>
            <w:vAlign w:val="center"/>
          </w:tcPr>
          <w:p w14:paraId="F3020000">
            <w:pPr>
              <w:pStyle w:val="Style_2"/>
              <w:ind w:firstLine="533"/>
              <w:jc w:val="both"/>
              <w:rPr>
                <w:sz w:val="24"/>
              </w:rPr>
            </w:pPr>
            <w:r>
              <w:rPr>
                <w:sz w:val="24"/>
              </w:rPr>
              <w:t>Повышение уровня активности и результативности деятельности общественных организаций, специализирующихся на защите прав потребителей, что приведет к более эффективному отстаиванию интересов граждан в судебном порядке.</w:t>
            </w:r>
          </w:p>
        </w:tc>
      </w:tr>
      <w:tr>
        <w:tc>
          <w:tcPr>
            <w:tcW w:type="dxa" w:w="674"/>
            <w:vAlign w:val="center"/>
          </w:tcPr>
          <w:p w14:paraId="F4020000">
            <w:pPr>
              <w:pStyle w:val="Style_2"/>
              <w:ind/>
              <w:jc w:val="center"/>
              <w:rPr>
                <w:sz w:val="24"/>
              </w:rPr>
            </w:pPr>
            <w:r>
              <w:rPr>
                <w:sz w:val="24"/>
              </w:rPr>
              <w:t>1.12</w:t>
            </w:r>
          </w:p>
        </w:tc>
        <w:tc>
          <w:tcPr>
            <w:tcW w:type="dxa" w:w="4393"/>
            <w:vAlign w:val="center"/>
          </w:tcPr>
          <w:p w14:paraId="F5020000">
            <w:pPr>
              <w:pStyle w:val="Style_2"/>
              <w:ind/>
              <w:jc w:val="both"/>
              <w:rPr>
                <w:sz w:val="24"/>
              </w:rPr>
            </w:pPr>
            <w:r>
              <w:rPr>
                <w:sz w:val="24"/>
              </w:rPr>
              <w:t xml:space="preserve">     </w:t>
            </w:r>
            <w:r>
              <w:rPr>
                <w:sz w:val="24"/>
              </w:rPr>
              <w:t>Проведение информационно-просветительской, консультационной работы, организация и проведение семинаров, совещаний, круглых столов, осуществление контрольно-надзорных и иных мероприятий, направленных на повышение уровня осведомленности и соблюдения требований при обороте товаров, подлежащих обязательной маркировке средствами идентификации. Особое внимание при этом уделяется местным производителям, субъектам оптовой торговли и крупным сетевым торговым предприятиям.</w:t>
            </w:r>
          </w:p>
        </w:tc>
        <w:tc>
          <w:tcPr>
            <w:tcW w:type="dxa" w:w="1564"/>
            <w:vAlign w:val="center"/>
          </w:tcPr>
          <w:p w14:paraId="F6020000">
            <w:pPr>
              <w:pStyle w:val="Style_2"/>
              <w:ind/>
              <w:jc w:val="center"/>
              <w:rPr>
                <w:sz w:val="24"/>
              </w:rPr>
            </w:pPr>
            <w:r>
              <w:rPr>
                <w:sz w:val="24"/>
              </w:rPr>
              <w:t>2026-2030 годы</w:t>
            </w:r>
          </w:p>
        </w:tc>
        <w:tc>
          <w:tcPr>
            <w:tcW w:type="dxa" w:w="3894"/>
            <w:vAlign w:val="center"/>
          </w:tcPr>
          <w:p w14:paraId="F7020000">
            <w:pPr>
              <w:pStyle w:val="Style_2"/>
              <w:ind/>
              <w:jc w:val="center"/>
              <w:rPr>
                <w:sz w:val="24"/>
              </w:rPr>
            </w:pPr>
            <w:r>
              <w:rPr>
                <w:sz w:val="24"/>
              </w:rPr>
              <w:t>Министерство предпринимательства, торговли и туризма Республики Саха (Якутия);</w:t>
            </w:r>
          </w:p>
          <w:p w14:paraId="F8020000">
            <w:pPr>
              <w:pStyle w:val="Style_2"/>
              <w:ind/>
              <w:jc w:val="center"/>
              <w:rPr>
                <w:sz w:val="24"/>
              </w:rPr>
            </w:pPr>
            <w:r>
              <w:rPr>
                <w:sz w:val="24"/>
              </w:rPr>
              <w:t>Союз "Торгово-промышленная палата Республики Саха (Якутия)" (по согласованию);</w:t>
            </w:r>
          </w:p>
          <w:p w14:paraId="F9020000">
            <w:pPr>
              <w:pStyle w:val="Style_2"/>
              <w:ind/>
              <w:jc w:val="center"/>
              <w:rPr>
                <w:sz w:val="24"/>
              </w:rPr>
            </w:pPr>
            <w:r>
              <w:rPr>
                <w:sz w:val="24"/>
              </w:rPr>
              <w:t xml:space="preserve">Органы </w:t>
            </w:r>
            <w:r>
              <w:rPr>
                <w:sz w:val="24"/>
              </w:rPr>
              <w:t>местного самоуправления Республики Саха (Якутия)</w:t>
            </w:r>
            <w:r>
              <w:rPr>
                <w:sz w:val="24"/>
              </w:rPr>
              <w:t>;</w:t>
            </w:r>
            <w:r>
              <w:rPr>
                <w:sz w:val="24"/>
              </w:rPr>
              <w:t xml:space="preserve"> </w:t>
            </w:r>
          </w:p>
          <w:p w14:paraId="FA02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FB02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FC02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w:t>
            </w:r>
            <w:r>
              <w:rPr>
                <w:sz w:val="24"/>
              </w:rPr>
              <w:t>ласти и Республике Саха (Якутия</w:t>
            </w:r>
            <w:r>
              <w:rPr>
                <w:sz w:val="24"/>
              </w:rPr>
              <w:t>) (по согласованию);</w:t>
            </w:r>
          </w:p>
          <w:p w14:paraId="FD020000">
            <w:pPr>
              <w:pStyle w:val="Style_2"/>
              <w:ind/>
              <w:jc w:val="center"/>
              <w:rPr>
                <w:sz w:val="24"/>
              </w:rPr>
            </w:pPr>
            <w:r>
              <w:rPr>
                <w:sz w:val="24"/>
              </w:rPr>
              <w:t>УФНС России по Республике Саха (Якутия) (по согласованию);</w:t>
            </w:r>
          </w:p>
          <w:p w14:paraId="FE020000">
            <w:pPr>
              <w:pStyle w:val="Style_2"/>
              <w:ind/>
              <w:jc w:val="center"/>
              <w:rPr>
                <w:sz w:val="24"/>
              </w:rPr>
            </w:pPr>
            <w:r>
              <w:rPr>
                <w:sz w:val="24"/>
              </w:rPr>
              <w:t xml:space="preserve">Управление Роспотребнадзора </w:t>
            </w:r>
            <w:r>
              <w:rPr>
                <w:sz w:val="24"/>
              </w:rPr>
              <w:t>по РС(Я) (по согласованию)</w:t>
            </w:r>
            <w:r>
              <w:rPr>
                <w:sz w:val="24"/>
              </w:rPr>
              <w:t>;</w:t>
            </w:r>
          </w:p>
          <w:p w14:paraId="FF020000">
            <w:pPr>
              <w:pStyle w:val="Style_2"/>
              <w:ind/>
              <w:jc w:val="center"/>
              <w:rPr>
                <w:sz w:val="24"/>
              </w:rPr>
            </w:pPr>
            <w:r>
              <w:rPr>
                <w:sz w:val="24"/>
              </w:rPr>
              <w:t>Региональный центр поддержки маркировки «</w:t>
            </w:r>
            <w:r>
              <w:rPr>
                <w:sz w:val="24"/>
              </w:rPr>
              <w:t>Честный знак» (по согласованию).</w:t>
            </w:r>
          </w:p>
        </w:tc>
        <w:tc>
          <w:tcPr>
            <w:tcW w:type="dxa" w:w="4042"/>
            <w:vAlign w:val="center"/>
          </w:tcPr>
          <w:p w14:paraId="00030000">
            <w:pPr>
              <w:pStyle w:val="Style_2"/>
              <w:ind w:firstLine="533"/>
              <w:jc w:val="both"/>
              <w:rPr>
                <w:sz w:val="24"/>
              </w:rPr>
            </w:pPr>
            <w:r>
              <w:rPr>
                <w:sz w:val="24"/>
              </w:rPr>
              <w:t>Увеличение числа субъектов, зарегистрированных в Государственной информационной системе мониторинга за оборотом товаров, подлежащих обязательной маркировке средствами идентификации (ГИС МТ).</w:t>
            </w:r>
          </w:p>
          <w:p w14:paraId="01030000">
            <w:pPr>
              <w:pStyle w:val="Style_2"/>
              <w:ind w:firstLine="533"/>
              <w:jc w:val="both"/>
              <w:rPr>
                <w:sz w:val="24"/>
              </w:rPr>
            </w:pPr>
            <w:r>
              <w:rPr>
                <w:sz w:val="24"/>
              </w:rPr>
              <w:t>Повышение качества товаров, предлагаемых потребителям.</w:t>
            </w:r>
          </w:p>
          <w:p w14:paraId="02030000">
            <w:pPr>
              <w:pStyle w:val="Style_2"/>
              <w:ind w:firstLine="533"/>
              <w:jc w:val="both"/>
              <w:rPr>
                <w:sz w:val="24"/>
              </w:rPr>
            </w:pPr>
            <w:r>
              <w:rPr>
                <w:sz w:val="24"/>
              </w:rPr>
              <w:t>Сокращение числа нарушений правил маркировки отдельных видов товаров, подлежащих обязательной маркировке средствами идентификации.</w:t>
            </w:r>
          </w:p>
          <w:p w14:paraId="03030000">
            <w:pPr>
              <w:pStyle w:val="Style_2"/>
              <w:ind w:firstLine="533"/>
              <w:jc w:val="both"/>
              <w:rPr>
                <w:sz w:val="24"/>
              </w:rPr>
            </w:pPr>
            <w:r>
              <w:rPr>
                <w:sz w:val="24"/>
              </w:rPr>
              <w:t>Существенное уменьшение объемов оборота фальсифицированной, контрафактной и иной продукции, находящейся в нелегальном обороте на территории Республики Саха (Якутия).</w:t>
            </w:r>
          </w:p>
        </w:tc>
      </w:tr>
      <w:tr>
        <w:trPr>
          <w:trHeight w:hRule="atLeast" w:val="562"/>
        </w:trPr>
        <w:tc>
          <w:tcPr>
            <w:tcW w:type="dxa" w:w="14567"/>
            <w:gridSpan w:val="5"/>
            <w:vAlign w:val="center"/>
          </w:tcPr>
          <w:p w14:paraId="04030000">
            <w:pPr>
              <w:pStyle w:val="Style_2"/>
              <w:numPr>
                <w:ilvl w:val="0"/>
                <w:numId w:val="4"/>
              </w:numPr>
              <w:ind w:firstLine="0" w:left="0"/>
              <w:jc w:val="center"/>
              <w:rPr>
                <w:b w:val="1"/>
                <w:sz w:val="24"/>
              </w:rPr>
            </w:pPr>
            <w:r>
              <w:rPr>
                <w:b w:val="1"/>
                <w:sz w:val="24"/>
              </w:rPr>
              <w:t>Информационное обеспечение потребителей: просвещение и популяризация вопросов защиты прав потребителей для населения Республики Саха (Якутия).</w:t>
            </w:r>
          </w:p>
        </w:tc>
      </w:tr>
      <w:tr>
        <w:tc>
          <w:tcPr>
            <w:tcW w:type="dxa" w:w="6631"/>
            <w:gridSpan w:val="3"/>
            <w:vAlign w:val="center"/>
          </w:tcPr>
          <w:p w14:paraId="05030000">
            <w:pPr>
              <w:pStyle w:val="Style_2"/>
              <w:ind/>
              <w:jc w:val="center"/>
              <w:rPr>
                <w:sz w:val="24"/>
              </w:rPr>
            </w:pPr>
            <w:r>
              <w:rPr>
                <w:sz w:val="24"/>
              </w:rPr>
              <w:t>Краткое описание основного мероприятия</w:t>
            </w:r>
            <w:r>
              <w:rPr>
                <w:sz w:val="24"/>
              </w:rPr>
              <w:t>:</w:t>
            </w:r>
          </w:p>
        </w:tc>
        <w:tc>
          <w:tcPr>
            <w:tcW w:type="dxa" w:w="7936"/>
            <w:gridSpan w:val="2"/>
            <w:vAlign w:val="center"/>
          </w:tcPr>
          <w:p w14:paraId="06030000">
            <w:pPr>
              <w:pStyle w:val="Style_2"/>
              <w:ind w:firstLine="457"/>
              <w:jc w:val="both"/>
              <w:rPr>
                <w:sz w:val="24"/>
              </w:rPr>
            </w:pPr>
            <w:r>
              <w:rPr>
                <w:sz w:val="24"/>
              </w:rPr>
              <w:t>Основное мероприятие направлено на формирование у жителей Республики Саха (Якутия) навыков рационального потребительского поведения. Ключевыми задачами являются повышение уровня правосознания граждан и обеспечение равных возможностей свободного и бесплатного доступа к информационным ресурсам в сфере защиты прав потребителей.</w:t>
            </w:r>
          </w:p>
        </w:tc>
      </w:tr>
      <w:tr>
        <w:tc>
          <w:tcPr>
            <w:tcW w:type="dxa" w:w="674"/>
            <w:vAlign w:val="center"/>
          </w:tcPr>
          <w:p w14:paraId="07030000">
            <w:pPr>
              <w:pStyle w:val="Style_2"/>
              <w:ind/>
              <w:jc w:val="center"/>
              <w:rPr>
                <w:sz w:val="24"/>
              </w:rPr>
            </w:pPr>
            <w:r>
              <w:rPr>
                <w:sz w:val="24"/>
              </w:rPr>
              <w:t>2.1</w:t>
            </w:r>
          </w:p>
        </w:tc>
        <w:tc>
          <w:tcPr>
            <w:tcW w:type="dxa" w:w="4393"/>
            <w:vAlign w:val="center"/>
          </w:tcPr>
          <w:p w14:paraId="08030000">
            <w:pPr>
              <w:pStyle w:val="Style_2"/>
              <w:ind w:firstLine="460"/>
              <w:jc w:val="both"/>
              <w:rPr>
                <w:sz w:val="24"/>
              </w:rPr>
            </w:pPr>
            <w:r>
              <w:rPr>
                <w:sz w:val="24"/>
              </w:rPr>
              <w:t>Создание и разработка комплексных образовательных программ, включая курсы дистанционного обучения и интерактивные тематические компьютерные игры, посвященные вопросам защиты прав потребителей. Особое внимание будет уделено программам, адресованным социально уязвимым группам населения, а также педагогическому составу образовательных учреждений.</w:t>
            </w:r>
          </w:p>
        </w:tc>
        <w:tc>
          <w:tcPr>
            <w:tcW w:type="dxa" w:w="1564"/>
            <w:vAlign w:val="center"/>
          </w:tcPr>
          <w:p w14:paraId="09030000">
            <w:pPr>
              <w:ind/>
              <w:jc w:val="center"/>
            </w:pPr>
            <w:r>
              <w:t>2026-2030 годы</w:t>
            </w:r>
          </w:p>
        </w:tc>
        <w:tc>
          <w:tcPr>
            <w:tcW w:type="dxa" w:w="3894"/>
            <w:vAlign w:val="center"/>
          </w:tcPr>
          <w:p w14:paraId="0A030000">
            <w:pPr>
              <w:pStyle w:val="Style_2"/>
              <w:ind/>
              <w:jc w:val="center"/>
              <w:rPr>
                <w:sz w:val="24"/>
              </w:rPr>
            </w:pPr>
            <w:r>
              <w:rPr>
                <w:sz w:val="24"/>
              </w:rPr>
              <w:t>Министерство образования и науки Республики Саха (Якутия);</w:t>
            </w:r>
          </w:p>
          <w:p w14:paraId="0B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0C030000">
            <w:pPr>
              <w:pStyle w:val="Style_2"/>
              <w:ind/>
              <w:jc w:val="center"/>
              <w:rPr>
                <w:sz w:val="24"/>
              </w:rPr>
            </w:pPr>
            <w:r>
              <w:rPr>
                <w:sz w:val="24"/>
              </w:rPr>
              <w:t>Учреждения среднего профессионального и высшег</w:t>
            </w:r>
            <w:r>
              <w:rPr>
                <w:sz w:val="24"/>
              </w:rPr>
              <w:t>о образования (по согласованию)</w:t>
            </w:r>
          </w:p>
        </w:tc>
        <w:tc>
          <w:tcPr>
            <w:tcW w:type="dxa" w:w="4042"/>
            <w:vAlign w:val="center"/>
          </w:tcPr>
          <w:p w14:paraId="0D030000">
            <w:pPr>
              <w:pStyle w:val="Style_2"/>
              <w:ind w:firstLine="532"/>
              <w:jc w:val="both"/>
              <w:rPr>
                <w:sz w:val="24"/>
              </w:rPr>
            </w:pPr>
            <w:r>
              <w:rPr>
                <w:sz w:val="24"/>
              </w:rPr>
              <w:t>Значительное повышение уровня доступности и практической применимости инструментов защиты прав потребителей для широких слоев населения.</w:t>
            </w:r>
          </w:p>
        </w:tc>
      </w:tr>
      <w:tr>
        <w:tc>
          <w:tcPr>
            <w:tcW w:type="dxa" w:w="674"/>
            <w:vAlign w:val="center"/>
          </w:tcPr>
          <w:p w14:paraId="0E030000">
            <w:pPr>
              <w:pStyle w:val="Style_2"/>
              <w:ind/>
              <w:jc w:val="center"/>
              <w:rPr>
                <w:sz w:val="24"/>
              </w:rPr>
            </w:pPr>
            <w:r>
              <w:rPr>
                <w:sz w:val="24"/>
              </w:rPr>
              <w:t>2.2</w:t>
            </w:r>
          </w:p>
        </w:tc>
        <w:tc>
          <w:tcPr>
            <w:tcW w:type="dxa" w:w="4393"/>
            <w:vAlign w:val="center"/>
          </w:tcPr>
          <w:p w14:paraId="0F030000">
            <w:pPr>
              <w:pStyle w:val="Style_2"/>
              <w:ind w:firstLine="460"/>
              <w:jc w:val="both"/>
              <w:rPr>
                <w:sz w:val="24"/>
              </w:rPr>
            </w:pPr>
            <w:r>
              <w:rPr>
                <w:sz w:val="24"/>
              </w:rPr>
              <w:t>Организация и проведение открытых уроков и семинаров для учащихся и студентов, посвященных основам потребительских знаний, на базе образовательных организаций.</w:t>
            </w:r>
          </w:p>
        </w:tc>
        <w:tc>
          <w:tcPr>
            <w:tcW w:type="dxa" w:w="1564"/>
            <w:vAlign w:val="center"/>
          </w:tcPr>
          <w:p w14:paraId="10030000">
            <w:pPr>
              <w:ind/>
              <w:jc w:val="center"/>
            </w:pPr>
            <w:r>
              <w:t>2026-2030 годы</w:t>
            </w:r>
          </w:p>
        </w:tc>
        <w:tc>
          <w:tcPr>
            <w:tcW w:type="dxa" w:w="3894"/>
            <w:vAlign w:val="center"/>
          </w:tcPr>
          <w:p w14:paraId="11030000">
            <w:pPr>
              <w:pStyle w:val="Style_2"/>
              <w:ind/>
              <w:jc w:val="center"/>
              <w:rPr>
                <w:sz w:val="24"/>
              </w:rPr>
            </w:pPr>
            <w:r>
              <w:rPr>
                <w:sz w:val="24"/>
              </w:rPr>
              <w:t>Управление Роспотребнадзора по РС(Я)) (по согласованию);</w:t>
            </w:r>
          </w:p>
          <w:p w14:paraId="12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w:t>
            </w:r>
            <w:r>
              <w:rPr>
                <w:sz w:val="24"/>
              </w:rPr>
              <w:t>ласти и Республике Саха (Якутия</w:t>
            </w:r>
            <w:r>
              <w:rPr>
                <w:sz w:val="24"/>
              </w:rPr>
              <w:t>) (по согласованию);</w:t>
            </w:r>
          </w:p>
          <w:p w14:paraId="1303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14030000">
            <w:pPr>
              <w:pStyle w:val="Style_2"/>
              <w:ind/>
              <w:jc w:val="center"/>
              <w:rPr>
                <w:sz w:val="24"/>
              </w:rPr>
            </w:pPr>
            <w:r>
              <w:rPr>
                <w:sz w:val="24"/>
              </w:rPr>
              <w:t>Управление федеральной налоговой службы по Республике Саха (Якутия) (далее - УФНС России по Республике Саха (Якутия) (по согласованию)</w:t>
            </w:r>
            <w:r>
              <w:rPr>
                <w:sz w:val="24"/>
              </w:rPr>
              <w:t>;</w:t>
            </w:r>
          </w:p>
          <w:p w14:paraId="1503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w:t>
            </w:r>
            <w:r>
              <w:rPr>
                <w:sz w:val="24"/>
              </w:rPr>
              <w:t>;</w:t>
            </w:r>
          </w:p>
          <w:p w14:paraId="16030000">
            <w:pPr>
              <w:pStyle w:val="Style_2"/>
              <w:ind/>
              <w:jc w:val="center"/>
              <w:rPr>
                <w:sz w:val="24"/>
              </w:rPr>
            </w:pPr>
            <w:r>
              <w:rPr>
                <w:sz w:val="24"/>
              </w:rPr>
              <w:t>Отделение - Национальный банк по Республики Саха (Якутия) Дальневосточного главного управления Центрального банка Российской Федерации (по согласованию)</w:t>
            </w:r>
            <w:r>
              <w:rPr>
                <w:sz w:val="24"/>
              </w:rPr>
              <w:t>;</w:t>
            </w:r>
          </w:p>
          <w:p w14:paraId="17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18030000">
            <w:pPr>
              <w:pStyle w:val="Style_2"/>
              <w:ind/>
              <w:jc w:val="center"/>
              <w:rPr>
                <w:sz w:val="24"/>
              </w:rPr>
            </w:pPr>
            <w:r>
              <w:rPr>
                <w:sz w:val="24"/>
              </w:rPr>
              <w:t>Министерство предпринимательства, торговли и туризма Республики Саха (Якутия);</w:t>
            </w:r>
          </w:p>
          <w:p w14:paraId="19030000">
            <w:pPr>
              <w:pStyle w:val="Style_2"/>
              <w:ind/>
              <w:jc w:val="center"/>
              <w:rPr>
                <w:sz w:val="24"/>
              </w:rPr>
            </w:pPr>
            <w:r>
              <w:rPr>
                <w:sz w:val="24"/>
              </w:rPr>
              <w:t>Министерство образования и науки Республики Саха (Якутия);</w:t>
            </w:r>
          </w:p>
          <w:p w14:paraId="1A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1B030000">
            <w:pPr>
              <w:pStyle w:val="Style_2"/>
              <w:ind/>
              <w:jc w:val="center"/>
              <w:rPr>
                <w:sz w:val="24"/>
              </w:rPr>
            </w:pPr>
            <w:r>
              <w:rPr>
                <w:sz w:val="24"/>
              </w:rPr>
              <w:t>ФБУЗ «Центр гигиены и эпидемиологии в Республике Саха (Якутия)») (по согласованию);</w:t>
            </w:r>
          </w:p>
          <w:p w14:paraId="1C030000">
            <w:pPr>
              <w:pStyle w:val="Style_2"/>
              <w:ind/>
              <w:jc w:val="center"/>
              <w:rPr>
                <w:sz w:val="24"/>
              </w:rPr>
            </w:pPr>
            <w:r>
              <w:rPr>
                <w:sz w:val="24"/>
              </w:rPr>
              <w:t>Региональный центр поддержки маркировки «Честный знак» (по согласованию);</w:t>
            </w:r>
          </w:p>
          <w:p w14:paraId="1D03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p w14:paraId="1E030000">
            <w:pPr>
              <w:pStyle w:val="Style_2"/>
              <w:ind/>
              <w:jc w:val="center"/>
              <w:rPr>
                <w:sz w:val="24"/>
              </w:rPr>
            </w:pPr>
            <w:r>
              <w:rPr>
                <w:sz w:val="24"/>
              </w:rPr>
              <w:t>Учреждения среднего профессионального и высшего образования (по согласованию)</w:t>
            </w:r>
            <w:r>
              <w:rPr>
                <w:sz w:val="24"/>
              </w:rPr>
              <w:t>;</w:t>
            </w:r>
          </w:p>
        </w:tc>
        <w:tc>
          <w:tcPr>
            <w:tcW w:type="dxa" w:w="4042"/>
            <w:vAlign w:val="center"/>
          </w:tcPr>
          <w:p w14:paraId="1F030000">
            <w:pPr>
              <w:pStyle w:val="Style_2"/>
              <w:ind w:firstLine="532"/>
              <w:jc w:val="both"/>
              <w:rPr>
                <w:sz w:val="24"/>
              </w:rPr>
            </w:pPr>
            <w:r>
              <w:rPr>
                <w:sz w:val="24"/>
              </w:rPr>
              <w:t>Повышение уровня осведомленности учащихся образовательных организаций в области защиты прав потребителей.</w:t>
            </w:r>
          </w:p>
        </w:tc>
      </w:tr>
      <w:tr>
        <w:tc>
          <w:tcPr>
            <w:tcW w:type="dxa" w:w="674"/>
            <w:vAlign w:val="center"/>
          </w:tcPr>
          <w:p w14:paraId="20030000">
            <w:pPr>
              <w:pStyle w:val="Style_2"/>
              <w:ind/>
              <w:jc w:val="center"/>
              <w:rPr>
                <w:sz w:val="24"/>
              </w:rPr>
            </w:pPr>
            <w:r>
              <w:rPr>
                <w:sz w:val="24"/>
              </w:rPr>
              <w:t>2.3</w:t>
            </w:r>
          </w:p>
        </w:tc>
        <w:tc>
          <w:tcPr>
            <w:tcW w:type="dxa" w:w="4393"/>
            <w:vAlign w:val="center"/>
          </w:tcPr>
          <w:p w14:paraId="21030000">
            <w:pPr>
              <w:pStyle w:val="Style_2"/>
              <w:ind w:firstLine="460"/>
              <w:jc w:val="both"/>
              <w:rPr>
                <w:sz w:val="24"/>
              </w:rPr>
            </w:pPr>
            <w:r>
              <w:rPr>
                <w:sz w:val="24"/>
              </w:rPr>
              <w:t>Разработка и диссеминация информационных, методических и учебных материалов, а также учебных пособий, посвященных защите прав потребителей, предназначенных для образовательного процесса учащихся и студентов образовательных организаций.</w:t>
            </w:r>
          </w:p>
        </w:tc>
        <w:tc>
          <w:tcPr>
            <w:tcW w:type="dxa" w:w="1564"/>
            <w:vAlign w:val="center"/>
          </w:tcPr>
          <w:p w14:paraId="22030000">
            <w:pPr>
              <w:ind/>
              <w:jc w:val="center"/>
            </w:pPr>
            <w:r>
              <w:t>2026-2030 годы</w:t>
            </w:r>
          </w:p>
        </w:tc>
        <w:tc>
          <w:tcPr>
            <w:tcW w:type="dxa" w:w="3894"/>
            <w:vAlign w:val="center"/>
          </w:tcPr>
          <w:p w14:paraId="23030000">
            <w:pPr>
              <w:pStyle w:val="Style_2"/>
              <w:ind/>
              <w:jc w:val="center"/>
              <w:rPr>
                <w:sz w:val="24"/>
              </w:rPr>
            </w:pPr>
            <w:r>
              <w:rPr>
                <w:sz w:val="24"/>
              </w:rPr>
              <w:t>Управление Роспотребнадзора по РС(Я)) (по согласованию);</w:t>
            </w:r>
          </w:p>
          <w:p w14:paraId="24030000">
            <w:pPr>
              <w:pStyle w:val="Style_2"/>
              <w:ind/>
              <w:jc w:val="center"/>
              <w:rPr>
                <w:sz w:val="24"/>
              </w:rPr>
            </w:pPr>
            <w:r>
              <w:rPr>
                <w:sz w:val="24"/>
              </w:rPr>
              <w:t>ФБУЗ «Центр гигиены и эпидемиологии в Республике Саха (Якутия)») (по согласованию);</w:t>
            </w:r>
          </w:p>
          <w:p w14:paraId="25030000">
            <w:pPr>
              <w:pStyle w:val="Style_2"/>
              <w:ind/>
              <w:jc w:val="center"/>
              <w:rPr>
                <w:sz w:val="24"/>
              </w:rPr>
            </w:pPr>
            <w:r>
              <w:rPr>
                <w:sz w:val="24"/>
              </w:rPr>
              <w:t>Министерство образования и науки Республики Саха (Якутия);</w:t>
            </w:r>
          </w:p>
          <w:p w14:paraId="26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27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28030000">
            <w:pPr>
              <w:pStyle w:val="Style_2"/>
              <w:ind/>
              <w:jc w:val="center"/>
              <w:rPr>
                <w:sz w:val="24"/>
              </w:rPr>
            </w:pPr>
            <w:r>
              <w:rPr>
                <w:sz w:val="24"/>
              </w:rPr>
              <w:t>Министерство предпринимательства, торговли и туризма Республики Саха (Якутия);</w:t>
            </w:r>
          </w:p>
          <w:p w14:paraId="29030000">
            <w:pPr>
              <w:pStyle w:val="Style_2"/>
              <w:ind/>
              <w:jc w:val="center"/>
              <w:rPr>
                <w:sz w:val="24"/>
              </w:rPr>
            </w:pPr>
            <w:r>
              <w:rPr>
                <w:sz w:val="24"/>
              </w:rPr>
              <w:t>Министерство образования и науки Республики Саха (Якутия);</w:t>
            </w:r>
          </w:p>
          <w:p w14:paraId="2A030000">
            <w:pPr>
              <w:pStyle w:val="Style_2"/>
              <w:ind/>
              <w:jc w:val="center"/>
              <w:rPr>
                <w:sz w:val="24"/>
              </w:rPr>
            </w:pPr>
            <w:r>
              <w:rPr>
                <w:sz w:val="24"/>
              </w:rPr>
              <w:t>Отделение - Национальный банк по Республики Саха (Якутия) Дальневосточного главного управления Центрального банка Российской Федерации (по согласованию);</w:t>
            </w:r>
          </w:p>
          <w:p w14:paraId="2B030000">
            <w:pPr>
              <w:pStyle w:val="Style_2"/>
              <w:ind/>
              <w:jc w:val="center"/>
              <w:rPr>
                <w:sz w:val="24"/>
              </w:rPr>
            </w:pPr>
            <w:r>
              <w:rPr>
                <w:sz w:val="24"/>
              </w:rPr>
              <w:t>Учреждения среднего профессионального и высшего образования (по согласованию)</w:t>
            </w:r>
            <w:r>
              <w:rPr>
                <w:sz w:val="24"/>
              </w:rPr>
              <w:t>;</w:t>
            </w:r>
          </w:p>
          <w:p w14:paraId="2C030000">
            <w:pPr>
              <w:pStyle w:val="Style_2"/>
              <w:ind/>
              <w:jc w:val="center"/>
              <w:rPr>
                <w:sz w:val="24"/>
              </w:rPr>
            </w:pPr>
            <w:r>
              <w:rPr>
                <w:sz w:val="24"/>
              </w:rPr>
              <w:t>Региональный центр поддержки маркировки «</w:t>
            </w:r>
            <w:r>
              <w:rPr>
                <w:sz w:val="24"/>
              </w:rPr>
              <w:t>Честный знак» (по согласованию).</w:t>
            </w:r>
          </w:p>
        </w:tc>
        <w:tc>
          <w:tcPr>
            <w:tcW w:type="dxa" w:w="4042"/>
            <w:vAlign w:val="center"/>
          </w:tcPr>
          <w:p w14:paraId="2D030000">
            <w:pPr>
              <w:pStyle w:val="Style_2"/>
              <w:ind w:firstLine="532"/>
              <w:jc w:val="both"/>
              <w:rPr>
                <w:sz w:val="24"/>
              </w:rPr>
            </w:pPr>
            <w:r>
              <w:rPr>
                <w:sz w:val="24"/>
              </w:rPr>
              <w:t>Существенное повышение уровня осведомленности и компетенций учащихся и студентов образовательных организаций в области защиты их прав как потребителей.</w:t>
            </w:r>
          </w:p>
        </w:tc>
      </w:tr>
      <w:tr>
        <w:tc>
          <w:tcPr>
            <w:tcW w:type="dxa" w:w="674"/>
            <w:vAlign w:val="center"/>
          </w:tcPr>
          <w:p w14:paraId="2E030000">
            <w:pPr>
              <w:pStyle w:val="Style_2"/>
              <w:ind/>
              <w:jc w:val="center"/>
              <w:rPr>
                <w:sz w:val="24"/>
              </w:rPr>
            </w:pPr>
            <w:r>
              <w:rPr>
                <w:sz w:val="24"/>
              </w:rPr>
              <w:t>2.4</w:t>
            </w:r>
          </w:p>
        </w:tc>
        <w:tc>
          <w:tcPr>
            <w:tcW w:type="dxa" w:w="4393"/>
            <w:vAlign w:val="center"/>
          </w:tcPr>
          <w:p w14:paraId="2F030000">
            <w:pPr>
              <w:pStyle w:val="Style_2"/>
              <w:ind w:firstLine="744"/>
              <w:jc w:val="both"/>
              <w:rPr>
                <w:sz w:val="24"/>
              </w:rPr>
            </w:pPr>
            <w:r>
              <w:rPr>
                <w:sz w:val="24"/>
              </w:rPr>
              <w:t xml:space="preserve">Проведение образовательно-организационных мероприятий (семинаров, форумов, выставок, фестивалей, конференций, лекций, факультативных занятий, </w:t>
            </w:r>
            <w:r>
              <w:rPr>
                <w:sz w:val="24"/>
              </w:rPr>
              <w:t>вебинаров</w:t>
            </w:r>
            <w:r>
              <w:rPr>
                <w:sz w:val="24"/>
              </w:rPr>
              <w:t>, тренингов, деловых игр, конкурсов, олимпиад, викторин и др.), направленных на повышение правовой грамотности населения в сфере защиты прав потребителей (в том числе на базе органов и организаций, входящих в систему защиты прав потребителей, учебных заведений, детских оздоровительных лагерей, библиотек, учреждений социального обслуживания)</w:t>
            </w:r>
            <w:r>
              <w:rPr>
                <w:sz w:val="24"/>
              </w:rPr>
              <w:t>.</w:t>
            </w:r>
          </w:p>
        </w:tc>
        <w:tc>
          <w:tcPr>
            <w:tcW w:type="dxa" w:w="1564"/>
            <w:vAlign w:val="center"/>
          </w:tcPr>
          <w:p w14:paraId="30030000">
            <w:pPr>
              <w:ind/>
              <w:jc w:val="center"/>
            </w:pPr>
            <w:r>
              <w:t>2026-2030 годы</w:t>
            </w:r>
          </w:p>
        </w:tc>
        <w:tc>
          <w:tcPr>
            <w:tcW w:type="dxa" w:w="3894"/>
            <w:vAlign w:val="center"/>
          </w:tcPr>
          <w:p w14:paraId="31030000">
            <w:pPr>
              <w:pStyle w:val="Style_2"/>
              <w:ind/>
              <w:jc w:val="center"/>
              <w:rPr>
                <w:sz w:val="24"/>
              </w:rPr>
            </w:pPr>
            <w:r>
              <w:rPr>
                <w:sz w:val="24"/>
              </w:rPr>
              <w:t>Органы местного самоуправления Республики Саха (Якутия);</w:t>
            </w:r>
          </w:p>
          <w:p w14:paraId="32030000">
            <w:pPr>
              <w:pStyle w:val="Style_2"/>
              <w:ind/>
              <w:jc w:val="center"/>
              <w:rPr>
                <w:sz w:val="24"/>
              </w:rPr>
            </w:pPr>
            <w:r>
              <w:rPr>
                <w:sz w:val="24"/>
              </w:rPr>
              <w:t>Управление Роспотребнадзора по РС(Я)) (по согласованию);</w:t>
            </w:r>
          </w:p>
          <w:p w14:paraId="33030000">
            <w:pPr>
              <w:pStyle w:val="Style_2"/>
              <w:ind/>
              <w:jc w:val="center"/>
              <w:rPr>
                <w:sz w:val="24"/>
              </w:rPr>
            </w:pPr>
            <w:r>
              <w:rPr>
                <w:sz w:val="24"/>
              </w:rPr>
              <w:t>ФБУЗ «Центр гигиены и эпидемиологии в Республике Саха (Якутия)») (по согласованию);</w:t>
            </w:r>
          </w:p>
          <w:p w14:paraId="34030000">
            <w:pPr>
              <w:pStyle w:val="Style_2"/>
              <w:ind/>
              <w:jc w:val="center"/>
              <w:rPr>
                <w:sz w:val="24"/>
              </w:rPr>
            </w:pPr>
            <w:r>
              <w:rPr>
                <w:sz w:val="24"/>
              </w:rPr>
              <w:t>Министерство образования и науки Республики Саха (Якутия);</w:t>
            </w:r>
          </w:p>
          <w:p w14:paraId="35030000">
            <w:pPr>
              <w:pStyle w:val="Style_2"/>
              <w:ind/>
              <w:jc w:val="center"/>
              <w:rPr>
                <w:sz w:val="24"/>
              </w:rPr>
            </w:pPr>
            <w:r>
              <w:rPr>
                <w:sz w:val="24"/>
              </w:rPr>
              <w:t>Министерство здравоохранения Республики Саха (Якутия);</w:t>
            </w:r>
          </w:p>
          <w:p w14:paraId="36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37030000">
            <w:pPr>
              <w:pStyle w:val="Style_2"/>
              <w:ind/>
              <w:jc w:val="center"/>
              <w:rPr>
                <w:sz w:val="24"/>
              </w:rPr>
            </w:pPr>
            <w:r>
              <w:rPr>
                <w:sz w:val="24"/>
              </w:rPr>
              <w:t>Министерство предпринимательства, торговли и туризма Республики Саха (Якутия);</w:t>
            </w:r>
          </w:p>
          <w:p w14:paraId="38030000">
            <w:pPr>
              <w:pStyle w:val="Style_2"/>
              <w:ind/>
              <w:jc w:val="center"/>
              <w:rPr>
                <w:sz w:val="24"/>
              </w:rPr>
            </w:pPr>
            <w:r>
              <w:rPr>
                <w:sz w:val="24"/>
              </w:rPr>
              <w:t>Министерство образования и науки Республики Саха (Якутия);</w:t>
            </w:r>
          </w:p>
          <w:p w14:paraId="39030000">
            <w:pPr>
              <w:pStyle w:val="Style_2"/>
              <w:ind/>
              <w:jc w:val="center"/>
              <w:rPr>
                <w:sz w:val="24"/>
              </w:rPr>
            </w:pPr>
            <w:r>
              <w:rPr>
                <w:sz w:val="24"/>
              </w:rPr>
              <w:t>Министерство по физической культуре и спорту Республики Саха (Якутия);</w:t>
            </w:r>
          </w:p>
          <w:p w14:paraId="3A030000">
            <w:pPr>
              <w:pStyle w:val="Style_2"/>
              <w:ind/>
              <w:jc w:val="center"/>
              <w:rPr>
                <w:sz w:val="24"/>
              </w:rPr>
            </w:pPr>
            <w:r>
              <w:rPr>
                <w:sz w:val="24"/>
              </w:rPr>
              <w:tab/>
            </w:r>
            <w:r>
              <w:rPr>
                <w:sz w:val="24"/>
              </w:rPr>
              <w:t>Министерство труда и социального развития Республики Саха (Якутия);</w:t>
            </w:r>
          </w:p>
          <w:p w14:paraId="3B030000">
            <w:pPr>
              <w:pStyle w:val="Style_2"/>
              <w:ind/>
              <w:jc w:val="center"/>
              <w:rPr>
                <w:sz w:val="24"/>
              </w:rPr>
            </w:pPr>
            <w:r>
              <w:rPr>
                <w:sz w:val="24"/>
              </w:rPr>
              <w:t>Министерство культуры и духовного развития Республики Саха (Якутия) (по согласованию);</w:t>
            </w:r>
          </w:p>
          <w:p w14:paraId="3C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3D030000">
            <w:pPr>
              <w:pStyle w:val="Style_2"/>
              <w:ind/>
              <w:jc w:val="center"/>
              <w:rPr>
                <w:sz w:val="24"/>
              </w:rPr>
            </w:pPr>
            <w:r>
              <w:rPr>
                <w:sz w:val="24"/>
              </w:rPr>
              <w:t>Отделение - Национальный банк по Республики Саха (Якутия) Дальневосточного главного управления Центрального банка Российской Федерации (по согласованию);</w:t>
            </w:r>
          </w:p>
          <w:p w14:paraId="3E030000">
            <w:pPr>
              <w:pStyle w:val="Style_2"/>
              <w:ind/>
              <w:jc w:val="center"/>
              <w:rPr>
                <w:sz w:val="24"/>
              </w:rPr>
            </w:pPr>
            <w:r>
              <w:rPr>
                <w:sz w:val="24"/>
              </w:rPr>
              <w:t>Учреждения среднего профессионального и высшего образования (по согласованию);</w:t>
            </w:r>
          </w:p>
          <w:p w14:paraId="3F030000">
            <w:pPr>
              <w:pStyle w:val="Style_2"/>
              <w:ind/>
              <w:jc w:val="center"/>
              <w:rPr>
                <w:sz w:val="24"/>
              </w:rPr>
            </w:pPr>
            <w:r>
              <w:rPr>
                <w:sz w:val="24"/>
              </w:rPr>
              <w:t>Региональный центр поддержки маркировки «Честный знак» (по согласованию).</w:t>
            </w:r>
          </w:p>
        </w:tc>
        <w:tc>
          <w:tcPr>
            <w:tcW w:type="dxa" w:w="4042"/>
            <w:vAlign w:val="center"/>
          </w:tcPr>
          <w:p w14:paraId="40030000">
            <w:pPr>
              <w:pStyle w:val="Style_2"/>
              <w:ind w:firstLine="532"/>
              <w:jc w:val="both"/>
              <w:rPr>
                <w:sz w:val="24"/>
              </w:rPr>
            </w:pPr>
            <w:r>
              <w:rPr>
                <w:sz w:val="24"/>
              </w:rPr>
              <w:t>Существенное повышение уровня информированности граждан по вопросам защиты прав потребителей, формирование устойчивых навыков применения правовых норм на практике, укрепление доверия населения к институтам защиты прав потребителей.</w:t>
            </w:r>
          </w:p>
        </w:tc>
      </w:tr>
      <w:tr>
        <w:tc>
          <w:tcPr>
            <w:tcW w:type="dxa" w:w="674"/>
            <w:vAlign w:val="center"/>
          </w:tcPr>
          <w:p w14:paraId="41030000">
            <w:pPr>
              <w:pStyle w:val="Style_2"/>
              <w:ind/>
              <w:jc w:val="center"/>
              <w:rPr>
                <w:sz w:val="24"/>
              </w:rPr>
            </w:pPr>
            <w:r>
              <w:rPr>
                <w:sz w:val="24"/>
              </w:rPr>
              <w:t>2.5</w:t>
            </w:r>
          </w:p>
        </w:tc>
        <w:tc>
          <w:tcPr>
            <w:tcW w:type="dxa" w:w="4393"/>
            <w:vAlign w:val="center"/>
          </w:tcPr>
          <w:p w14:paraId="42030000">
            <w:pPr>
              <w:pStyle w:val="Style_2"/>
              <w:ind w:firstLine="460"/>
              <w:jc w:val="both"/>
              <w:rPr>
                <w:sz w:val="24"/>
              </w:rPr>
            </w:pPr>
            <w:r>
              <w:rPr>
                <w:sz w:val="24"/>
              </w:rPr>
              <w:t>Создание и установка информационных стендов (материалов)</w:t>
            </w:r>
            <w:r>
              <w:rPr>
                <w:sz w:val="24"/>
              </w:rPr>
              <w:t xml:space="preserve"> о механизмах защиты прав потребителя, в доступных для граждан местах и </w:t>
            </w:r>
            <w:r>
              <w:rPr>
                <w:sz w:val="24"/>
              </w:rPr>
              <w:t xml:space="preserve">в помещениях органов власти, местного самоуправления, социальной защиты, молодёжных и библиотечных учреждениях, а также на объектах транспортной </w:t>
            </w:r>
            <w:r>
              <w:rPr>
                <w:sz w:val="24"/>
              </w:rPr>
              <w:t>инфраструктуры, в том числе использование городских электронных цифровых экранов для трансляции роликов с соответствующей тематикой.</w:t>
            </w:r>
          </w:p>
        </w:tc>
        <w:tc>
          <w:tcPr>
            <w:tcW w:type="dxa" w:w="1564"/>
            <w:vAlign w:val="center"/>
          </w:tcPr>
          <w:p w14:paraId="43030000">
            <w:pPr>
              <w:ind/>
              <w:jc w:val="center"/>
            </w:pPr>
            <w:r>
              <w:t>2026-2030 годы</w:t>
            </w:r>
          </w:p>
        </w:tc>
        <w:tc>
          <w:tcPr>
            <w:tcW w:type="dxa" w:w="3894"/>
            <w:vAlign w:val="center"/>
          </w:tcPr>
          <w:p w14:paraId="44030000">
            <w:pPr>
              <w:pStyle w:val="Style_2"/>
              <w:ind/>
              <w:jc w:val="center"/>
              <w:rPr>
                <w:sz w:val="24"/>
              </w:rPr>
            </w:pPr>
            <w:r>
              <w:rPr>
                <w:sz w:val="24"/>
              </w:rPr>
              <w:t xml:space="preserve">Министерство образования и науки Республики Саха (Якутия); </w:t>
            </w:r>
          </w:p>
          <w:p w14:paraId="45030000">
            <w:pPr>
              <w:pStyle w:val="Style_2"/>
              <w:ind/>
              <w:jc w:val="center"/>
              <w:rPr>
                <w:sz w:val="24"/>
              </w:rPr>
            </w:pPr>
            <w:r>
              <w:rPr>
                <w:sz w:val="24"/>
              </w:rPr>
              <w:t xml:space="preserve">Министерство здравоохранения Республики Саха (Якутия); </w:t>
            </w:r>
          </w:p>
          <w:p w14:paraId="46030000">
            <w:pPr>
              <w:pStyle w:val="Style_2"/>
              <w:ind/>
              <w:jc w:val="center"/>
              <w:rPr>
                <w:sz w:val="24"/>
              </w:rPr>
            </w:pPr>
            <w:r>
              <w:rPr>
                <w:sz w:val="24"/>
              </w:rPr>
              <w:t>Министерство строительства Республики Саха (Якутия);</w:t>
            </w:r>
          </w:p>
          <w:p w14:paraId="47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4803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4903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4A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4B030000">
            <w:pPr>
              <w:pStyle w:val="Style_2"/>
              <w:ind/>
              <w:jc w:val="center"/>
              <w:rPr>
                <w:sz w:val="24"/>
              </w:rPr>
            </w:pPr>
            <w:r>
              <w:rPr>
                <w:sz w:val="24"/>
              </w:rPr>
              <w:t>Министерство культуры и духовного развития Республики Саха (Якутия) (по согласованию);</w:t>
            </w:r>
          </w:p>
          <w:p w14:paraId="4C030000">
            <w:pPr>
              <w:pStyle w:val="Style_2"/>
              <w:ind/>
              <w:jc w:val="center"/>
              <w:rPr>
                <w:sz w:val="24"/>
              </w:rPr>
            </w:pPr>
            <w:r>
              <w:rPr>
                <w:sz w:val="24"/>
              </w:rPr>
              <w:t>Министерство труда и социального развития Республики Саха (Якутия);</w:t>
            </w:r>
          </w:p>
          <w:p w14:paraId="4D030000">
            <w:pPr>
              <w:pStyle w:val="Style_2"/>
              <w:ind/>
              <w:jc w:val="center"/>
              <w:rPr>
                <w:sz w:val="24"/>
              </w:rPr>
            </w:pPr>
            <w:r>
              <w:rPr>
                <w:sz w:val="24"/>
              </w:rPr>
              <w:t>Министерство по физической культуре и спорту Республики Саха (Якутия);</w:t>
            </w:r>
          </w:p>
          <w:p w14:paraId="4E030000">
            <w:pPr>
              <w:pStyle w:val="Style_2"/>
              <w:ind/>
              <w:jc w:val="center"/>
              <w:rPr>
                <w:sz w:val="24"/>
              </w:rPr>
            </w:pPr>
            <w:r>
              <w:rPr>
                <w:sz w:val="24"/>
              </w:rPr>
              <w:t>Министерство внутренних дел по Республике Саха (Якутия);</w:t>
            </w:r>
          </w:p>
          <w:p w14:paraId="4F03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50030000">
            <w:pPr>
              <w:pStyle w:val="Style_2"/>
              <w:ind/>
              <w:jc w:val="center"/>
              <w:rPr>
                <w:sz w:val="24"/>
              </w:rPr>
            </w:pPr>
            <w:r>
              <w:rPr>
                <w:sz w:val="24"/>
              </w:rPr>
              <w:t>Органы местного самоуправления Республики Саха (Якутия);</w:t>
            </w:r>
          </w:p>
          <w:p w14:paraId="51030000">
            <w:pPr>
              <w:pStyle w:val="Style_2"/>
              <w:ind/>
              <w:jc w:val="center"/>
              <w:rPr>
                <w:sz w:val="24"/>
              </w:rPr>
            </w:pPr>
            <w:r>
              <w:rPr>
                <w:sz w:val="24"/>
              </w:rPr>
              <w:t>Управление Роспотребнадзора по РС(Я)) (по согласованию);</w:t>
            </w:r>
          </w:p>
          <w:p w14:paraId="52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53030000">
            <w:pPr>
              <w:pStyle w:val="Style_2"/>
              <w:ind/>
              <w:jc w:val="center"/>
              <w:rPr>
                <w:sz w:val="24"/>
              </w:rPr>
            </w:pPr>
            <w:r>
              <w:rPr>
                <w:sz w:val="24"/>
              </w:rPr>
              <w:t>Федеральное бюджетное учреждение «Государственный региональный центр стандартизации, метрологии и испытаний в Республике Саха (Якутия) (по согласованию);</w:t>
            </w:r>
          </w:p>
          <w:p w14:paraId="5403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55030000">
            <w:pPr>
              <w:pStyle w:val="Style_2"/>
              <w:ind/>
              <w:jc w:val="center"/>
              <w:rPr>
                <w:sz w:val="24"/>
              </w:rPr>
            </w:pPr>
            <w:r>
              <w:rPr>
                <w:sz w:val="24"/>
              </w:rPr>
              <w:t>ТОГАДН по РС(Я)</w:t>
            </w:r>
            <w:r>
              <w:rPr>
                <w:sz w:val="24"/>
              </w:rPr>
              <w:t xml:space="preserve"> (по согласованию);</w:t>
            </w:r>
          </w:p>
          <w:p w14:paraId="56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57030000">
            <w:pPr>
              <w:pStyle w:val="Style_2"/>
              <w:ind/>
              <w:jc w:val="center"/>
              <w:rPr>
                <w:sz w:val="24"/>
              </w:rPr>
            </w:pPr>
            <w:r>
              <w:rPr>
                <w:sz w:val="24"/>
              </w:rPr>
              <w:t xml:space="preserve">Союз «Торгово-промышленная палата Республики Саха (Якутия)» (по согласованию); </w:t>
            </w:r>
          </w:p>
          <w:p w14:paraId="58030000">
            <w:pPr>
              <w:pStyle w:val="Style_2"/>
              <w:ind/>
              <w:jc w:val="center"/>
              <w:rPr>
                <w:sz w:val="24"/>
              </w:rPr>
            </w:pPr>
            <w:r>
              <w:rPr>
                <w:sz w:val="24"/>
              </w:rPr>
              <w:t>Государственное казенное учреждение Республики Саха (Якутия) «Национальная библи</w:t>
            </w:r>
            <w:r>
              <w:rPr>
                <w:sz w:val="24"/>
              </w:rPr>
              <w:t>отека Р</w:t>
            </w:r>
            <w:r>
              <w:rPr>
                <w:sz w:val="24"/>
              </w:rPr>
              <w:t xml:space="preserve">еспублики Саха (Якутия)»; </w:t>
            </w:r>
          </w:p>
          <w:p w14:paraId="5903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tc>
        <w:tc>
          <w:tcPr>
            <w:tcW w:type="dxa" w:w="4042"/>
            <w:vAlign w:val="center"/>
          </w:tcPr>
          <w:p w14:paraId="5A030000">
            <w:pPr>
              <w:pStyle w:val="Style_2"/>
              <w:ind w:firstLine="532"/>
              <w:jc w:val="both"/>
              <w:rPr>
                <w:sz w:val="24"/>
              </w:rPr>
            </w:pPr>
            <w:r>
              <w:rPr>
                <w:sz w:val="24"/>
              </w:rPr>
              <w:t>Повышение доступности информации о защите прав потребителей.</w:t>
            </w:r>
          </w:p>
          <w:p w14:paraId="5B030000">
            <w:pPr>
              <w:pStyle w:val="Style_2"/>
              <w:ind w:firstLine="532"/>
              <w:jc w:val="both"/>
              <w:rPr>
                <w:sz w:val="24"/>
              </w:rPr>
            </w:pPr>
            <w:r>
              <w:rPr>
                <w:sz w:val="24"/>
              </w:rPr>
              <w:t>Повышение уровня информирован</w:t>
            </w:r>
            <w:r>
              <w:rPr>
                <w:sz w:val="24"/>
              </w:rPr>
              <w:t xml:space="preserve">ности населения </w:t>
            </w:r>
            <w:r>
              <w:rPr>
                <w:sz w:val="24"/>
              </w:rPr>
              <w:t>Республики Саха (Якутия)</w:t>
            </w:r>
            <w:r>
              <w:rPr>
                <w:sz w:val="24"/>
              </w:rPr>
              <w:t xml:space="preserve"> о правах потребителей</w:t>
            </w:r>
            <w:r>
              <w:rPr>
                <w:sz w:val="24"/>
              </w:rPr>
              <w:t>.</w:t>
            </w:r>
            <w:r>
              <w:rPr>
                <w:sz w:val="24"/>
              </w:rPr>
              <w:t xml:space="preserve"> </w:t>
            </w:r>
          </w:p>
          <w:p w14:paraId="5C030000">
            <w:pPr>
              <w:pStyle w:val="Style_2"/>
              <w:ind w:firstLine="532"/>
              <w:jc w:val="both"/>
              <w:rPr>
                <w:sz w:val="24"/>
              </w:rPr>
            </w:pPr>
          </w:p>
        </w:tc>
      </w:tr>
      <w:tr>
        <w:tc>
          <w:tcPr>
            <w:tcW w:type="dxa" w:w="674"/>
            <w:vAlign w:val="center"/>
          </w:tcPr>
          <w:p w14:paraId="5D030000">
            <w:pPr>
              <w:pStyle w:val="Style_2"/>
              <w:ind/>
              <w:jc w:val="center"/>
              <w:rPr>
                <w:sz w:val="24"/>
              </w:rPr>
            </w:pPr>
            <w:r>
              <w:rPr>
                <w:sz w:val="24"/>
              </w:rPr>
              <w:t>2.6</w:t>
            </w:r>
          </w:p>
        </w:tc>
        <w:tc>
          <w:tcPr>
            <w:tcW w:type="dxa" w:w="4393"/>
            <w:vAlign w:val="center"/>
          </w:tcPr>
          <w:p w14:paraId="5E030000">
            <w:pPr>
              <w:pStyle w:val="Style_2"/>
              <w:ind w:firstLine="460"/>
              <w:jc w:val="both"/>
              <w:rPr>
                <w:sz w:val="24"/>
              </w:rPr>
            </w:pPr>
            <w:r>
              <w:rPr>
                <w:sz w:val="24"/>
              </w:rPr>
              <w:t>О</w:t>
            </w:r>
            <w:r>
              <w:rPr>
                <w:sz w:val="24"/>
              </w:rPr>
              <w:t>рганизация информационно-просветительских кампаний,</w:t>
            </w:r>
            <w:r>
              <w:rPr>
                <w:sz w:val="24"/>
              </w:rPr>
              <w:t xml:space="preserve"> приуроченных к ключевым датам: </w:t>
            </w:r>
            <w:r>
              <w:rPr>
                <w:sz w:val="24"/>
              </w:rPr>
              <w:t>организация и проведение просветительских мероприятий, приуроченных к Всемирному дню прав потребителей, Дню качества, Неделе сбережений. Разработка и реализация специальных программ для старшего поколения (День пожилого человека) и подрастающего поколения (День защиты детей).</w:t>
            </w:r>
          </w:p>
        </w:tc>
        <w:tc>
          <w:tcPr>
            <w:tcW w:type="dxa" w:w="1564"/>
            <w:vAlign w:val="center"/>
          </w:tcPr>
          <w:p w14:paraId="5F030000">
            <w:pPr>
              <w:ind/>
              <w:jc w:val="center"/>
            </w:pPr>
            <w:r>
              <w:t>2026-2030 годы</w:t>
            </w:r>
          </w:p>
        </w:tc>
        <w:tc>
          <w:tcPr>
            <w:tcW w:type="dxa" w:w="3894"/>
            <w:vAlign w:val="center"/>
          </w:tcPr>
          <w:p w14:paraId="60030000">
            <w:pPr>
              <w:pStyle w:val="Style_2"/>
              <w:ind/>
              <w:jc w:val="center"/>
              <w:rPr>
                <w:sz w:val="24"/>
              </w:rPr>
            </w:pPr>
            <w:r>
              <w:rPr>
                <w:sz w:val="24"/>
              </w:rPr>
              <w:t xml:space="preserve">Министерство образования и науки Республики Саха (Якутия); </w:t>
            </w:r>
          </w:p>
          <w:p w14:paraId="61030000">
            <w:pPr>
              <w:pStyle w:val="Style_2"/>
              <w:ind/>
              <w:jc w:val="center"/>
              <w:rPr>
                <w:sz w:val="24"/>
              </w:rPr>
            </w:pPr>
            <w:r>
              <w:rPr>
                <w:sz w:val="24"/>
              </w:rPr>
              <w:t xml:space="preserve">Министерство здравоохранения Республики Саха (Якутия); </w:t>
            </w:r>
          </w:p>
          <w:p w14:paraId="62030000">
            <w:pPr>
              <w:pStyle w:val="Style_2"/>
              <w:ind/>
              <w:jc w:val="center"/>
              <w:rPr>
                <w:sz w:val="24"/>
              </w:rPr>
            </w:pPr>
            <w:r>
              <w:rPr>
                <w:sz w:val="24"/>
              </w:rPr>
              <w:t>Министерство строительства Республики Саха (Якутия);</w:t>
            </w:r>
          </w:p>
          <w:p w14:paraId="63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6403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6503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66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67030000">
            <w:pPr>
              <w:pStyle w:val="Style_2"/>
              <w:ind/>
              <w:jc w:val="center"/>
              <w:rPr>
                <w:sz w:val="24"/>
              </w:rPr>
            </w:pPr>
            <w:r>
              <w:rPr>
                <w:sz w:val="24"/>
              </w:rPr>
              <w:t>Министерство культуры и духовного развития Республики Саха (Якутия) (по согласованию);</w:t>
            </w:r>
          </w:p>
          <w:p w14:paraId="68030000">
            <w:pPr>
              <w:pStyle w:val="Style_2"/>
              <w:ind/>
              <w:jc w:val="center"/>
              <w:rPr>
                <w:sz w:val="24"/>
              </w:rPr>
            </w:pPr>
            <w:r>
              <w:rPr>
                <w:sz w:val="24"/>
              </w:rPr>
              <w:t>Министерство труда и социального развития Республики Саха (Якутия);</w:t>
            </w:r>
          </w:p>
          <w:p w14:paraId="69030000">
            <w:pPr>
              <w:pStyle w:val="Style_2"/>
              <w:ind/>
              <w:jc w:val="center"/>
              <w:rPr>
                <w:sz w:val="24"/>
              </w:rPr>
            </w:pPr>
            <w:r>
              <w:rPr>
                <w:sz w:val="24"/>
              </w:rPr>
              <w:t>Министерство по физической культуре и спорту Республики Саха (Якутия);</w:t>
            </w:r>
          </w:p>
          <w:p w14:paraId="6A030000">
            <w:pPr>
              <w:pStyle w:val="Style_2"/>
              <w:ind/>
              <w:jc w:val="center"/>
              <w:rPr>
                <w:sz w:val="24"/>
              </w:rPr>
            </w:pPr>
            <w:r>
              <w:rPr>
                <w:sz w:val="24"/>
              </w:rPr>
              <w:t>Министерство внутренних дел по Республике Саха (Якутия);</w:t>
            </w:r>
          </w:p>
          <w:p w14:paraId="6B03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6C030000">
            <w:pPr>
              <w:pStyle w:val="Style_2"/>
              <w:ind/>
              <w:jc w:val="center"/>
              <w:rPr>
                <w:sz w:val="24"/>
              </w:rPr>
            </w:pPr>
            <w:r>
              <w:rPr>
                <w:sz w:val="24"/>
              </w:rPr>
              <w:t>Органы местного самоуправления Республики Саха (Якутия);</w:t>
            </w:r>
          </w:p>
          <w:p w14:paraId="6D030000">
            <w:pPr>
              <w:pStyle w:val="Style_2"/>
              <w:ind/>
              <w:jc w:val="center"/>
              <w:rPr>
                <w:sz w:val="24"/>
              </w:rPr>
            </w:pPr>
            <w:r>
              <w:rPr>
                <w:sz w:val="24"/>
              </w:rPr>
              <w:t>Управление Роспотребнадзора по РС(Я)) (по согласованию);</w:t>
            </w:r>
          </w:p>
          <w:p w14:paraId="6E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6F030000">
            <w:pPr>
              <w:pStyle w:val="Style_2"/>
              <w:ind/>
              <w:jc w:val="center"/>
              <w:rPr>
                <w:sz w:val="24"/>
              </w:rPr>
            </w:pPr>
            <w:r>
              <w:rPr>
                <w:sz w:val="24"/>
              </w:rPr>
              <w:t>Федеральное бюджетное учреждение «Государственный региональный центр стандартизации, метрологии и испытаний в Республике Саха (Якутия) (по согласованию);</w:t>
            </w:r>
          </w:p>
          <w:p w14:paraId="7003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71030000">
            <w:pPr>
              <w:pStyle w:val="Style_2"/>
              <w:ind/>
              <w:jc w:val="center"/>
              <w:rPr>
                <w:sz w:val="24"/>
              </w:rPr>
            </w:pPr>
            <w:r>
              <w:rPr>
                <w:sz w:val="24"/>
              </w:rPr>
              <w:t>ТОГАДН по РС(Я)</w:t>
            </w:r>
            <w:r>
              <w:rPr>
                <w:sz w:val="24"/>
              </w:rPr>
              <w:t xml:space="preserve"> (по согласованию);</w:t>
            </w:r>
          </w:p>
          <w:p w14:paraId="72030000">
            <w:pPr>
              <w:pStyle w:val="Style_2"/>
              <w:ind/>
              <w:jc w:val="center"/>
              <w:rPr>
                <w:sz w:val="24"/>
              </w:rPr>
            </w:pPr>
            <w:r>
              <w:rPr>
                <w:sz w:val="24"/>
              </w:rPr>
              <w:t>Управление федеральной налоговой службы по Республике Саха (Якутия) (далее - УФНС России по Республике Саха (Якутия) (по согласованию);</w:t>
            </w:r>
          </w:p>
          <w:p w14:paraId="73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74030000">
            <w:pPr>
              <w:pStyle w:val="Style_2"/>
              <w:ind/>
              <w:jc w:val="center"/>
              <w:rPr>
                <w:sz w:val="24"/>
              </w:rPr>
            </w:pPr>
            <w:r>
              <w:rPr>
                <w:sz w:val="24"/>
              </w:rPr>
              <w:t xml:space="preserve">Союз «Торгово-промышленная палата Республики Саха (Якутия)» (по согласованию); </w:t>
            </w:r>
          </w:p>
          <w:p w14:paraId="75030000">
            <w:pPr>
              <w:pStyle w:val="Style_2"/>
              <w:ind/>
              <w:jc w:val="center"/>
              <w:rPr>
                <w:sz w:val="24"/>
              </w:rPr>
            </w:pPr>
            <w:r>
              <w:rPr>
                <w:sz w:val="24"/>
              </w:rPr>
              <w:t>Автономная некоммерческая организация «</w:t>
            </w:r>
            <w:r>
              <w:rPr>
                <w:sz w:val="24"/>
              </w:rPr>
              <w:t>Союзэкпертиза</w:t>
            </w:r>
            <w:r>
              <w:rPr>
                <w:sz w:val="24"/>
              </w:rPr>
              <w:t>» Торгово-промышленной палаты Республики Саха (Якутия) (по согласованию);</w:t>
            </w:r>
          </w:p>
          <w:p w14:paraId="76030000">
            <w:pPr>
              <w:pStyle w:val="Style_2"/>
              <w:ind/>
              <w:jc w:val="center"/>
              <w:rPr>
                <w:sz w:val="24"/>
              </w:rPr>
            </w:pPr>
            <w:r>
              <w:rPr>
                <w:sz w:val="24"/>
              </w:rPr>
              <w:t>Общественные организации по защите прав потребителей (по согласованию);</w:t>
            </w:r>
          </w:p>
          <w:p w14:paraId="77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78030000">
            <w:pPr>
              <w:pStyle w:val="Style_2"/>
              <w:ind/>
              <w:jc w:val="center"/>
              <w:rPr>
                <w:sz w:val="24"/>
              </w:rPr>
            </w:pPr>
            <w:r>
              <w:rPr>
                <w:sz w:val="24"/>
              </w:rPr>
              <w:t>Национальная вещательная компания «Саха» (НВК «Саха») (по согласованию);</w:t>
            </w:r>
          </w:p>
          <w:p w14:paraId="79030000">
            <w:pPr>
              <w:pStyle w:val="Style_2"/>
              <w:ind/>
              <w:jc w:val="center"/>
              <w:rPr>
                <w:sz w:val="24"/>
              </w:rPr>
            </w:pPr>
            <w:r>
              <w:rPr>
                <w:sz w:val="24"/>
              </w:rPr>
              <w:t>Государственное автономное учреждение Республики Саха (Якутия) "САХАПЕЧАТЬ" (по согласованию);</w:t>
            </w:r>
          </w:p>
          <w:p w14:paraId="7A030000">
            <w:pPr>
              <w:pStyle w:val="Style_2"/>
              <w:ind/>
              <w:jc w:val="center"/>
              <w:rPr>
                <w:sz w:val="24"/>
              </w:rPr>
            </w:pPr>
            <w:r>
              <w:rPr>
                <w:sz w:val="24"/>
              </w:rPr>
              <w:t>Федеральное бюджетное учреждение здравоохранения «Центр гигиены и эпидемиологии в Республике Саха (Якутия)» (далее - ФБУЗ «Центр гигиены и эпидемиологии в Республике Саха (Якутия)») (по согласованию);</w:t>
            </w:r>
          </w:p>
          <w:p w14:paraId="7B03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7C030000">
            <w:pPr>
              <w:pStyle w:val="Style_2"/>
              <w:ind/>
              <w:jc w:val="center"/>
              <w:rPr>
                <w:sz w:val="24"/>
              </w:rPr>
            </w:pPr>
            <w:r>
              <w:rPr>
                <w:sz w:val="24"/>
              </w:rPr>
              <w:t>Учреждения среднего профессионального и высшего образования (по согласованию);</w:t>
            </w:r>
          </w:p>
          <w:p w14:paraId="7D030000">
            <w:pPr>
              <w:pStyle w:val="Style_2"/>
              <w:ind/>
              <w:jc w:val="center"/>
              <w:rPr>
                <w:sz w:val="24"/>
              </w:rPr>
            </w:pPr>
            <w:r>
              <w:rPr>
                <w:sz w:val="24"/>
              </w:rPr>
              <w:t>Региональный центр поддержки маркировки «Честный знак» (по согласованию);</w:t>
            </w:r>
          </w:p>
          <w:p w14:paraId="7E030000">
            <w:pPr>
              <w:pStyle w:val="Style_2"/>
              <w:ind/>
              <w:jc w:val="center"/>
              <w:rPr>
                <w:sz w:val="24"/>
              </w:rPr>
            </w:pP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7F030000">
            <w:pPr>
              <w:pStyle w:val="Style_2"/>
              <w:ind/>
              <w:jc w:val="center"/>
              <w:rPr>
                <w:sz w:val="24"/>
              </w:rPr>
            </w:pPr>
            <w:r>
              <w:rPr>
                <w:sz w:val="24"/>
              </w:rPr>
              <w:t>Автономное учреждение Республики Саха (Якутия) «Якутское-Саха информационное агентство» (по согласованию);</w:t>
            </w:r>
          </w:p>
          <w:p w14:paraId="80030000">
            <w:pPr>
              <w:pStyle w:val="Style_2"/>
              <w:ind/>
              <w:jc w:val="center"/>
              <w:rPr>
                <w:sz w:val="24"/>
              </w:rPr>
            </w:pPr>
            <w:r>
              <w:rPr>
                <w:sz w:val="24"/>
              </w:rPr>
              <w:t>Общественная палата Республики Саха (Якутия) (по согласованию).</w:t>
            </w:r>
          </w:p>
          <w:p w14:paraId="81030000">
            <w:pPr>
              <w:pStyle w:val="Style_2"/>
              <w:ind/>
              <w:jc w:val="center"/>
              <w:rPr>
                <w:sz w:val="24"/>
              </w:rPr>
            </w:pPr>
            <w:r>
              <w:rPr>
                <w:sz w:val="24"/>
              </w:rPr>
              <w:t>Союз "Торгово-промышленная палата Республики Саха (Якутия)" (по согласованию)</w:t>
            </w:r>
            <w:r>
              <w:rPr>
                <w:sz w:val="24"/>
              </w:rPr>
              <w:t>;</w:t>
            </w:r>
          </w:p>
          <w:p w14:paraId="8203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tc>
        <w:tc>
          <w:tcPr>
            <w:tcW w:type="dxa" w:w="4042"/>
            <w:vAlign w:val="center"/>
          </w:tcPr>
          <w:p w14:paraId="83030000">
            <w:pPr>
              <w:pStyle w:val="Style_2"/>
              <w:ind w:firstLine="532"/>
              <w:jc w:val="both"/>
              <w:rPr>
                <w:sz w:val="24"/>
              </w:rPr>
            </w:pPr>
            <w:r>
              <w:rPr>
                <w:sz w:val="24"/>
              </w:rPr>
              <w:t>Ф</w:t>
            </w:r>
            <w:r>
              <w:rPr>
                <w:sz w:val="24"/>
              </w:rPr>
              <w:t>ормирование у жителей Республики Саха (Якутия) практических навыков защиты своих прав как потребителей и ответственного финансового поведения.</w:t>
            </w:r>
          </w:p>
        </w:tc>
      </w:tr>
      <w:tr>
        <w:tc>
          <w:tcPr>
            <w:tcW w:type="dxa" w:w="674"/>
            <w:vAlign w:val="center"/>
          </w:tcPr>
          <w:p w14:paraId="84030000">
            <w:pPr>
              <w:pStyle w:val="Style_2"/>
              <w:ind/>
              <w:jc w:val="center"/>
              <w:rPr>
                <w:sz w:val="24"/>
              </w:rPr>
            </w:pPr>
            <w:r>
              <w:rPr>
                <w:sz w:val="24"/>
              </w:rPr>
              <w:t>2.7</w:t>
            </w:r>
          </w:p>
        </w:tc>
        <w:tc>
          <w:tcPr>
            <w:tcW w:type="dxa" w:w="4393"/>
            <w:vAlign w:val="center"/>
          </w:tcPr>
          <w:p w14:paraId="85030000">
            <w:pPr>
              <w:pStyle w:val="Style_2"/>
              <w:ind/>
              <w:jc w:val="both"/>
              <w:rPr>
                <w:sz w:val="24"/>
              </w:rPr>
            </w:pPr>
            <w:r>
              <w:rPr>
                <w:sz w:val="24"/>
              </w:rPr>
              <w:t>Организация и проведение горячих линий для потребителей</w:t>
            </w:r>
            <w:r>
              <w:rPr>
                <w:sz w:val="24"/>
              </w:rPr>
              <w:t xml:space="preserve"> по актуальной</w:t>
            </w:r>
            <w:r>
              <w:rPr>
                <w:sz w:val="24"/>
              </w:rPr>
              <w:t xml:space="preserve"> тематике. </w:t>
            </w:r>
          </w:p>
        </w:tc>
        <w:tc>
          <w:tcPr>
            <w:tcW w:type="dxa" w:w="1564"/>
            <w:vAlign w:val="center"/>
          </w:tcPr>
          <w:p w14:paraId="86030000">
            <w:pPr>
              <w:ind/>
              <w:jc w:val="center"/>
            </w:pPr>
            <w:r>
              <w:t>2026-2030 годы</w:t>
            </w:r>
          </w:p>
        </w:tc>
        <w:tc>
          <w:tcPr>
            <w:tcW w:type="dxa" w:w="3894"/>
            <w:vAlign w:val="center"/>
          </w:tcPr>
          <w:p w14:paraId="87030000">
            <w:pPr>
              <w:pStyle w:val="Style_2"/>
              <w:ind/>
              <w:jc w:val="center"/>
              <w:rPr>
                <w:sz w:val="24"/>
              </w:rPr>
            </w:pPr>
            <w:r>
              <w:rPr>
                <w:sz w:val="24"/>
              </w:rPr>
              <w:t xml:space="preserve">Министерство образования и науки Республики Саха (Якутия); </w:t>
            </w:r>
          </w:p>
          <w:p w14:paraId="88030000">
            <w:pPr>
              <w:pStyle w:val="Style_2"/>
              <w:ind/>
              <w:jc w:val="center"/>
              <w:rPr>
                <w:sz w:val="24"/>
              </w:rPr>
            </w:pPr>
            <w:r>
              <w:rPr>
                <w:sz w:val="24"/>
              </w:rPr>
              <w:t xml:space="preserve">Министерство здравоохранения Республики Саха (Якутия); </w:t>
            </w:r>
          </w:p>
          <w:p w14:paraId="89030000">
            <w:pPr>
              <w:pStyle w:val="Style_2"/>
              <w:ind/>
              <w:jc w:val="center"/>
              <w:rPr>
                <w:sz w:val="24"/>
              </w:rPr>
            </w:pPr>
            <w:r>
              <w:rPr>
                <w:sz w:val="24"/>
              </w:rPr>
              <w:t>Министерство строительства Республики Саха (Якутия);</w:t>
            </w:r>
          </w:p>
          <w:p w14:paraId="8A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8B03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8C03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8D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8E030000">
            <w:pPr>
              <w:pStyle w:val="Style_2"/>
              <w:ind/>
              <w:jc w:val="center"/>
              <w:rPr>
                <w:sz w:val="24"/>
              </w:rPr>
            </w:pPr>
            <w:r>
              <w:rPr>
                <w:sz w:val="24"/>
              </w:rPr>
              <w:t>Министерство культуры и духовного развития Республики Саха (Якутия) (по согласованию);</w:t>
            </w:r>
          </w:p>
          <w:p w14:paraId="8F030000">
            <w:pPr>
              <w:pStyle w:val="Style_2"/>
              <w:ind/>
              <w:jc w:val="center"/>
              <w:rPr>
                <w:sz w:val="24"/>
              </w:rPr>
            </w:pPr>
            <w:r>
              <w:rPr>
                <w:sz w:val="24"/>
              </w:rPr>
              <w:t>Министерство труда и социального развития Республики Саха (Якутия);</w:t>
            </w:r>
          </w:p>
          <w:p w14:paraId="90030000">
            <w:pPr>
              <w:pStyle w:val="Style_2"/>
              <w:ind/>
              <w:jc w:val="center"/>
              <w:rPr>
                <w:sz w:val="24"/>
              </w:rPr>
            </w:pPr>
            <w:r>
              <w:rPr>
                <w:sz w:val="24"/>
              </w:rPr>
              <w:t>Министерство по физической культуре и спорту Республики Саха (Якутия);</w:t>
            </w:r>
          </w:p>
          <w:p w14:paraId="9103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92030000">
            <w:pPr>
              <w:pStyle w:val="Style_2"/>
              <w:ind/>
              <w:jc w:val="center"/>
              <w:rPr>
                <w:sz w:val="24"/>
              </w:rPr>
            </w:pPr>
            <w:r>
              <w:rPr>
                <w:sz w:val="24"/>
              </w:rPr>
              <w:t>Органы местного самоуправления Республики Саха (Якутия);</w:t>
            </w:r>
          </w:p>
          <w:p w14:paraId="93030000">
            <w:pPr>
              <w:pStyle w:val="Style_2"/>
              <w:ind/>
              <w:jc w:val="center"/>
              <w:rPr>
                <w:sz w:val="24"/>
              </w:rPr>
            </w:pPr>
            <w:r>
              <w:rPr>
                <w:sz w:val="24"/>
              </w:rPr>
              <w:t>Управление Роспотребнадзора по РС(Я)) (по согласованию);</w:t>
            </w:r>
          </w:p>
          <w:p w14:paraId="94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95030000">
            <w:pPr>
              <w:pStyle w:val="Style_2"/>
              <w:ind/>
              <w:jc w:val="center"/>
              <w:rPr>
                <w:sz w:val="24"/>
              </w:rPr>
            </w:pPr>
            <w:r>
              <w:rPr>
                <w:sz w:val="24"/>
              </w:rPr>
              <w:t>УФНС России по Республике Саха (Якутия) (по согласованию);</w:t>
            </w:r>
          </w:p>
          <w:p w14:paraId="96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97030000">
            <w:pPr>
              <w:pStyle w:val="Style_2"/>
              <w:ind/>
              <w:jc w:val="center"/>
              <w:rPr>
                <w:sz w:val="24"/>
              </w:rPr>
            </w:pPr>
            <w:r>
              <w:rPr>
                <w:sz w:val="24"/>
              </w:rPr>
              <w:t>ФБУЗ «Центр гигиены и эпидемиологии в Республике Саха (Якутия)»</w:t>
            </w:r>
            <w:r>
              <w:rPr>
                <w:sz w:val="24"/>
              </w:rPr>
              <w:t>;</w:t>
            </w:r>
          </w:p>
          <w:p w14:paraId="98030000">
            <w:pPr>
              <w:pStyle w:val="Style_2"/>
              <w:ind/>
              <w:jc w:val="center"/>
              <w:rPr>
                <w:sz w:val="24"/>
              </w:rPr>
            </w:pPr>
            <w:r>
              <w:rPr>
                <w:sz w:val="24"/>
              </w:rPr>
              <w:t xml:space="preserve">Региональный центр поддержки маркировки «Честный знак» (по </w:t>
            </w:r>
            <w:r>
              <w:rPr>
                <w:sz w:val="24"/>
              </w:rPr>
              <w:t>согласованию).</w:t>
            </w:r>
          </w:p>
        </w:tc>
        <w:tc>
          <w:tcPr>
            <w:tcW w:type="dxa" w:w="4042"/>
            <w:vAlign w:val="center"/>
          </w:tcPr>
          <w:p w14:paraId="99030000">
            <w:pPr>
              <w:pStyle w:val="Style_2"/>
              <w:ind w:firstLine="532"/>
              <w:jc w:val="both"/>
              <w:rPr>
                <w:sz w:val="24"/>
              </w:rPr>
            </w:pPr>
            <w:r>
              <w:rPr>
                <w:sz w:val="24"/>
              </w:rPr>
              <w:t>Повышение уровня информирован</w:t>
            </w:r>
            <w:r>
              <w:rPr>
                <w:sz w:val="24"/>
              </w:rPr>
              <w:t xml:space="preserve">ности населения </w:t>
            </w:r>
            <w:r>
              <w:rPr>
                <w:sz w:val="24"/>
              </w:rPr>
              <w:t xml:space="preserve">Республики Саха </w:t>
            </w:r>
            <w:r>
              <w:rPr>
                <w:sz w:val="24"/>
              </w:rPr>
              <w:t>(Якутия)</w:t>
            </w:r>
            <w:r>
              <w:rPr>
                <w:sz w:val="24"/>
              </w:rPr>
              <w:t xml:space="preserve"> о правах и законных интересах потребителей</w:t>
            </w:r>
            <w:r>
              <w:rPr>
                <w:sz w:val="24"/>
              </w:rPr>
              <w:t>.</w:t>
            </w:r>
          </w:p>
        </w:tc>
      </w:tr>
      <w:tr>
        <w:tc>
          <w:tcPr>
            <w:tcW w:type="dxa" w:w="674"/>
            <w:vAlign w:val="center"/>
          </w:tcPr>
          <w:p w14:paraId="9A030000">
            <w:pPr>
              <w:pStyle w:val="Style_2"/>
              <w:ind/>
              <w:jc w:val="center"/>
              <w:rPr>
                <w:sz w:val="24"/>
              </w:rPr>
            </w:pPr>
            <w:r>
              <w:rPr>
                <w:sz w:val="24"/>
              </w:rPr>
              <w:t>2.8</w:t>
            </w:r>
          </w:p>
        </w:tc>
        <w:tc>
          <w:tcPr>
            <w:tcW w:type="dxa" w:w="4393"/>
            <w:vAlign w:val="center"/>
          </w:tcPr>
          <w:p w14:paraId="9B030000">
            <w:pPr>
              <w:pStyle w:val="Style_2"/>
              <w:ind w:firstLine="744"/>
              <w:jc w:val="both"/>
              <w:rPr>
                <w:sz w:val="24"/>
              </w:rPr>
            </w:pPr>
            <w:r>
              <w:rPr>
                <w:sz w:val="24"/>
              </w:rPr>
              <w:t>Р</w:t>
            </w:r>
            <w:r>
              <w:rPr>
                <w:sz w:val="24"/>
              </w:rPr>
              <w:t xml:space="preserve">азвитие государственного информационного ресурса в области защиты прав потребителей, качества и безопасности   товаров, работ и услуг </w:t>
            </w:r>
            <w:r>
              <w:rPr>
                <w:sz w:val="24"/>
              </w:rPr>
              <w:t>(ГИР ЗПП).</w:t>
            </w:r>
          </w:p>
        </w:tc>
        <w:tc>
          <w:tcPr>
            <w:tcW w:type="dxa" w:w="1564"/>
            <w:vAlign w:val="center"/>
          </w:tcPr>
          <w:p w14:paraId="9C030000">
            <w:pPr>
              <w:ind/>
              <w:jc w:val="center"/>
            </w:pPr>
            <w:r>
              <w:t>2026-2030 годы</w:t>
            </w:r>
          </w:p>
        </w:tc>
        <w:tc>
          <w:tcPr>
            <w:tcW w:type="dxa" w:w="3894"/>
            <w:vAlign w:val="center"/>
          </w:tcPr>
          <w:p w14:paraId="9D030000">
            <w:pPr>
              <w:pStyle w:val="Style_2"/>
              <w:ind/>
              <w:jc w:val="center"/>
              <w:rPr>
                <w:sz w:val="24"/>
              </w:rPr>
            </w:pPr>
            <w:r>
              <w:rPr>
                <w:sz w:val="24"/>
              </w:rPr>
              <w:t>Управление Роспотребнадзора по РС(Я)) (по согласованию);</w:t>
            </w:r>
          </w:p>
          <w:p w14:paraId="9E030000">
            <w:pPr>
              <w:pStyle w:val="Style_2"/>
              <w:ind/>
              <w:jc w:val="center"/>
              <w:rPr>
                <w:sz w:val="24"/>
              </w:rPr>
            </w:pPr>
            <w:r>
              <w:rPr>
                <w:sz w:val="24"/>
              </w:rPr>
              <w:t>ФБУЗ «Центр гигиены и эпидемиологии в Республике Саха (Якутия)») (по с</w:t>
            </w:r>
            <w:r>
              <w:rPr>
                <w:sz w:val="24"/>
              </w:rPr>
              <w:t>огласованию)</w:t>
            </w:r>
          </w:p>
        </w:tc>
        <w:tc>
          <w:tcPr>
            <w:tcW w:type="dxa" w:w="4042"/>
            <w:vAlign w:val="center"/>
          </w:tcPr>
          <w:p w14:paraId="9F030000">
            <w:pPr>
              <w:pStyle w:val="Style_2"/>
              <w:ind w:firstLine="532"/>
              <w:jc w:val="both"/>
              <w:rPr>
                <w:sz w:val="24"/>
              </w:rPr>
            </w:pPr>
            <w:r>
              <w:rPr>
                <w:sz w:val="24"/>
              </w:rPr>
              <w:t>Функционирова</w:t>
            </w:r>
            <w:r>
              <w:rPr>
                <w:sz w:val="24"/>
              </w:rPr>
              <w:t>ние и постоянная актуализация информации, размещаемой в ГИР ЗПП</w:t>
            </w:r>
            <w:r>
              <w:rPr>
                <w:sz w:val="24"/>
              </w:rPr>
              <w:t>.</w:t>
            </w:r>
          </w:p>
        </w:tc>
      </w:tr>
      <w:tr>
        <w:tc>
          <w:tcPr>
            <w:tcW w:type="dxa" w:w="674"/>
            <w:vAlign w:val="center"/>
          </w:tcPr>
          <w:p w14:paraId="A0030000">
            <w:pPr>
              <w:pStyle w:val="Style_2"/>
              <w:ind/>
              <w:jc w:val="center"/>
              <w:rPr>
                <w:sz w:val="24"/>
              </w:rPr>
            </w:pPr>
            <w:r>
              <w:rPr>
                <w:sz w:val="24"/>
              </w:rPr>
              <w:t>2.9</w:t>
            </w:r>
          </w:p>
        </w:tc>
        <w:tc>
          <w:tcPr>
            <w:tcW w:type="dxa" w:w="4393"/>
            <w:vAlign w:val="center"/>
          </w:tcPr>
          <w:p w14:paraId="A1030000">
            <w:pPr>
              <w:pStyle w:val="Style_2"/>
              <w:ind w:firstLine="744"/>
              <w:jc w:val="both"/>
              <w:rPr>
                <w:sz w:val="24"/>
              </w:rPr>
            </w:pPr>
            <w:r>
              <w:rPr>
                <w:sz w:val="24"/>
              </w:rPr>
              <w:t>Разработка и издание информационно-справочных материалов (справочников, брошюр, памят</w:t>
            </w:r>
            <w:r>
              <w:rPr>
                <w:sz w:val="24"/>
              </w:rPr>
              <w:t>ок и иных аналогичных изданий)</w:t>
            </w:r>
            <w:r>
              <w:rPr>
                <w:sz w:val="24"/>
              </w:rPr>
              <w:t>, а также интеграция в средства массовой информации по актуальным вопросам защиты прав потребителей. Организация и проведение тематических теле- и радиопередач с участием высококвалифицированных специалистов профильных ведомств.</w:t>
            </w:r>
            <w:r>
              <w:t xml:space="preserve"> Р</w:t>
            </w:r>
            <w:r>
              <w:rPr>
                <w:sz w:val="24"/>
              </w:rPr>
              <w:t>егулярное ведение тематических публикаций и рубрик, посвященных правам потребителей, механизмам их защиты, а также анализу типичных нарушений, встречающихся на потребительском рынке.</w:t>
            </w:r>
          </w:p>
        </w:tc>
        <w:tc>
          <w:tcPr>
            <w:tcW w:type="dxa" w:w="1564"/>
            <w:vAlign w:val="center"/>
          </w:tcPr>
          <w:p w14:paraId="A2030000">
            <w:pPr>
              <w:ind/>
              <w:jc w:val="center"/>
            </w:pPr>
            <w:r>
              <w:t>2026-2030 годы</w:t>
            </w:r>
          </w:p>
        </w:tc>
        <w:tc>
          <w:tcPr>
            <w:tcW w:type="dxa" w:w="3894"/>
            <w:vAlign w:val="center"/>
          </w:tcPr>
          <w:p w14:paraId="A3030000">
            <w:pPr>
              <w:pStyle w:val="Style_2"/>
              <w:ind/>
              <w:jc w:val="center"/>
              <w:rPr>
                <w:sz w:val="24"/>
              </w:rPr>
            </w:pPr>
            <w:r>
              <w:rPr>
                <w:sz w:val="24"/>
              </w:rPr>
              <w:t xml:space="preserve">Министерство образования и науки Республики Саха (Якутия); </w:t>
            </w:r>
          </w:p>
          <w:p w14:paraId="A4030000">
            <w:pPr>
              <w:pStyle w:val="Style_2"/>
              <w:ind/>
              <w:jc w:val="center"/>
              <w:rPr>
                <w:sz w:val="24"/>
              </w:rPr>
            </w:pPr>
            <w:r>
              <w:rPr>
                <w:sz w:val="24"/>
              </w:rPr>
              <w:t xml:space="preserve">Министерство здравоохранения Республики Саха (Якутия); </w:t>
            </w:r>
          </w:p>
          <w:p w14:paraId="A5030000">
            <w:pPr>
              <w:pStyle w:val="Style_2"/>
              <w:ind/>
              <w:jc w:val="center"/>
              <w:rPr>
                <w:sz w:val="24"/>
              </w:rPr>
            </w:pPr>
            <w:r>
              <w:rPr>
                <w:sz w:val="24"/>
              </w:rPr>
              <w:t>Министерство строительства Республики Саха (Якутия);</w:t>
            </w:r>
          </w:p>
          <w:p w14:paraId="A6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A703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A803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A9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AA030000">
            <w:pPr>
              <w:pStyle w:val="Style_2"/>
              <w:ind/>
              <w:jc w:val="center"/>
              <w:rPr>
                <w:sz w:val="24"/>
              </w:rPr>
            </w:pPr>
            <w:r>
              <w:rPr>
                <w:sz w:val="24"/>
              </w:rPr>
              <w:t>Министерство культуры и духовного развития Республики Саха (Якутия) (по согласованию);</w:t>
            </w:r>
          </w:p>
          <w:p w14:paraId="AB030000">
            <w:pPr>
              <w:pStyle w:val="Style_2"/>
              <w:ind/>
              <w:jc w:val="center"/>
              <w:rPr>
                <w:sz w:val="24"/>
              </w:rPr>
            </w:pPr>
            <w:r>
              <w:rPr>
                <w:sz w:val="24"/>
              </w:rPr>
              <w:t>Министерство труда и социального развития Республики Саха (Якутия);</w:t>
            </w:r>
          </w:p>
          <w:p w14:paraId="AC030000">
            <w:pPr>
              <w:pStyle w:val="Style_2"/>
              <w:ind/>
              <w:jc w:val="center"/>
              <w:rPr>
                <w:sz w:val="24"/>
              </w:rPr>
            </w:pPr>
            <w:r>
              <w:rPr>
                <w:sz w:val="24"/>
              </w:rPr>
              <w:t>Министерство по физической культуре и спорту Республики Саха (Якутия);</w:t>
            </w:r>
          </w:p>
          <w:p w14:paraId="AD03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p w14:paraId="AE03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AF030000">
            <w:pPr>
              <w:pStyle w:val="Style_2"/>
              <w:ind/>
              <w:jc w:val="center"/>
              <w:rPr>
                <w:sz w:val="24"/>
              </w:rPr>
            </w:pPr>
            <w:r>
              <w:rPr>
                <w:sz w:val="24"/>
              </w:rPr>
              <w:t>Органы местного самоуправления Республики Саха (Якутия);</w:t>
            </w:r>
          </w:p>
          <w:p w14:paraId="B0030000">
            <w:pPr>
              <w:pStyle w:val="Style_2"/>
              <w:ind/>
              <w:jc w:val="center"/>
              <w:rPr>
                <w:sz w:val="24"/>
              </w:rPr>
            </w:pPr>
            <w:r>
              <w:rPr>
                <w:sz w:val="24"/>
              </w:rPr>
              <w:t>Управление Роспотребнадзора по РС(Я)) (по согласованию);</w:t>
            </w:r>
          </w:p>
          <w:p w14:paraId="B1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B2030000">
            <w:pPr>
              <w:pStyle w:val="Style_2"/>
              <w:ind/>
              <w:jc w:val="center"/>
              <w:rPr>
                <w:sz w:val="24"/>
              </w:rPr>
            </w:pPr>
            <w:r>
              <w:rPr>
                <w:sz w:val="24"/>
              </w:rPr>
              <w:t>УФНС России по Республике Саха (Якутия) (по согласованию);</w:t>
            </w:r>
          </w:p>
          <w:p w14:paraId="B3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B4030000">
            <w:pPr>
              <w:pStyle w:val="Style_2"/>
              <w:ind/>
              <w:jc w:val="center"/>
              <w:rPr>
                <w:sz w:val="24"/>
              </w:rPr>
            </w:pPr>
            <w:r>
              <w:rPr>
                <w:sz w:val="24"/>
              </w:rPr>
              <w:t>ФБУЗ «Центр гигиены и эпидемиологии в Республике Саха (Якутия)»</w:t>
            </w:r>
            <w:r>
              <w:rPr>
                <w:sz w:val="24"/>
              </w:rPr>
              <w:t>;</w:t>
            </w:r>
          </w:p>
          <w:p w14:paraId="B5030000">
            <w:pPr>
              <w:pStyle w:val="Style_2"/>
              <w:ind/>
              <w:jc w:val="center"/>
              <w:rPr>
                <w:sz w:val="24"/>
              </w:rPr>
            </w:pPr>
            <w:r>
              <w:rPr>
                <w:sz w:val="24"/>
              </w:rPr>
              <w:t xml:space="preserve">Региональный центр поддержки маркировки «Честный знак» (по </w:t>
            </w:r>
            <w:r>
              <w:rPr>
                <w:sz w:val="24"/>
              </w:rPr>
              <w:t>согласованию);</w:t>
            </w:r>
          </w:p>
          <w:p w14:paraId="B6030000">
            <w:pPr>
              <w:pStyle w:val="Style_2"/>
              <w:ind/>
              <w:jc w:val="center"/>
              <w:rPr>
                <w:sz w:val="24"/>
              </w:rPr>
            </w:pPr>
            <w:r>
              <w:rPr>
                <w:sz w:val="24"/>
              </w:rPr>
              <w:t xml:space="preserve">Национальная вещательная компания «Саха» </w:t>
            </w:r>
            <w:r>
              <w:rPr>
                <w:sz w:val="24"/>
              </w:rPr>
              <w:t>(НВК «Саха») (по согласованию);</w:t>
            </w:r>
          </w:p>
          <w:p w14:paraId="B7030000">
            <w:pPr>
              <w:pStyle w:val="Style_2"/>
              <w:ind/>
              <w:jc w:val="center"/>
              <w:rPr>
                <w:sz w:val="24"/>
              </w:rPr>
            </w:pPr>
            <w:r>
              <w:rPr>
                <w:sz w:val="24"/>
              </w:rPr>
              <w:t xml:space="preserve">Государственное автономное учреждение Республики Саха (Якутия) </w:t>
            </w:r>
            <w:r>
              <w:rPr>
                <w:sz w:val="24"/>
              </w:rPr>
              <w:t>"САХАПЕЧАТЬ" (по согласованию);</w:t>
            </w:r>
          </w:p>
          <w:p w14:paraId="B8030000">
            <w:pPr>
              <w:pStyle w:val="Style_2"/>
              <w:ind/>
              <w:jc w:val="center"/>
              <w:rPr>
                <w:sz w:val="24"/>
              </w:rPr>
            </w:pP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B9030000">
            <w:pPr>
              <w:pStyle w:val="Style_2"/>
              <w:ind/>
              <w:jc w:val="center"/>
              <w:rPr>
                <w:sz w:val="24"/>
              </w:rPr>
            </w:pPr>
            <w:r>
              <w:rPr>
                <w:sz w:val="24"/>
              </w:rPr>
              <w:t>Автономное учреждение Республики Саха (Якутия) «Якутское-Саха информационн</w:t>
            </w:r>
            <w:r>
              <w:rPr>
                <w:sz w:val="24"/>
              </w:rPr>
              <w:t>ое агентство» (по согласованию).</w:t>
            </w:r>
          </w:p>
        </w:tc>
        <w:tc>
          <w:tcPr>
            <w:tcW w:type="dxa" w:w="4042"/>
            <w:vAlign w:val="center"/>
          </w:tcPr>
          <w:p w14:paraId="BA030000">
            <w:pPr>
              <w:pStyle w:val="Style_2"/>
              <w:ind w:firstLine="532"/>
              <w:jc w:val="both"/>
              <w:rPr>
                <w:sz w:val="24"/>
              </w:rPr>
            </w:pPr>
            <w:r>
              <w:rPr>
                <w:sz w:val="24"/>
              </w:rPr>
              <w:t>Существенное повышение уровня правовой грамотности и информированности граждан, а также усиление ответственности продавцов и исполнителей за качество оказываемых услуг, выполняемых работ и реализуемой продукции.</w:t>
            </w:r>
          </w:p>
        </w:tc>
      </w:tr>
      <w:tr>
        <w:tc>
          <w:tcPr>
            <w:tcW w:type="dxa" w:w="674"/>
            <w:vAlign w:val="center"/>
          </w:tcPr>
          <w:p w14:paraId="BB030000">
            <w:pPr>
              <w:pStyle w:val="Style_2"/>
              <w:ind/>
              <w:jc w:val="center"/>
              <w:rPr>
                <w:sz w:val="24"/>
              </w:rPr>
            </w:pPr>
            <w:r>
              <w:rPr>
                <w:sz w:val="24"/>
              </w:rPr>
              <w:t>2.10</w:t>
            </w:r>
          </w:p>
        </w:tc>
        <w:tc>
          <w:tcPr>
            <w:tcW w:type="dxa" w:w="4393"/>
            <w:vAlign w:val="center"/>
          </w:tcPr>
          <w:p w14:paraId="BC030000">
            <w:pPr>
              <w:pStyle w:val="Style_2"/>
              <w:ind w:firstLine="744"/>
              <w:jc w:val="both"/>
              <w:rPr>
                <w:sz w:val="24"/>
              </w:rPr>
            </w:pPr>
            <w:r>
              <w:rPr>
                <w:sz w:val="24"/>
              </w:rPr>
              <w:t xml:space="preserve">Размещение исчерпывающей и актуальной информации, касающейся защиты прав потребителей, на официальных </w:t>
            </w:r>
            <w:r>
              <w:rPr>
                <w:sz w:val="24"/>
              </w:rPr>
              <w:t>интернет-ресурсах</w:t>
            </w:r>
            <w:r>
              <w:rPr>
                <w:sz w:val="24"/>
              </w:rPr>
              <w:t xml:space="preserve"> Республики Саха (Якутия).</w:t>
            </w:r>
          </w:p>
          <w:p w14:paraId="BD030000">
            <w:pPr>
              <w:pStyle w:val="Style_2"/>
              <w:ind w:firstLine="744"/>
              <w:jc w:val="both"/>
              <w:rPr>
                <w:sz w:val="24"/>
              </w:rPr>
            </w:pPr>
            <w:r>
              <w:rPr>
                <w:sz w:val="24"/>
              </w:rPr>
              <w:t xml:space="preserve">Создание специальных </w:t>
            </w:r>
            <w:r>
              <w:rPr>
                <w:sz w:val="24"/>
              </w:rPr>
              <w:t>разделов «Защита прав потребите</w:t>
            </w:r>
            <w:r>
              <w:rPr>
                <w:sz w:val="24"/>
              </w:rPr>
              <w:t>лей» на сайтах органов и организаций, входящих в систему защиты прав потребителей</w:t>
            </w:r>
            <w:r>
              <w:rPr>
                <w:sz w:val="24"/>
              </w:rPr>
              <w:t>.</w:t>
            </w:r>
          </w:p>
        </w:tc>
        <w:tc>
          <w:tcPr>
            <w:tcW w:type="dxa" w:w="1564"/>
            <w:vAlign w:val="center"/>
          </w:tcPr>
          <w:p w14:paraId="BE030000">
            <w:pPr>
              <w:ind/>
              <w:jc w:val="center"/>
            </w:pPr>
            <w:r>
              <w:t>2026-2030 годы</w:t>
            </w:r>
          </w:p>
        </w:tc>
        <w:tc>
          <w:tcPr>
            <w:tcW w:type="dxa" w:w="3894"/>
            <w:vAlign w:val="center"/>
          </w:tcPr>
          <w:p w14:paraId="BF030000">
            <w:pPr>
              <w:pStyle w:val="Style_2"/>
              <w:ind/>
              <w:jc w:val="center"/>
              <w:rPr>
                <w:sz w:val="24"/>
              </w:rPr>
            </w:pPr>
            <w:r>
              <w:rPr>
                <w:sz w:val="24"/>
              </w:rPr>
              <w:t xml:space="preserve">Министерство образования и науки Республики Саха (Якутия); </w:t>
            </w:r>
          </w:p>
          <w:p w14:paraId="C0030000">
            <w:pPr>
              <w:pStyle w:val="Style_2"/>
              <w:ind/>
              <w:jc w:val="center"/>
              <w:rPr>
                <w:sz w:val="24"/>
              </w:rPr>
            </w:pPr>
            <w:r>
              <w:rPr>
                <w:sz w:val="24"/>
              </w:rPr>
              <w:t xml:space="preserve">Министерство здравоохранения Республики Саха (Якутия); </w:t>
            </w:r>
          </w:p>
          <w:p w14:paraId="C1030000">
            <w:pPr>
              <w:pStyle w:val="Style_2"/>
              <w:ind/>
              <w:jc w:val="center"/>
              <w:rPr>
                <w:sz w:val="24"/>
              </w:rPr>
            </w:pPr>
            <w:r>
              <w:rPr>
                <w:sz w:val="24"/>
              </w:rPr>
              <w:t>Министерство строительства Республики Саха (Якутия);</w:t>
            </w:r>
          </w:p>
          <w:p w14:paraId="C2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C303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C403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C5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C6030000">
            <w:pPr>
              <w:pStyle w:val="Style_2"/>
              <w:ind/>
              <w:jc w:val="center"/>
              <w:rPr>
                <w:sz w:val="24"/>
              </w:rPr>
            </w:pPr>
            <w:r>
              <w:rPr>
                <w:sz w:val="24"/>
              </w:rPr>
              <w:t>Министерство культуры и духовного развития Республики Саха (Якутия) (по согласованию);</w:t>
            </w:r>
          </w:p>
          <w:p w14:paraId="C7030000">
            <w:pPr>
              <w:pStyle w:val="Style_2"/>
              <w:ind/>
              <w:jc w:val="center"/>
              <w:rPr>
                <w:sz w:val="24"/>
              </w:rPr>
            </w:pPr>
            <w:r>
              <w:rPr>
                <w:sz w:val="24"/>
              </w:rPr>
              <w:t>Министерство труда и социального развития Республики Саха (Якутия);</w:t>
            </w:r>
          </w:p>
          <w:p w14:paraId="C8030000">
            <w:pPr>
              <w:pStyle w:val="Style_2"/>
              <w:ind/>
              <w:jc w:val="center"/>
              <w:rPr>
                <w:sz w:val="24"/>
              </w:rPr>
            </w:pPr>
            <w:r>
              <w:rPr>
                <w:sz w:val="24"/>
              </w:rPr>
              <w:t>Министерство по физической культуре и спорту Республики Саха (Якутия);</w:t>
            </w:r>
          </w:p>
          <w:p w14:paraId="C9030000">
            <w:pPr>
              <w:pStyle w:val="Style_2"/>
              <w:ind/>
              <w:jc w:val="center"/>
              <w:rPr>
                <w:sz w:val="24"/>
              </w:rPr>
            </w:pPr>
            <w:r>
              <w:rPr>
                <w:sz w:val="24"/>
              </w:rPr>
              <w:t>Министерство внутренних дел по Республике Саха (Якутия);</w:t>
            </w:r>
          </w:p>
          <w:p w14:paraId="CA030000">
            <w:pPr>
              <w:pStyle w:val="Style_2"/>
              <w:ind/>
              <w:jc w:val="center"/>
              <w:rPr>
                <w:sz w:val="24"/>
              </w:rPr>
            </w:pPr>
            <w:r>
              <w:rPr>
                <w:sz w:val="24"/>
              </w:rPr>
              <w:t>Министерство по делам молодёжи и социальным коммуникациям Республики Саха (Якутия)</w:t>
            </w:r>
            <w:r>
              <w:rPr>
                <w:sz w:val="24"/>
              </w:rPr>
              <w:t>;</w:t>
            </w:r>
          </w:p>
          <w:p w14:paraId="CB03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CC030000">
            <w:pPr>
              <w:pStyle w:val="Style_2"/>
              <w:ind/>
              <w:jc w:val="center"/>
              <w:rPr>
                <w:sz w:val="24"/>
              </w:rPr>
            </w:pPr>
            <w:r>
              <w:rPr>
                <w:sz w:val="24"/>
              </w:rPr>
              <w:t>Органы местного самоуправления Республики Саха (Якутия);</w:t>
            </w:r>
          </w:p>
          <w:p w14:paraId="CD030000">
            <w:pPr>
              <w:pStyle w:val="Style_2"/>
              <w:ind/>
              <w:jc w:val="center"/>
              <w:rPr>
                <w:sz w:val="24"/>
              </w:rPr>
            </w:pPr>
            <w:r>
              <w:rPr>
                <w:sz w:val="24"/>
              </w:rPr>
              <w:t>Управление Роспотребнадзора по РС(Я)) (по согласованию);</w:t>
            </w:r>
          </w:p>
          <w:p w14:paraId="CE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CF030000">
            <w:pPr>
              <w:pStyle w:val="Style_2"/>
              <w:ind/>
              <w:jc w:val="center"/>
              <w:rPr>
                <w:sz w:val="24"/>
              </w:rPr>
            </w:pPr>
            <w:r>
              <w:rPr>
                <w:sz w:val="24"/>
              </w:rPr>
              <w:t>Федеральное бюджетное учреждение «Государственный региональный центр стандартизации, метрологии и испытаний в Республике Саха (Якутия) (по согласованию);</w:t>
            </w:r>
          </w:p>
          <w:p w14:paraId="D003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D1030000">
            <w:pPr>
              <w:pStyle w:val="Style_2"/>
              <w:ind/>
              <w:jc w:val="center"/>
              <w:rPr>
                <w:sz w:val="24"/>
              </w:rPr>
            </w:pPr>
            <w:r>
              <w:rPr>
                <w:sz w:val="24"/>
              </w:rPr>
              <w:t>ТОГАДН по РС(Я)</w:t>
            </w:r>
            <w:r>
              <w:rPr>
                <w:sz w:val="24"/>
              </w:rPr>
              <w:t xml:space="preserve"> (по согласованию);</w:t>
            </w:r>
          </w:p>
          <w:p w14:paraId="D2030000">
            <w:pPr>
              <w:pStyle w:val="Style_2"/>
              <w:ind/>
              <w:jc w:val="center"/>
              <w:rPr>
                <w:sz w:val="24"/>
              </w:rPr>
            </w:pPr>
            <w:r>
              <w:rPr>
                <w:sz w:val="24"/>
              </w:rPr>
              <w:t>Управление федеральной налоговой службы по Республике Саха (Якутия) (далее - УФНС России по Республике Саха (Якутия) (по согласованию);</w:t>
            </w:r>
          </w:p>
          <w:p w14:paraId="D3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D4030000">
            <w:pPr>
              <w:pStyle w:val="Style_2"/>
              <w:ind/>
              <w:jc w:val="center"/>
              <w:rPr>
                <w:sz w:val="24"/>
              </w:rPr>
            </w:pPr>
            <w:r>
              <w:rPr>
                <w:sz w:val="24"/>
              </w:rPr>
              <w:t xml:space="preserve">Союз «Торгово-промышленная палата Республики Саха (Якутия)» (по согласованию); </w:t>
            </w:r>
          </w:p>
          <w:p w14:paraId="D5030000">
            <w:pPr>
              <w:pStyle w:val="Style_2"/>
              <w:ind/>
              <w:jc w:val="center"/>
              <w:rPr>
                <w:sz w:val="24"/>
              </w:rPr>
            </w:pPr>
            <w:r>
              <w:rPr>
                <w:sz w:val="24"/>
              </w:rPr>
              <w:t>Автономная некоммерческая организация «</w:t>
            </w:r>
            <w:r>
              <w:rPr>
                <w:sz w:val="24"/>
              </w:rPr>
              <w:t>Союзэкпертиза</w:t>
            </w:r>
            <w:r>
              <w:rPr>
                <w:sz w:val="24"/>
              </w:rPr>
              <w:t>» Торгово-промышленной палаты Республики Саха (Якутия) (по согласованию);</w:t>
            </w:r>
          </w:p>
          <w:p w14:paraId="D6030000">
            <w:pPr>
              <w:pStyle w:val="Style_2"/>
              <w:ind/>
              <w:jc w:val="center"/>
              <w:rPr>
                <w:sz w:val="24"/>
              </w:rPr>
            </w:pPr>
            <w:r>
              <w:rPr>
                <w:sz w:val="24"/>
              </w:rPr>
              <w:t>Общественные организации по защите прав потребителей (по согласованию);</w:t>
            </w:r>
          </w:p>
          <w:p w14:paraId="D7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D8030000">
            <w:pPr>
              <w:pStyle w:val="Style_2"/>
              <w:ind/>
              <w:jc w:val="center"/>
              <w:rPr>
                <w:sz w:val="24"/>
              </w:rPr>
            </w:pPr>
            <w:r>
              <w:rPr>
                <w:sz w:val="24"/>
              </w:rPr>
              <w:t>Национальная вещательная компания «Саха» (НВК «Саха») (по согласованию);</w:t>
            </w:r>
          </w:p>
          <w:p w14:paraId="D9030000">
            <w:pPr>
              <w:pStyle w:val="Style_2"/>
              <w:ind/>
              <w:jc w:val="center"/>
              <w:rPr>
                <w:sz w:val="24"/>
              </w:rPr>
            </w:pPr>
            <w:r>
              <w:rPr>
                <w:sz w:val="24"/>
              </w:rPr>
              <w:t>Государственное автономное учреждение Республики Саха (Якутия) "САХАПЕЧАТЬ" (по согласованию);</w:t>
            </w:r>
          </w:p>
          <w:p w14:paraId="DA030000">
            <w:pPr>
              <w:pStyle w:val="Style_2"/>
              <w:ind/>
              <w:jc w:val="center"/>
              <w:rPr>
                <w:sz w:val="24"/>
              </w:rPr>
            </w:pPr>
            <w:r>
              <w:rPr>
                <w:sz w:val="24"/>
              </w:rPr>
              <w:t>Федеральное бюджетное учреждение здравоохранения «Центр гигиены и эпидемиологии в Республике Саха (Якутия)» (далее - ФБУЗ «Центр гигиены и эпидемиологии в Республике Саха (Якутия)») (по согласованию);</w:t>
            </w:r>
          </w:p>
          <w:p w14:paraId="DB03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DC030000">
            <w:pPr>
              <w:pStyle w:val="Style_2"/>
              <w:ind/>
              <w:jc w:val="center"/>
              <w:rPr>
                <w:sz w:val="24"/>
              </w:rPr>
            </w:pPr>
            <w:r>
              <w:rPr>
                <w:sz w:val="24"/>
              </w:rPr>
              <w:t>Учреждения среднего профессионального и высшего образования (по согласованию);</w:t>
            </w:r>
          </w:p>
          <w:p w14:paraId="DD030000">
            <w:pPr>
              <w:pStyle w:val="Style_2"/>
              <w:ind/>
              <w:jc w:val="center"/>
              <w:rPr>
                <w:sz w:val="24"/>
              </w:rPr>
            </w:pPr>
            <w:r>
              <w:rPr>
                <w:sz w:val="24"/>
              </w:rPr>
              <w:t>Региональный центр поддержки маркировки «Честный знак» (по согласованию);</w:t>
            </w:r>
          </w:p>
          <w:p w14:paraId="DE030000">
            <w:pPr>
              <w:pStyle w:val="Style_2"/>
              <w:ind/>
              <w:jc w:val="center"/>
              <w:rPr>
                <w:sz w:val="24"/>
              </w:rPr>
            </w:pP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DF030000">
            <w:pPr>
              <w:pStyle w:val="Style_2"/>
              <w:ind/>
              <w:jc w:val="center"/>
              <w:rPr>
                <w:sz w:val="24"/>
              </w:rPr>
            </w:pPr>
            <w:r>
              <w:rPr>
                <w:sz w:val="24"/>
              </w:rPr>
              <w:t>Автономное учреждение Республики Саха (Якутия) «Якутское-Саха информационное агентство» (по согласованию);</w:t>
            </w:r>
          </w:p>
          <w:p w14:paraId="E0030000">
            <w:pPr>
              <w:pStyle w:val="Style_2"/>
              <w:ind/>
              <w:jc w:val="center"/>
              <w:rPr>
                <w:sz w:val="24"/>
              </w:rPr>
            </w:pPr>
            <w:r>
              <w:rPr>
                <w:sz w:val="24"/>
              </w:rPr>
              <w:t>Общественная палата Республики Саха (Якутия) (по согласованию).</w:t>
            </w:r>
          </w:p>
          <w:p w14:paraId="E1030000">
            <w:pPr>
              <w:pStyle w:val="Style_2"/>
              <w:ind/>
              <w:jc w:val="center"/>
              <w:rPr>
                <w:sz w:val="24"/>
              </w:rPr>
            </w:pPr>
            <w:r>
              <w:rPr>
                <w:sz w:val="24"/>
              </w:rPr>
              <w:t>Союз "Торгово-промышленная палата Республики Саха (Якутия)" (по согласованию)</w:t>
            </w:r>
          </w:p>
        </w:tc>
        <w:tc>
          <w:tcPr>
            <w:tcW w:type="dxa" w:w="4042"/>
            <w:vAlign w:val="center"/>
          </w:tcPr>
          <w:p w14:paraId="E2030000">
            <w:pPr>
              <w:pStyle w:val="Style_2"/>
              <w:ind w:firstLine="532"/>
              <w:jc w:val="both"/>
              <w:rPr>
                <w:sz w:val="24"/>
              </w:rPr>
            </w:pPr>
            <w:r>
              <w:rPr>
                <w:sz w:val="24"/>
              </w:rPr>
              <w:t>Достижение качественно нового уровня правовой грамотности и информированности граждан о своих правах и способах их защиты на территории Республики Саха (Якутия).</w:t>
            </w:r>
          </w:p>
        </w:tc>
      </w:tr>
      <w:tr>
        <w:tc>
          <w:tcPr>
            <w:tcW w:type="dxa" w:w="674"/>
            <w:vAlign w:val="center"/>
          </w:tcPr>
          <w:p w14:paraId="E3030000">
            <w:pPr>
              <w:pStyle w:val="Style_2"/>
              <w:ind/>
              <w:jc w:val="center"/>
              <w:rPr>
                <w:sz w:val="24"/>
              </w:rPr>
            </w:pPr>
            <w:r>
              <w:rPr>
                <w:sz w:val="24"/>
              </w:rPr>
              <w:t>2.11</w:t>
            </w:r>
          </w:p>
        </w:tc>
        <w:tc>
          <w:tcPr>
            <w:tcW w:type="dxa" w:w="4393"/>
            <w:vAlign w:val="center"/>
          </w:tcPr>
          <w:p w14:paraId="E4030000">
            <w:pPr>
              <w:pStyle w:val="Style_2"/>
              <w:ind w:firstLine="460"/>
              <w:jc w:val="both"/>
              <w:rPr>
                <w:sz w:val="24"/>
              </w:rPr>
            </w:pPr>
            <w:r>
              <w:rPr>
                <w:sz w:val="24"/>
              </w:rPr>
              <w:t>Создание и распространение социальной рекламы, направленной на повышение осведомленности граждан о правах потребителей.</w:t>
            </w:r>
          </w:p>
        </w:tc>
        <w:tc>
          <w:tcPr>
            <w:tcW w:type="dxa" w:w="1564"/>
            <w:vAlign w:val="center"/>
          </w:tcPr>
          <w:p w14:paraId="E5030000">
            <w:pPr>
              <w:ind/>
              <w:jc w:val="center"/>
            </w:pPr>
            <w:r>
              <w:t>2026-2030 годы</w:t>
            </w:r>
          </w:p>
        </w:tc>
        <w:tc>
          <w:tcPr>
            <w:tcW w:type="dxa" w:w="3894"/>
            <w:vAlign w:val="center"/>
          </w:tcPr>
          <w:p w14:paraId="E6030000">
            <w:pPr>
              <w:pStyle w:val="Style_2"/>
              <w:ind/>
              <w:jc w:val="center"/>
              <w:rPr>
                <w:sz w:val="24"/>
              </w:rPr>
            </w:pPr>
            <w:r>
              <w:rPr>
                <w:sz w:val="24"/>
              </w:rPr>
              <w:t xml:space="preserve">Министерство образования и науки Республики Саха (Якутия); </w:t>
            </w:r>
          </w:p>
          <w:p w14:paraId="E7030000">
            <w:pPr>
              <w:pStyle w:val="Style_2"/>
              <w:ind/>
              <w:jc w:val="center"/>
              <w:rPr>
                <w:sz w:val="24"/>
              </w:rPr>
            </w:pPr>
            <w:r>
              <w:rPr>
                <w:sz w:val="24"/>
              </w:rPr>
              <w:t xml:space="preserve">Министерство здравоохранения Республики Саха (Якутия); </w:t>
            </w:r>
          </w:p>
          <w:p w14:paraId="E803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E903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EA030000">
            <w:pPr>
              <w:pStyle w:val="Style_2"/>
              <w:ind/>
              <w:jc w:val="center"/>
              <w:rPr>
                <w:sz w:val="24"/>
              </w:rPr>
            </w:pPr>
            <w:r>
              <w:rPr>
                <w:sz w:val="24"/>
              </w:rPr>
              <w:t>Министерство культуры и духовного развития Республики Саха (Якутия) (по согласованию);</w:t>
            </w:r>
          </w:p>
          <w:p w14:paraId="EB030000">
            <w:pPr>
              <w:pStyle w:val="Style_2"/>
              <w:ind/>
              <w:jc w:val="center"/>
              <w:rPr>
                <w:sz w:val="24"/>
              </w:rPr>
            </w:pPr>
            <w:r>
              <w:rPr>
                <w:sz w:val="24"/>
              </w:rPr>
              <w:t>Министерство труда и социального развития Республики Саха (Якутия);</w:t>
            </w:r>
          </w:p>
          <w:p w14:paraId="EC030000">
            <w:pPr>
              <w:pStyle w:val="Style_2"/>
              <w:ind/>
              <w:jc w:val="center"/>
              <w:rPr>
                <w:sz w:val="24"/>
              </w:rPr>
            </w:pPr>
            <w:r>
              <w:rPr>
                <w:sz w:val="24"/>
              </w:rPr>
              <w:t>Министерство по физической культуре и спорту Республики Саха (Якутия);</w:t>
            </w:r>
          </w:p>
          <w:p w14:paraId="ED030000">
            <w:pPr>
              <w:pStyle w:val="Style_2"/>
              <w:ind/>
              <w:jc w:val="center"/>
              <w:rPr>
                <w:sz w:val="24"/>
              </w:rPr>
            </w:pPr>
            <w:r>
              <w:rPr>
                <w:sz w:val="24"/>
              </w:rPr>
              <w:t>Министерство внутренних дел по Республике Саха (Якутия) " (по согласованию);</w:t>
            </w:r>
          </w:p>
          <w:p w14:paraId="EE030000">
            <w:pPr>
              <w:pStyle w:val="Style_2"/>
              <w:ind/>
              <w:jc w:val="center"/>
              <w:rPr>
                <w:sz w:val="24"/>
              </w:rPr>
            </w:pPr>
            <w:r>
              <w:rPr>
                <w:sz w:val="24"/>
              </w:rPr>
              <w:t>Органы местного самоуправления Республики Саха (Якутия);</w:t>
            </w:r>
          </w:p>
          <w:p w14:paraId="EF030000">
            <w:pPr>
              <w:pStyle w:val="Style_2"/>
              <w:ind/>
              <w:jc w:val="center"/>
              <w:rPr>
                <w:sz w:val="24"/>
              </w:rPr>
            </w:pPr>
            <w:r>
              <w:rPr>
                <w:sz w:val="24"/>
              </w:rPr>
              <w:t>Управление Роспотребнадзора по РС(Я)) (по согласованию);</w:t>
            </w:r>
          </w:p>
          <w:p w14:paraId="F003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F1030000">
            <w:pPr>
              <w:pStyle w:val="Style_2"/>
              <w:ind/>
              <w:jc w:val="center"/>
              <w:rPr>
                <w:sz w:val="24"/>
              </w:rPr>
            </w:pPr>
            <w:r>
              <w:rPr>
                <w:sz w:val="24"/>
              </w:rPr>
              <w:t>УФНС России по Республике Саха (Якутия) (по согласованию);</w:t>
            </w:r>
          </w:p>
          <w:p w14:paraId="F203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F3030000">
            <w:pPr>
              <w:pStyle w:val="Style_2"/>
              <w:ind/>
              <w:jc w:val="center"/>
              <w:rPr>
                <w:sz w:val="24"/>
              </w:rPr>
            </w:pPr>
            <w:r>
              <w:rPr>
                <w:sz w:val="24"/>
              </w:rPr>
              <w:t xml:space="preserve">Союз «Торгово-промышленная палата Республики Саха (Якутия)» (по согласованию); </w:t>
            </w:r>
          </w:p>
          <w:p w14:paraId="F4030000">
            <w:pPr>
              <w:pStyle w:val="Style_2"/>
              <w:ind/>
              <w:jc w:val="center"/>
              <w:rPr>
                <w:sz w:val="24"/>
              </w:rPr>
            </w:pPr>
            <w:r>
              <w:rPr>
                <w:sz w:val="24"/>
              </w:rPr>
              <w:t>Общественные организации по защите прав потребителей (по согласованию);</w:t>
            </w:r>
          </w:p>
          <w:p w14:paraId="F5030000">
            <w:pPr>
              <w:pStyle w:val="Style_2"/>
              <w:ind/>
              <w:jc w:val="center"/>
              <w:rPr>
                <w:sz w:val="24"/>
              </w:rPr>
            </w:pPr>
            <w:r>
              <w:rPr>
                <w:sz w:val="24"/>
              </w:rPr>
              <w:t>Государственное казенное учреждение Республики Саха (Якутия) «Национальная библиотека Республики Саха (Якутия)»;</w:t>
            </w:r>
          </w:p>
          <w:p w14:paraId="F6030000">
            <w:pPr>
              <w:pStyle w:val="Style_2"/>
              <w:ind/>
              <w:jc w:val="center"/>
              <w:rPr>
                <w:sz w:val="24"/>
              </w:rPr>
            </w:pPr>
            <w:r>
              <w:rPr>
                <w:sz w:val="24"/>
              </w:rPr>
              <w:t>Национальная вещательная компания «Саха» (НВК «Саха») (по согласованию);</w:t>
            </w:r>
          </w:p>
          <w:p w14:paraId="F7030000">
            <w:pPr>
              <w:pStyle w:val="Style_2"/>
              <w:ind/>
              <w:jc w:val="center"/>
              <w:rPr>
                <w:sz w:val="24"/>
              </w:rPr>
            </w:pPr>
            <w:r>
              <w:rPr>
                <w:sz w:val="24"/>
              </w:rPr>
              <w:t>ФБУЗ «Центр гигиены и эпидемиологии в Республике Саха (Якутия)») (по согласованию);</w:t>
            </w:r>
          </w:p>
          <w:p w14:paraId="F803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F9030000">
            <w:pPr>
              <w:pStyle w:val="Style_2"/>
              <w:ind/>
              <w:jc w:val="center"/>
              <w:rPr>
                <w:sz w:val="24"/>
              </w:rPr>
            </w:pPr>
            <w:r>
              <w:rPr>
                <w:sz w:val="24"/>
              </w:rPr>
              <w:t>Учреждения среднего профессионального и высшего образования (по согласованию);</w:t>
            </w:r>
          </w:p>
          <w:p w14:paraId="FA030000">
            <w:pPr>
              <w:pStyle w:val="Style_2"/>
              <w:ind/>
              <w:jc w:val="center"/>
              <w:rPr>
                <w:sz w:val="24"/>
              </w:rPr>
            </w:pPr>
            <w:r>
              <w:rPr>
                <w:sz w:val="24"/>
              </w:rPr>
              <w:t>Региональный центр поддержки маркировки «Честный знак» (по согласованию);</w:t>
            </w:r>
          </w:p>
          <w:p w14:paraId="FB030000">
            <w:pPr>
              <w:pStyle w:val="Style_2"/>
              <w:ind/>
              <w:jc w:val="center"/>
              <w:rPr>
                <w:sz w:val="24"/>
              </w:rPr>
            </w:pPr>
            <w:r>
              <w:rPr>
                <w:sz w:val="24"/>
              </w:rPr>
              <w:t xml:space="preserve">Акционерное общество «Республиканский информационно-издательский холдинг </w:t>
            </w:r>
            <w:r>
              <w:rPr>
                <w:sz w:val="24"/>
              </w:rPr>
              <w:t>Сахамедиа</w:t>
            </w:r>
            <w:r>
              <w:rPr>
                <w:sz w:val="24"/>
              </w:rPr>
              <w:t>» (по согласованию);</w:t>
            </w:r>
          </w:p>
          <w:p w14:paraId="FC030000">
            <w:pPr>
              <w:pStyle w:val="Style_2"/>
              <w:ind/>
              <w:jc w:val="center"/>
              <w:rPr>
                <w:sz w:val="24"/>
              </w:rPr>
            </w:pPr>
            <w:r>
              <w:rPr>
                <w:sz w:val="24"/>
              </w:rPr>
              <w:t>Автономное учреждение Республики Саха (Якутия) «Якутское-Саха информационное агентство» (по согласованию);</w:t>
            </w:r>
          </w:p>
          <w:p w14:paraId="FD030000">
            <w:pPr>
              <w:pStyle w:val="Style_2"/>
              <w:ind/>
              <w:jc w:val="center"/>
              <w:rPr>
                <w:sz w:val="24"/>
              </w:rPr>
            </w:pPr>
            <w:r>
              <w:rPr>
                <w:sz w:val="24"/>
              </w:rPr>
              <w:t>Общественная палата Республики Саха (Якутия) (по согласованию).</w:t>
            </w:r>
          </w:p>
          <w:p w14:paraId="FE030000">
            <w:pPr>
              <w:pStyle w:val="Style_2"/>
              <w:ind/>
              <w:jc w:val="center"/>
              <w:rPr>
                <w:sz w:val="24"/>
              </w:rPr>
            </w:pPr>
            <w:r>
              <w:rPr>
                <w:sz w:val="24"/>
              </w:rPr>
              <w:t>Союз "Торгово-промышленная палата Республики Саха (Якутия)" (по согласованию)</w:t>
            </w:r>
            <w:r>
              <w:rPr>
                <w:sz w:val="24"/>
              </w:rPr>
              <w:t>.</w:t>
            </w:r>
          </w:p>
        </w:tc>
        <w:tc>
          <w:tcPr>
            <w:tcW w:type="dxa" w:w="4042"/>
            <w:vAlign w:val="center"/>
          </w:tcPr>
          <w:p w14:paraId="FF030000">
            <w:pPr>
              <w:pStyle w:val="Style_2"/>
              <w:ind w:firstLine="532"/>
              <w:jc w:val="both"/>
              <w:rPr>
                <w:sz w:val="24"/>
              </w:rPr>
            </w:pPr>
            <w:r>
              <w:rPr>
                <w:sz w:val="24"/>
              </w:rPr>
              <w:t>Увеличение уровня правовой грамотности и информированности населения Республики Саха (Якутия) в сфере защиты прав потребителей.</w:t>
            </w:r>
          </w:p>
        </w:tc>
      </w:tr>
      <w:tr>
        <w:tc>
          <w:tcPr>
            <w:tcW w:type="dxa" w:w="674"/>
            <w:vAlign w:val="center"/>
          </w:tcPr>
          <w:p w14:paraId="00040000">
            <w:pPr>
              <w:pStyle w:val="Style_2"/>
              <w:ind/>
              <w:jc w:val="center"/>
              <w:rPr>
                <w:sz w:val="24"/>
              </w:rPr>
            </w:pPr>
            <w:r>
              <w:rPr>
                <w:sz w:val="24"/>
              </w:rPr>
              <w:t>2.12</w:t>
            </w:r>
          </w:p>
        </w:tc>
        <w:tc>
          <w:tcPr>
            <w:tcW w:type="dxa" w:w="4393"/>
            <w:vAlign w:val="center"/>
          </w:tcPr>
          <w:p w14:paraId="01040000">
            <w:pPr>
              <w:pStyle w:val="Style_2"/>
              <w:ind w:firstLine="460"/>
              <w:jc w:val="both"/>
              <w:rPr>
                <w:sz w:val="24"/>
              </w:rPr>
            </w:pPr>
            <w:r>
              <w:rPr>
                <w:sz w:val="24"/>
              </w:rPr>
              <w:t>Организация проведения консультаций по вопросам защиты прав потребителей для граждан.</w:t>
            </w:r>
          </w:p>
        </w:tc>
        <w:tc>
          <w:tcPr>
            <w:tcW w:type="dxa" w:w="1564"/>
            <w:vAlign w:val="center"/>
          </w:tcPr>
          <w:p w14:paraId="02040000">
            <w:pPr>
              <w:ind/>
              <w:jc w:val="center"/>
            </w:pPr>
            <w:r>
              <w:t>2026-2030 годы</w:t>
            </w:r>
          </w:p>
        </w:tc>
        <w:tc>
          <w:tcPr>
            <w:tcW w:type="dxa" w:w="3894"/>
            <w:vAlign w:val="center"/>
          </w:tcPr>
          <w:p w14:paraId="03040000">
            <w:pPr>
              <w:pStyle w:val="Style_2"/>
              <w:ind/>
              <w:jc w:val="center"/>
              <w:rPr>
                <w:sz w:val="24"/>
              </w:rPr>
            </w:pPr>
            <w:r>
              <w:rPr>
                <w:sz w:val="24"/>
              </w:rPr>
              <w:t xml:space="preserve">Министерство образования и науки Республики Саха (Якутия); </w:t>
            </w:r>
          </w:p>
          <w:p w14:paraId="04040000">
            <w:pPr>
              <w:pStyle w:val="Style_2"/>
              <w:ind/>
              <w:jc w:val="center"/>
              <w:rPr>
                <w:sz w:val="24"/>
              </w:rPr>
            </w:pPr>
            <w:r>
              <w:rPr>
                <w:sz w:val="24"/>
              </w:rPr>
              <w:t xml:space="preserve">Министерство здравоохранения Республики Саха (Якутия); </w:t>
            </w:r>
          </w:p>
          <w:p w14:paraId="05040000">
            <w:pPr>
              <w:pStyle w:val="Style_2"/>
              <w:ind/>
              <w:jc w:val="center"/>
              <w:rPr>
                <w:sz w:val="24"/>
              </w:rPr>
            </w:pPr>
            <w:r>
              <w:rPr>
                <w:sz w:val="24"/>
              </w:rPr>
              <w:t>Министерство строительства Республики Саха (Якутия);</w:t>
            </w:r>
          </w:p>
          <w:p w14:paraId="06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07040000">
            <w:pPr>
              <w:pStyle w:val="Style_2"/>
              <w:ind/>
              <w:jc w:val="center"/>
              <w:rPr>
                <w:sz w:val="24"/>
              </w:rPr>
            </w:pPr>
            <w:r>
              <w:rPr>
                <w:sz w:val="24"/>
              </w:rPr>
              <w:t xml:space="preserve">Министерство сельского хозяйства и продовольственной политики Республики Саха (Якутия); </w:t>
            </w:r>
          </w:p>
          <w:p w14:paraId="08040000">
            <w:pPr>
              <w:pStyle w:val="Style_2"/>
              <w:ind/>
              <w:jc w:val="center"/>
              <w:rPr>
                <w:sz w:val="24"/>
              </w:rPr>
            </w:pPr>
            <w:r>
              <w:rPr>
                <w:sz w:val="24"/>
              </w:rPr>
              <w:t xml:space="preserve">Министерство жилищно-коммунального хозяйства и энергетики Республики Саха (Якутия); </w:t>
            </w:r>
          </w:p>
          <w:p w14:paraId="0904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0A040000">
            <w:pPr>
              <w:pStyle w:val="Style_2"/>
              <w:ind/>
              <w:jc w:val="center"/>
              <w:rPr>
                <w:sz w:val="24"/>
              </w:rPr>
            </w:pPr>
            <w:r>
              <w:rPr>
                <w:sz w:val="24"/>
              </w:rPr>
              <w:t>Министерство труда и социального развития Республики Саха (Якутия);</w:t>
            </w:r>
          </w:p>
          <w:p w14:paraId="0B040000">
            <w:pPr>
              <w:pStyle w:val="Style_2"/>
              <w:ind/>
              <w:jc w:val="center"/>
              <w:rPr>
                <w:sz w:val="24"/>
              </w:rPr>
            </w:pPr>
            <w:r>
              <w:rPr>
                <w:sz w:val="24"/>
              </w:rPr>
              <w:t>Министерство внутренних дел по Республике Саха (Якутия);</w:t>
            </w:r>
          </w:p>
          <w:p w14:paraId="0C040000">
            <w:pPr>
              <w:pStyle w:val="Style_2"/>
              <w:ind/>
              <w:jc w:val="center"/>
              <w:rPr>
                <w:sz w:val="24"/>
              </w:rPr>
            </w:pPr>
            <w:r>
              <w:rPr>
                <w:sz w:val="24"/>
              </w:rPr>
              <w:t xml:space="preserve">Управление государственного строительного и жилищного надзора Республики Саха (Якутия); </w:t>
            </w:r>
          </w:p>
          <w:p w14:paraId="0D040000">
            <w:pPr>
              <w:pStyle w:val="Style_2"/>
              <w:ind/>
              <w:jc w:val="center"/>
              <w:rPr>
                <w:sz w:val="24"/>
              </w:rPr>
            </w:pPr>
            <w:r>
              <w:rPr>
                <w:sz w:val="24"/>
              </w:rPr>
              <w:t>Органы местного самоуправления Республики Саха (Якутия);</w:t>
            </w:r>
          </w:p>
          <w:p w14:paraId="0E040000">
            <w:pPr>
              <w:pStyle w:val="Style_2"/>
              <w:ind/>
              <w:jc w:val="center"/>
              <w:rPr>
                <w:sz w:val="24"/>
              </w:rPr>
            </w:pPr>
            <w:r>
              <w:rPr>
                <w:sz w:val="24"/>
              </w:rPr>
              <w:t>Управление Роспотребнадзора по РС(Я)) (по согласованию);</w:t>
            </w:r>
          </w:p>
          <w:p w14:paraId="0F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10040000">
            <w:pPr>
              <w:pStyle w:val="Style_2"/>
              <w:ind/>
              <w:jc w:val="center"/>
              <w:rPr>
                <w:sz w:val="24"/>
              </w:rPr>
            </w:pPr>
            <w:r>
              <w:rPr>
                <w:sz w:val="24"/>
              </w:rPr>
              <w:t>ТОГАДН по РС(Я)</w:t>
            </w:r>
            <w:r>
              <w:rPr>
                <w:sz w:val="24"/>
              </w:rPr>
              <w:t xml:space="preserve"> (по согласованию);</w:t>
            </w:r>
          </w:p>
          <w:p w14:paraId="11040000">
            <w:pPr>
              <w:pStyle w:val="Style_2"/>
              <w:ind/>
              <w:jc w:val="center"/>
              <w:rPr>
                <w:sz w:val="24"/>
              </w:rPr>
            </w:pPr>
            <w:r>
              <w:rPr>
                <w:sz w:val="24"/>
              </w:rPr>
              <w:t>Управление федеральной налоговой службы по Республике Саха (Якутия) (далее - УФНС России по Республике Саха (Якутия) (по согласованию);</w:t>
            </w:r>
          </w:p>
          <w:p w14:paraId="12040000">
            <w:pPr>
              <w:pStyle w:val="Style_2"/>
              <w:ind/>
              <w:jc w:val="center"/>
              <w:rPr>
                <w:sz w:val="24"/>
              </w:rPr>
            </w:pPr>
            <w:r>
              <w:rPr>
                <w:sz w:val="24"/>
              </w:rPr>
              <w:t xml:space="preserve">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 </w:t>
            </w:r>
          </w:p>
          <w:p w14:paraId="13040000">
            <w:pPr>
              <w:pStyle w:val="Style_2"/>
              <w:ind/>
              <w:jc w:val="center"/>
              <w:rPr>
                <w:sz w:val="24"/>
              </w:rPr>
            </w:pPr>
            <w:r>
              <w:rPr>
                <w:sz w:val="24"/>
              </w:rPr>
              <w:t xml:space="preserve">Союз «Торгово-промышленная палата Республики Саха (Якутия)» (по согласованию); </w:t>
            </w:r>
          </w:p>
          <w:p w14:paraId="14040000">
            <w:pPr>
              <w:pStyle w:val="Style_2"/>
              <w:ind/>
              <w:jc w:val="center"/>
              <w:rPr>
                <w:sz w:val="24"/>
              </w:rPr>
            </w:pPr>
            <w:r>
              <w:rPr>
                <w:sz w:val="24"/>
              </w:rPr>
              <w:t>Автономная некоммерческая организация «</w:t>
            </w:r>
            <w:r>
              <w:rPr>
                <w:sz w:val="24"/>
              </w:rPr>
              <w:t>Союзэкпертиза</w:t>
            </w:r>
            <w:r>
              <w:rPr>
                <w:sz w:val="24"/>
              </w:rPr>
              <w:t>» Торгово-промышленной палаты Республики Саха (Якутия) (по согласованию);</w:t>
            </w:r>
          </w:p>
          <w:p w14:paraId="15040000">
            <w:pPr>
              <w:pStyle w:val="Style_2"/>
              <w:ind/>
              <w:jc w:val="center"/>
              <w:rPr>
                <w:sz w:val="24"/>
              </w:rPr>
            </w:pPr>
            <w:r>
              <w:rPr>
                <w:sz w:val="24"/>
              </w:rPr>
              <w:t>Общественные организации по защите прав потребителей (по согласованию);</w:t>
            </w:r>
          </w:p>
          <w:p w14:paraId="16040000">
            <w:pPr>
              <w:pStyle w:val="Style_2"/>
              <w:ind/>
              <w:jc w:val="center"/>
              <w:rPr>
                <w:sz w:val="24"/>
              </w:rPr>
            </w:pPr>
            <w:r>
              <w:rPr>
                <w:sz w:val="24"/>
              </w:rPr>
              <w:t>ФБУЗ «Центр гигиены и эпидемиологии в Республике Са</w:t>
            </w:r>
            <w:r>
              <w:rPr>
                <w:sz w:val="24"/>
              </w:rPr>
              <w:t>ха (Якутия)») (по согласованию).</w:t>
            </w:r>
          </w:p>
        </w:tc>
        <w:tc>
          <w:tcPr>
            <w:tcW w:type="dxa" w:w="4042"/>
            <w:vAlign w:val="center"/>
          </w:tcPr>
          <w:p w14:paraId="17040000">
            <w:pPr>
              <w:pStyle w:val="Style_2"/>
              <w:ind w:firstLine="532"/>
              <w:jc w:val="both"/>
              <w:rPr>
                <w:sz w:val="24"/>
              </w:rPr>
            </w:pPr>
            <w:r>
              <w:rPr>
                <w:sz w:val="24"/>
              </w:rPr>
              <w:t>Предоставление населению Республики Саха (Якутия) бесплатной консультационной помощи по актуальным вопросам в сфере защиты их потребительских прав.</w:t>
            </w:r>
          </w:p>
        </w:tc>
      </w:tr>
      <w:tr>
        <w:tc>
          <w:tcPr>
            <w:tcW w:type="dxa" w:w="674"/>
            <w:vAlign w:val="center"/>
          </w:tcPr>
          <w:p w14:paraId="18040000">
            <w:pPr>
              <w:pStyle w:val="Style_2"/>
              <w:ind/>
              <w:jc w:val="center"/>
              <w:rPr>
                <w:sz w:val="24"/>
              </w:rPr>
            </w:pPr>
            <w:r>
              <w:rPr>
                <w:sz w:val="24"/>
              </w:rPr>
              <w:t>2.13</w:t>
            </w:r>
          </w:p>
        </w:tc>
        <w:tc>
          <w:tcPr>
            <w:tcW w:type="dxa" w:w="4393"/>
            <w:vAlign w:val="center"/>
          </w:tcPr>
          <w:p w14:paraId="19040000">
            <w:pPr>
              <w:pStyle w:val="Style_2"/>
              <w:ind w:firstLine="460"/>
              <w:jc w:val="both"/>
              <w:rPr>
                <w:sz w:val="24"/>
              </w:rPr>
            </w:pPr>
            <w:r>
              <w:rPr>
                <w:sz w:val="24"/>
              </w:rPr>
              <w:t>Обеспечение комплексной правовой поддержки потребителей, уделяя особое внимание социально уязвимым группам населения: предоставление юридических консультаций, разработка проектов претензий и исковых заявлений, представление интересов в судах, включая судебную защиту. Осуществление предъявления исковых заявлений в защиту как индивидуальных потребителей и групп потребителей, так и неопределенного круга потребителей, при этом опираясь на положения действующего законодательства. Подготовка экспертных заключений по делам в рамках защиты прав потребителей. Анализ актуальной судебной практики по вопросам защиты прав потребителей.</w:t>
            </w:r>
          </w:p>
        </w:tc>
        <w:tc>
          <w:tcPr>
            <w:tcW w:type="dxa" w:w="1564"/>
            <w:vAlign w:val="center"/>
          </w:tcPr>
          <w:p w14:paraId="1A040000">
            <w:pPr>
              <w:ind/>
              <w:jc w:val="center"/>
            </w:pPr>
            <w:r>
              <w:t>2026-2030 годы</w:t>
            </w:r>
          </w:p>
        </w:tc>
        <w:tc>
          <w:tcPr>
            <w:tcW w:type="dxa" w:w="3894"/>
            <w:vAlign w:val="center"/>
          </w:tcPr>
          <w:p w14:paraId="1B040000">
            <w:pPr>
              <w:pStyle w:val="Style_2"/>
              <w:ind/>
              <w:jc w:val="center"/>
              <w:rPr>
                <w:sz w:val="24"/>
              </w:rPr>
            </w:pPr>
            <w:r>
              <w:rPr>
                <w:sz w:val="24"/>
              </w:rPr>
              <w:t>Органы местного самоуправления Республики Саха (Якутия);</w:t>
            </w:r>
          </w:p>
          <w:p w14:paraId="1C040000">
            <w:pPr>
              <w:pStyle w:val="Style_2"/>
              <w:ind/>
              <w:jc w:val="center"/>
              <w:rPr>
                <w:sz w:val="24"/>
              </w:rPr>
            </w:pPr>
            <w:r>
              <w:rPr>
                <w:sz w:val="24"/>
              </w:rPr>
              <w:t xml:space="preserve">Управление Роспотребнадзора </w:t>
            </w:r>
            <w:r>
              <w:rPr>
                <w:sz w:val="24"/>
              </w:rPr>
              <w:t>по Республике Саха (Якутия) (по согласованию);</w:t>
            </w:r>
          </w:p>
          <w:p w14:paraId="1D040000">
            <w:pPr>
              <w:pStyle w:val="Style_2"/>
              <w:ind/>
              <w:jc w:val="center"/>
              <w:rPr>
                <w:sz w:val="24"/>
              </w:rPr>
            </w:pPr>
            <w:r>
              <w:rPr>
                <w:sz w:val="24"/>
              </w:rPr>
              <w:t xml:space="preserve">Общественные организации по </w:t>
            </w:r>
            <w:r>
              <w:rPr>
                <w:sz w:val="24"/>
              </w:rPr>
              <w:t>защите прав</w:t>
            </w:r>
            <w:r>
              <w:rPr>
                <w:sz w:val="24"/>
              </w:rPr>
              <w:tab/>
            </w:r>
            <w:r>
              <w:rPr>
                <w:sz w:val="24"/>
              </w:rPr>
              <w:t>потребителей</w:t>
            </w:r>
            <w:r>
              <w:rPr>
                <w:sz w:val="24"/>
              </w:rPr>
              <w:tab/>
            </w:r>
            <w:r>
              <w:rPr>
                <w:sz w:val="24"/>
              </w:rPr>
              <w:t>(</w:t>
            </w:r>
            <w:r>
              <w:rPr>
                <w:sz w:val="24"/>
              </w:rPr>
              <w:t>по согласованию)</w:t>
            </w:r>
            <w:r>
              <w:rPr>
                <w:sz w:val="24"/>
              </w:rPr>
              <w:t>.</w:t>
            </w:r>
          </w:p>
        </w:tc>
        <w:tc>
          <w:tcPr>
            <w:tcW w:type="dxa" w:w="4042"/>
            <w:vAlign w:val="center"/>
          </w:tcPr>
          <w:p w14:paraId="1E040000">
            <w:pPr>
              <w:pStyle w:val="Style_2"/>
              <w:ind w:firstLine="532"/>
              <w:jc w:val="both"/>
              <w:rPr>
                <w:sz w:val="24"/>
              </w:rPr>
            </w:pPr>
            <w:r>
              <w:rPr>
                <w:sz w:val="24"/>
              </w:rPr>
              <w:t>Достижение существенного повышения уровня правовой защищенности потребителей от противоправных действий изготовителей, продавцов и исполнителей услуг (работ).</w:t>
            </w:r>
          </w:p>
        </w:tc>
      </w:tr>
      <w:tr>
        <w:trPr>
          <w:trHeight w:hRule="atLeast" w:val="562"/>
        </w:trPr>
        <w:tc>
          <w:tcPr>
            <w:tcW w:type="dxa" w:w="14567"/>
            <w:gridSpan w:val="5"/>
            <w:vAlign w:val="center"/>
          </w:tcPr>
          <w:p w14:paraId="1F040000">
            <w:pPr>
              <w:pStyle w:val="Style_2"/>
              <w:numPr>
                <w:ilvl w:val="0"/>
                <w:numId w:val="4"/>
              </w:numPr>
              <w:ind/>
              <w:jc w:val="center"/>
              <w:rPr>
                <w:b w:val="1"/>
                <w:sz w:val="24"/>
              </w:rPr>
            </w:pPr>
            <w:r>
              <w:rPr>
                <w:b w:val="1"/>
                <w:sz w:val="24"/>
              </w:rPr>
              <w:t>Профилактика правонарушений в сфере защиты прав потребителей</w:t>
            </w:r>
          </w:p>
        </w:tc>
      </w:tr>
      <w:tr>
        <w:tc>
          <w:tcPr>
            <w:tcW w:type="dxa" w:w="6631"/>
            <w:gridSpan w:val="3"/>
            <w:vAlign w:val="center"/>
          </w:tcPr>
          <w:p w14:paraId="20040000">
            <w:pPr>
              <w:pStyle w:val="Style_2"/>
              <w:ind/>
              <w:jc w:val="center"/>
              <w:rPr>
                <w:sz w:val="24"/>
              </w:rPr>
            </w:pPr>
            <w:r>
              <w:rPr>
                <w:sz w:val="24"/>
              </w:rPr>
              <w:t>Краткое описание основного мероприятия:</w:t>
            </w:r>
          </w:p>
        </w:tc>
        <w:tc>
          <w:tcPr>
            <w:tcW w:type="dxa" w:w="7936"/>
            <w:gridSpan w:val="2"/>
            <w:vAlign w:val="center"/>
          </w:tcPr>
          <w:p w14:paraId="21040000">
            <w:pPr>
              <w:pStyle w:val="Style_2"/>
              <w:ind w:firstLine="457"/>
              <w:jc w:val="both"/>
              <w:rPr>
                <w:sz w:val="24"/>
              </w:rPr>
            </w:pPr>
            <w:r>
              <w:rPr>
                <w:sz w:val="24"/>
              </w:rPr>
              <w:t>Основным направлением в вопросах защиты прав потребителей является создание условий, способствующих полному и добросовестному соблюдению законных интересов граждан. Наиболее действенным методом противодействия нарушениям на потребительском рынке, отвечающим первостепенным интересам жителей, является не столько восстановление уже ущемленных прав, сколько их упреждение и профилактика.</w:t>
            </w:r>
          </w:p>
          <w:p w14:paraId="22040000">
            <w:pPr>
              <w:pStyle w:val="Style_2"/>
              <w:ind w:firstLine="457"/>
              <w:jc w:val="both"/>
              <w:rPr>
                <w:sz w:val="24"/>
              </w:rPr>
            </w:pPr>
            <w:r>
              <w:rPr>
                <w:sz w:val="24"/>
              </w:rPr>
              <w:t>Для достижения максимальной результативности данная деятельность требует комплексного подхода, охватывающего как потребителей, так и субъекты предпринимательской деятельности, действующие на рынке Республики Саха (Якутия) – продавцов, исполнителей и изготовителей. Ключевыми инструментами станут распространение актуальных информационно-методических материалов, проведение целевых обучающих мероприятий по вопросам защиты прав потребителей, а также разработка и имплементация мер, направленных на пресечение специфических правонарушений и противодействие недобросовестным коммерческим практикам.</w:t>
            </w:r>
            <w:r>
              <w:rPr>
                <w:sz w:val="24"/>
              </w:rPr>
              <w:t xml:space="preserve"> </w:t>
            </w:r>
          </w:p>
        </w:tc>
      </w:tr>
      <w:tr>
        <w:tc>
          <w:tcPr>
            <w:tcW w:type="dxa" w:w="674"/>
            <w:vAlign w:val="center"/>
          </w:tcPr>
          <w:p w14:paraId="23040000">
            <w:pPr>
              <w:pStyle w:val="Style_2"/>
              <w:ind/>
              <w:jc w:val="center"/>
              <w:rPr>
                <w:sz w:val="24"/>
              </w:rPr>
            </w:pPr>
            <w:r>
              <w:rPr>
                <w:sz w:val="24"/>
              </w:rPr>
              <w:t>3.1</w:t>
            </w:r>
          </w:p>
        </w:tc>
        <w:tc>
          <w:tcPr>
            <w:tcW w:type="dxa" w:w="4393"/>
            <w:vAlign w:val="center"/>
          </w:tcPr>
          <w:p w14:paraId="24040000">
            <w:pPr>
              <w:pStyle w:val="Style_2"/>
              <w:ind w:firstLine="460"/>
              <w:jc w:val="both"/>
              <w:rPr>
                <w:sz w:val="24"/>
              </w:rPr>
            </w:pPr>
            <w:r>
              <w:rPr>
                <w:sz w:val="24"/>
              </w:rPr>
              <w:t xml:space="preserve">Проведение образовательных семинаров для представителей </w:t>
            </w:r>
            <w:r>
              <w:rPr>
                <w:sz w:val="24"/>
              </w:rPr>
              <w:t>предпринимательского сообщества: и</w:t>
            </w:r>
            <w:r>
              <w:rPr>
                <w:sz w:val="24"/>
              </w:rPr>
              <w:t>зучение фундаментальных основ предпринимательской деятельности, углубленное рассмотрение вопросов защиты прав потребителей, детальное ознакомление с требованиями технических регламентов Таможенного союза, а также разъяснение обязательных требований, предъявляемых к обороту товаров, подлежащих обязательной маркировке средствами идентификации.</w:t>
            </w:r>
          </w:p>
        </w:tc>
        <w:tc>
          <w:tcPr>
            <w:tcW w:type="dxa" w:w="1564"/>
            <w:vAlign w:val="center"/>
          </w:tcPr>
          <w:p w14:paraId="25040000">
            <w:pPr>
              <w:pStyle w:val="Style_2"/>
              <w:ind/>
              <w:jc w:val="center"/>
              <w:rPr>
                <w:sz w:val="24"/>
              </w:rPr>
            </w:pPr>
            <w:r>
              <w:rPr>
                <w:sz w:val="24"/>
              </w:rPr>
              <w:t>2026-2030 годы</w:t>
            </w:r>
          </w:p>
        </w:tc>
        <w:tc>
          <w:tcPr>
            <w:tcW w:type="dxa" w:w="3894"/>
            <w:vAlign w:val="center"/>
          </w:tcPr>
          <w:p w14:paraId="26040000">
            <w:pPr>
              <w:pStyle w:val="Style_2"/>
              <w:ind/>
              <w:jc w:val="center"/>
              <w:rPr>
                <w:sz w:val="24"/>
              </w:rPr>
            </w:pPr>
            <w:r>
              <w:rPr>
                <w:sz w:val="24"/>
              </w:rPr>
              <w:t>Органы местного самоуправления Республики Саха (Якутия);</w:t>
            </w:r>
          </w:p>
          <w:p w14:paraId="27040000">
            <w:pPr>
              <w:pStyle w:val="Style_2"/>
              <w:ind/>
              <w:jc w:val="center"/>
              <w:rPr>
                <w:sz w:val="24"/>
              </w:rPr>
            </w:pPr>
            <w:r>
              <w:rPr>
                <w:sz w:val="24"/>
              </w:rPr>
              <w:t>Министерство предпринимательства, торговли и тур</w:t>
            </w:r>
            <w:r>
              <w:rPr>
                <w:sz w:val="24"/>
              </w:rPr>
              <w:t xml:space="preserve">изма Республики Саха (Якутия); </w:t>
            </w:r>
          </w:p>
          <w:p w14:paraId="28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2904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2A040000">
            <w:pPr>
              <w:pStyle w:val="Style_2"/>
              <w:ind/>
              <w:jc w:val="center"/>
              <w:rPr>
                <w:sz w:val="24"/>
              </w:rPr>
            </w:pPr>
            <w:r>
              <w:rPr>
                <w:sz w:val="24"/>
              </w:rPr>
              <w:t>Министерство внутренних дел по Республике Саха (Якутия) " (по согласованию);</w:t>
            </w:r>
          </w:p>
          <w:p w14:paraId="2B040000">
            <w:pPr>
              <w:pStyle w:val="Style_2"/>
              <w:ind/>
              <w:jc w:val="center"/>
              <w:rPr>
                <w:sz w:val="24"/>
              </w:rPr>
            </w:pPr>
            <w:r>
              <w:rPr>
                <w:sz w:val="24"/>
              </w:rPr>
              <w:t>Управление Роспотребнадзо</w:t>
            </w:r>
            <w:r>
              <w:rPr>
                <w:sz w:val="24"/>
              </w:rPr>
              <w:t>ра по РС(Я)) (по согласованию);</w:t>
            </w:r>
          </w:p>
          <w:p w14:paraId="2C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2D040000">
            <w:pPr>
              <w:pStyle w:val="Style_2"/>
              <w:ind/>
              <w:jc w:val="center"/>
              <w:rPr>
                <w:sz w:val="24"/>
              </w:rPr>
            </w:pPr>
            <w:r>
              <w:rPr>
                <w:sz w:val="24"/>
              </w:rPr>
              <w:t>УФНС России по Республике Саха (Якутия) (по согласованию);</w:t>
            </w:r>
          </w:p>
          <w:p w14:paraId="2E04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w:t>
            </w:r>
          </w:p>
          <w:p w14:paraId="2F040000">
            <w:pPr>
              <w:pStyle w:val="Style_2"/>
              <w:ind/>
              <w:jc w:val="center"/>
              <w:rPr>
                <w:sz w:val="24"/>
              </w:rPr>
            </w:pPr>
            <w:r>
              <w:rPr>
                <w:sz w:val="24"/>
              </w:rPr>
              <w:t>ФБУЗ «Центр гигиены и эпидемиологии в Республике Саха (Якутия)») (по согласованию);</w:t>
            </w:r>
          </w:p>
          <w:p w14:paraId="30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31040000">
            <w:pPr>
              <w:pStyle w:val="Style_2"/>
              <w:ind/>
              <w:jc w:val="center"/>
              <w:rPr>
                <w:sz w:val="24"/>
              </w:rPr>
            </w:pPr>
            <w:r>
              <w:rPr>
                <w:sz w:val="24"/>
              </w:rPr>
              <w:t>Региональный центр поддержки маркировки «Честный знак» (по согласованию);</w:t>
            </w:r>
          </w:p>
          <w:p w14:paraId="32040000">
            <w:pPr>
              <w:pStyle w:val="Style_2"/>
              <w:ind/>
              <w:jc w:val="center"/>
              <w:rPr>
                <w:sz w:val="24"/>
              </w:rPr>
            </w:pPr>
            <w:r>
              <w:rPr>
                <w:sz w:val="24"/>
              </w:rPr>
              <w:t>Союз "Торгово-промышленная палата Республики Саха (Якутия)" (по согласованию)</w:t>
            </w:r>
            <w:r>
              <w:rPr>
                <w:sz w:val="24"/>
              </w:rPr>
              <w:t>;</w:t>
            </w:r>
          </w:p>
          <w:p w14:paraId="33040000">
            <w:pPr>
              <w:pStyle w:val="Style_2"/>
              <w:ind/>
              <w:jc w:val="center"/>
              <w:rPr>
                <w:sz w:val="24"/>
              </w:rPr>
            </w:pPr>
            <w:r>
              <w:rPr>
                <w:sz w:val="24"/>
              </w:rPr>
              <w:t>Общественная палата Республики Саха (Якутия) (по согласованию).</w:t>
            </w:r>
          </w:p>
        </w:tc>
        <w:tc>
          <w:tcPr>
            <w:tcW w:type="dxa" w:w="4042"/>
            <w:vAlign w:val="center"/>
          </w:tcPr>
          <w:p w14:paraId="34040000">
            <w:pPr>
              <w:pStyle w:val="Style_2"/>
              <w:ind w:firstLine="532"/>
              <w:jc w:val="both"/>
              <w:rPr>
                <w:sz w:val="24"/>
              </w:rPr>
            </w:pPr>
            <w:r>
              <w:rPr>
                <w:sz w:val="24"/>
              </w:rPr>
              <w:t>Повышение уровня правовой осведомленности и грамотности среди предпринимателей.</w:t>
            </w:r>
          </w:p>
          <w:p w14:paraId="35040000">
            <w:pPr>
              <w:pStyle w:val="Style_2"/>
              <w:ind w:firstLine="532"/>
              <w:jc w:val="both"/>
              <w:rPr>
                <w:sz w:val="24"/>
              </w:rPr>
            </w:pPr>
            <w:r>
              <w:rPr>
                <w:sz w:val="24"/>
              </w:rPr>
              <w:t>Улучшение качества и безопасности выпускаемых товаров, выполняемых работ и предоставляемых услуг.</w:t>
            </w:r>
          </w:p>
          <w:p w14:paraId="36040000">
            <w:pPr>
              <w:pStyle w:val="Style_2"/>
              <w:ind w:firstLine="532"/>
              <w:jc w:val="both"/>
              <w:rPr>
                <w:sz w:val="24"/>
              </w:rPr>
            </w:pPr>
            <w:r>
              <w:rPr>
                <w:sz w:val="24"/>
              </w:rPr>
              <w:t>Существенное сокращение числа случаев нарушения обязательных требований, установленных действующим законодательством Российской Федерации.</w:t>
            </w:r>
          </w:p>
        </w:tc>
      </w:tr>
      <w:tr>
        <w:tc>
          <w:tcPr>
            <w:tcW w:type="dxa" w:w="674"/>
            <w:vAlign w:val="center"/>
          </w:tcPr>
          <w:p w14:paraId="37040000">
            <w:pPr>
              <w:pStyle w:val="Style_2"/>
              <w:ind/>
              <w:jc w:val="center"/>
              <w:rPr>
                <w:sz w:val="24"/>
              </w:rPr>
            </w:pPr>
            <w:r>
              <w:rPr>
                <w:sz w:val="24"/>
              </w:rPr>
              <w:t>3.2</w:t>
            </w:r>
          </w:p>
        </w:tc>
        <w:tc>
          <w:tcPr>
            <w:tcW w:type="dxa" w:w="4393"/>
            <w:vAlign w:val="center"/>
          </w:tcPr>
          <w:p w14:paraId="38040000">
            <w:pPr>
              <w:pStyle w:val="Style_2"/>
              <w:ind/>
              <w:jc w:val="both"/>
              <w:rPr>
                <w:sz w:val="24"/>
              </w:rPr>
            </w:pPr>
            <w:r>
              <w:rPr>
                <w:sz w:val="24"/>
              </w:rPr>
              <w:t>Проведение акции "Дни открытых дверей для предпринимателей"</w:t>
            </w:r>
          </w:p>
        </w:tc>
        <w:tc>
          <w:tcPr>
            <w:tcW w:type="dxa" w:w="1564"/>
            <w:vAlign w:val="center"/>
          </w:tcPr>
          <w:p w14:paraId="39040000">
            <w:pPr>
              <w:pStyle w:val="Style_2"/>
              <w:ind/>
              <w:jc w:val="center"/>
              <w:rPr>
                <w:sz w:val="24"/>
              </w:rPr>
            </w:pPr>
            <w:r>
              <w:rPr>
                <w:sz w:val="24"/>
              </w:rPr>
              <w:t>2026-2030 годы</w:t>
            </w:r>
          </w:p>
        </w:tc>
        <w:tc>
          <w:tcPr>
            <w:tcW w:type="dxa" w:w="3894"/>
            <w:vAlign w:val="center"/>
          </w:tcPr>
          <w:p w14:paraId="3A040000">
            <w:pPr>
              <w:pStyle w:val="Style_2"/>
              <w:ind/>
              <w:jc w:val="center"/>
              <w:rPr>
                <w:sz w:val="24"/>
              </w:rPr>
            </w:pPr>
            <w:r>
              <w:rPr>
                <w:sz w:val="24"/>
              </w:rPr>
              <w:t xml:space="preserve">Органы местного самоуправления </w:t>
            </w:r>
          </w:p>
          <w:p w14:paraId="3B040000">
            <w:pPr>
              <w:pStyle w:val="Style_2"/>
              <w:ind/>
              <w:jc w:val="center"/>
              <w:rPr>
                <w:sz w:val="24"/>
              </w:rPr>
            </w:pPr>
            <w:r>
              <w:rPr>
                <w:sz w:val="24"/>
              </w:rPr>
              <w:t>Республики Саха (Якутия);</w:t>
            </w:r>
          </w:p>
          <w:p w14:paraId="3C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3D040000">
            <w:pPr>
              <w:pStyle w:val="Style_2"/>
              <w:ind/>
              <w:jc w:val="center"/>
              <w:rPr>
                <w:sz w:val="24"/>
              </w:rPr>
            </w:pPr>
            <w:r>
              <w:rPr>
                <w:sz w:val="24"/>
              </w:rPr>
              <w:t>Управление Роспотребнадзора по РС(Я)) (по согласованию);</w:t>
            </w:r>
          </w:p>
          <w:p w14:paraId="3E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3F040000">
            <w:pPr>
              <w:pStyle w:val="Style_2"/>
              <w:ind/>
              <w:jc w:val="center"/>
              <w:rPr>
                <w:sz w:val="24"/>
              </w:rPr>
            </w:pPr>
            <w:r>
              <w:rPr>
                <w:sz w:val="24"/>
              </w:rPr>
              <w:t>УФНС России по Республике Саха (Якутия) (по согласованию);</w:t>
            </w:r>
          </w:p>
          <w:p w14:paraId="40040000">
            <w:pPr>
              <w:pStyle w:val="Style_2"/>
              <w:ind/>
              <w:jc w:val="center"/>
              <w:rPr>
                <w:sz w:val="24"/>
              </w:rPr>
            </w:pPr>
            <w:r>
              <w:rPr>
                <w:sz w:val="24"/>
              </w:rPr>
              <w:t>Союз «Торгово-промышленная палата Республики Саха (Якутия)» (по согласованию);</w:t>
            </w:r>
          </w:p>
          <w:p w14:paraId="41040000">
            <w:pPr>
              <w:pStyle w:val="Style_2"/>
              <w:ind/>
              <w:jc w:val="center"/>
              <w:rPr>
                <w:sz w:val="24"/>
              </w:rPr>
            </w:pPr>
            <w:r>
              <w:rPr>
                <w:sz w:val="24"/>
              </w:rPr>
              <w:t>ФБУЗ «Центр гигиены и эпидемиологии в Республике Саха (Якутия)») (по согласованию);</w:t>
            </w:r>
          </w:p>
          <w:p w14:paraId="42040000">
            <w:pPr>
              <w:pStyle w:val="Style_2"/>
              <w:ind/>
              <w:jc w:val="center"/>
              <w:rPr>
                <w:sz w:val="24"/>
              </w:rPr>
            </w:pPr>
            <w:r>
              <w:rPr>
                <w:sz w:val="24"/>
              </w:rPr>
              <w:t>Региональный центр поддержки маркировки «Честный знак» (по согласованию);</w:t>
            </w:r>
          </w:p>
          <w:p w14:paraId="4304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w:t>
            </w:r>
            <w:r>
              <w:rPr>
                <w:sz w:val="24"/>
              </w:rPr>
              <w:t>аха (Якутия)» (по согласованию);</w:t>
            </w:r>
          </w:p>
          <w:p w14:paraId="44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w:t>
            </w:r>
            <w:r>
              <w:rPr>
                <w:sz w:val="24"/>
              </w:rPr>
              <w:t>ссии» (по согласованию).</w:t>
            </w:r>
          </w:p>
        </w:tc>
        <w:tc>
          <w:tcPr>
            <w:tcW w:type="dxa" w:w="4042"/>
            <w:vAlign w:val="center"/>
          </w:tcPr>
          <w:p w14:paraId="45040000">
            <w:pPr>
              <w:pStyle w:val="Style_2"/>
              <w:ind w:firstLine="532"/>
              <w:jc w:val="both"/>
              <w:rPr>
                <w:sz w:val="24"/>
              </w:rPr>
            </w:pPr>
            <w:r>
              <w:rPr>
                <w:sz w:val="24"/>
              </w:rPr>
              <w:t>Повышение уровня квалификации специалистов предприятий и организаций, действующих в сфере розничной торговли, выполнения работ и оказания услуг.</w:t>
            </w:r>
          </w:p>
          <w:p w14:paraId="46040000">
            <w:pPr>
              <w:pStyle w:val="Style_2"/>
              <w:ind w:firstLine="532"/>
              <w:jc w:val="both"/>
              <w:rPr>
                <w:sz w:val="24"/>
              </w:rPr>
            </w:pPr>
            <w:r>
              <w:rPr>
                <w:sz w:val="24"/>
              </w:rPr>
              <w:t>Увеличение правовой грамотности предпринимателей путем расширения информационно-просветительской составляющей проводимых мероприятий.</w:t>
            </w:r>
          </w:p>
        </w:tc>
      </w:tr>
      <w:tr>
        <w:tc>
          <w:tcPr>
            <w:tcW w:type="dxa" w:w="674"/>
            <w:vAlign w:val="center"/>
          </w:tcPr>
          <w:p w14:paraId="47040000">
            <w:pPr>
              <w:pStyle w:val="Style_2"/>
              <w:ind/>
              <w:jc w:val="center"/>
              <w:rPr>
                <w:sz w:val="24"/>
              </w:rPr>
            </w:pPr>
            <w:r>
              <w:rPr>
                <w:sz w:val="24"/>
              </w:rPr>
              <w:t>3.3</w:t>
            </w:r>
          </w:p>
        </w:tc>
        <w:tc>
          <w:tcPr>
            <w:tcW w:type="dxa" w:w="4393"/>
            <w:vAlign w:val="center"/>
          </w:tcPr>
          <w:p w14:paraId="48040000">
            <w:pPr>
              <w:pStyle w:val="Style_2"/>
              <w:ind w:firstLine="460"/>
              <w:jc w:val="both"/>
              <w:rPr>
                <w:sz w:val="24"/>
              </w:rPr>
            </w:pPr>
            <w:r>
              <w:rPr>
                <w:sz w:val="24"/>
              </w:rPr>
              <w:t>Информирование предпринимательского сообщества о требованиях законодательства в сфере защиты прав потребителей посредством размещения соответствующей информации на официальном сайте в информац</w:t>
            </w:r>
            <w:r>
              <w:rPr>
                <w:sz w:val="24"/>
              </w:rPr>
              <w:t xml:space="preserve">ионно-телекоммуникационной сети </w:t>
            </w:r>
            <w:r>
              <w:rPr>
                <w:sz w:val="24"/>
              </w:rPr>
              <w:t>«Интернет».</w:t>
            </w:r>
          </w:p>
        </w:tc>
        <w:tc>
          <w:tcPr>
            <w:tcW w:type="dxa" w:w="1564"/>
            <w:vAlign w:val="center"/>
          </w:tcPr>
          <w:p w14:paraId="49040000">
            <w:pPr>
              <w:pStyle w:val="Style_2"/>
              <w:ind/>
              <w:jc w:val="center"/>
              <w:rPr>
                <w:sz w:val="24"/>
              </w:rPr>
            </w:pPr>
            <w:r>
              <w:rPr>
                <w:sz w:val="24"/>
              </w:rPr>
              <w:t>2026-2030 годы</w:t>
            </w:r>
          </w:p>
        </w:tc>
        <w:tc>
          <w:tcPr>
            <w:tcW w:type="dxa" w:w="3894"/>
            <w:vAlign w:val="center"/>
          </w:tcPr>
          <w:p w14:paraId="4A040000">
            <w:pPr>
              <w:pStyle w:val="Style_2"/>
              <w:ind/>
              <w:jc w:val="center"/>
              <w:rPr>
                <w:sz w:val="24"/>
              </w:rPr>
            </w:pPr>
            <w:r>
              <w:rPr>
                <w:sz w:val="24"/>
              </w:rPr>
              <w:t>Органы местного самоуправления Республики Саха (Якутия);</w:t>
            </w:r>
          </w:p>
          <w:p w14:paraId="4B040000">
            <w:pPr>
              <w:pStyle w:val="Style_2"/>
              <w:ind/>
              <w:jc w:val="center"/>
              <w:rPr>
                <w:sz w:val="24"/>
              </w:rPr>
            </w:pPr>
            <w:r>
              <w:rPr>
                <w:sz w:val="24"/>
              </w:rPr>
              <w:t xml:space="preserve">Министерство предпринимательства, торговли и туризма Республики </w:t>
            </w:r>
            <w:r>
              <w:rPr>
                <w:sz w:val="24"/>
              </w:rPr>
              <w:t xml:space="preserve">Саха (Якутия); </w:t>
            </w:r>
          </w:p>
          <w:p w14:paraId="4C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4D040000">
            <w:pPr>
              <w:pStyle w:val="Style_2"/>
              <w:ind/>
              <w:jc w:val="center"/>
              <w:rPr>
                <w:sz w:val="24"/>
              </w:rPr>
            </w:pPr>
            <w:r>
              <w:rPr>
                <w:sz w:val="24"/>
              </w:rPr>
              <w:t>Министерство инноваций, цифрового развития и инфокоммуникационных технологий Республики Саха (Якутия);</w:t>
            </w:r>
          </w:p>
          <w:p w14:paraId="4E040000">
            <w:pPr>
              <w:pStyle w:val="Style_2"/>
              <w:ind/>
              <w:jc w:val="center"/>
              <w:rPr>
                <w:sz w:val="24"/>
              </w:rPr>
            </w:pPr>
            <w:r>
              <w:rPr>
                <w:sz w:val="24"/>
              </w:rPr>
              <w:t>Министерство внутренних дел по Республике Саха (Якутия) " (по согласованию);</w:t>
            </w:r>
          </w:p>
          <w:p w14:paraId="4F040000">
            <w:pPr>
              <w:pStyle w:val="Style_2"/>
              <w:ind/>
              <w:jc w:val="center"/>
              <w:rPr>
                <w:sz w:val="24"/>
              </w:rPr>
            </w:pPr>
            <w:r>
              <w:rPr>
                <w:sz w:val="24"/>
              </w:rPr>
              <w:t>Управление Роспотребнадзо</w:t>
            </w:r>
            <w:r>
              <w:rPr>
                <w:sz w:val="24"/>
              </w:rPr>
              <w:t>ра по РС(Я)) (по согласованию);</w:t>
            </w:r>
          </w:p>
          <w:p w14:paraId="50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51040000">
            <w:pPr>
              <w:pStyle w:val="Style_2"/>
              <w:ind/>
              <w:jc w:val="center"/>
              <w:rPr>
                <w:sz w:val="24"/>
              </w:rPr>
            </w:pPr>
            <w:r>
              <w:rPr>
                <w:sz w:val="24"/>
              </w:rPr>
              <w:t>УФНС России по Республике Саха (Якутия) (по согласованию);</w:t>
            </w:r>
          </w:p>
          <w:p w14:paraId="5204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w:t>
            </w:r>
          </w:p>
          <w:p w14:paraId="53040000">
            <w:pPr>
              <w:pStyle w:val="Style_2"/>
              <w:ind/>
              <w:jc w:val="center"/>
              <w:rPr>
                <w:sz w:val="24"/>
              </w:rPr>
            </w:pPr>
            <w:r>
              <w:rPr>
                <w:sz w:val="24"/>
              </w:rPr>
              <w:t>ФБУЗ «Центр гигиены и эпидемиологии в Республике Саха (Якутия)») (по согласованию);</w:t>
            </w:r>
          </w:p>
          <w:p w14:paraId="54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55040000">
            <w:pPr>
              <w:pStyle w:val="Style_2"/>
              <w:ind/>
              <w:jc w:val="center"/>
              <w:rPr>
                <w:sz w:val="24"/>
              </w:rPr>
            </w:pPr>
            <w:r>
              <w:rPr>
                <w:sz w:val="24"/>
              </w:rPr>
              <w:t>Региональный центр поддержки маркировки «Честный знак» (по согласованию);</w:t>
            </w:r>
          </w:p>
          <w:p w14:paraId="56040000">
            <w:pPr>
              <w:pStyle w:val="Style_2"/>
              <w:ind/>
              <w:jc w:val="center"/>
              <w:rPr>
                <w:sz w:val="24"/>
              </w:rPr>
            </w:pPr>
            <w:r>
              <w:rPr>
                <w:sz w:val="24"/>
              </w:rPr>
              <w:t>Союз "Торгово-промышленная палата Республики Саха (Якутия)" (по согласованию)</w:t>
            </w:r>
            <w:r>
              <w:rPr>
                <w:sz w:val="24"/>
              </w:rPr>
              <w:t>;</w:t>
            </w:r>
          </w:p>
          <w:p w14:paraId="57040000">
            <w:pPr>
              <w:pStyle w:val="Style_2"/>
              <w:ind/>
              <w:jc w:val="center"/>
              <w:rPr>
                <w:sz w:val="24"/>
              </w:rPr>
            </w:pPr>
            <w:r>
              <w:rPr>
                <w:sz w:val="24"/>
              </w:rPr>
              <w:t>Общественная палата Республики Саха (Якутия) (по согласованию).</w:t>
            </w:r>
          </w:p>
        </w:tc>
        <w:tc>
          <w:tcPr>
            <w:tcW w:type="dxa" w:w="4042"/>
            <w:vAlign w:val="center"/>
          </w:tcPr>
          <w:p w14:paraId="58040000">
            <w:pPr>
              <w:pStyle w:val="Style_2"/>
              <w:ind w:firstLine="532"/>
              <w:jc w:val="both"/>
              <w:rPr>
                <w:sz w:val="24"/>
              </w:rPr>
            </w:pPr>
            <w:r>
              <w:rPr>
                <w:sz w:val="24"/>
              </w:rPr>
              <w:t>Повышение уровня доступности для субъектов предпринимательской деятельности информации об обязательных требованиях действующего законодательства Российской Федерации, направленное на улучшение качества предоставляемых услуг и производимых товаров.</w:t>
            </w:r>
          </w:p>
        </w:tc>
      </w:tr>
      <w:tr>
        <w:tc>
          <w:tcPr>
            <w:tcW w:type="dxa" w:w="674"/>
            <w:vAlign w:val="center"/>
          </w:tcPr>
          <w:p w14:paraId="59040000">
            <w:pPr>
              <w:pStyle w:val="Style_2"/>
              <w:ind/>
              <w:jc w:val="center"/>
              <w:rPr>
                <w:sz w:val="24"/>
              </w:rPr>
            </w:pPr>
            <w:r>
              <w:rPr>
                <w:sz w:val="24"/>
              </w:rPr>
              <w:t>3.4</w:t>
            </w:r>
          </w:p>
        </w:tc>
        <w:tc>
          <w:tcPr>
            <w:tcW w:type="dxa" w:w="4393"/>
            <w:vAlign w:val="center"/>
          </w:tcPr>
          <w:p w14:paraId="5A040000">
            <w:pPr>
              <w:pStyle w:val="Style_2"/>
              <w:ind w:firstLine="602"/>
              <w:jc w:val="both"/>
              <w:rPr>
                <w:sz w:val="24"/>
              </w:rPr>
            </w:pPr>
            <w:r>
              <w:rPr>
                <w:sz w:val="24"/>
                <w:highlight w:val="white"/>
              </w:rPr>
              <w:t xml:space="preserve">Формирование и проведение серии образовательных и демонстрационных мероприятий, включая зональные семинары, тематические выставки, профессиональные конкурсы, научно-практические конференции, познавательные лекции и интерактивные </w:t>
            </w:r>
            <w:r>
              <w:rPr>
                <w:sz w:val="24"/>
                <w:highlight w:val="white"/>
              </w:rPr>
              <w:t>вебинары</w:t>
            </w:r>
            <w:r>
              <w:rPr>
                <w:sz w:val="24"/>
                <w:highlight w:val="white"/>
              </w:rPr>
              <w:t>. Данные мероприятия предназначены для сотрудников предприятий и организаций, входящих в потребительский рынок республики. Их ключевая цель – всестороннее повышение уровня правовых знаний и компетенций хозяйствующих субъектов в области защиты прав потребителей, а также обеспечение строгого соблюдения законодательных норм.</w:t>
            </w:r>
          </w:p>
        </w:tc>
        <w:tc>
          <w:tcPr>
            <w:tcW w:type="dxa" w:w="1564"/>
            <w:vAlign w:val="center"/>
          </w:tcPr>
          <w:p w14:paraId="5B040000">
            <w:pPr>
              <w:pStyle w:val="Style_2"/>
              <w:ind/>
              <w:jc w:val="center"/>
              <w:rPr>
                <w:sz w:val="24"/>
              </w:rPr>
            </w:pPr>
            <w:r>
              <w:rPr>
                <w:sz w:val="24"/>
              </w:rPr>
              <w:t>2026-2030 годы</w:t>
            </w:r>
          </w:p>
        </w:tc>
        <w:tc>
          <w:tcPr>
            <w:tcW w:type="dxa" w:w="3894"/>
            <w:vAlign w:val="center"/>
          </w:tcPr>
          <w:p w14:paraId="5C040000">
            <w:pPr>
              <w:pStyle w:val="Style_2"/>
              <w:ind/>
              <w:jc w:val="center"/>
              <w:rPr>
                <w:sz w:val="24"/>
              </w:rPr>
            </w:pPr>
            <w:r>
              <w:rPr>
                <w:sz w:val="24"/>
              </w:rPr>
              <w:t xml:space="preserve">Органы местного самоуправления </w:t>
            </w:r>
          </w:p>
          <w:p w14:paraId="5D040000">
            <w:pPr>
              <w:pStyle w:val="Style_2"/>
              <w:ind/>
              <w:jc w:val="center"/>
              <w:rPr>
                <w:sz w:val="24"/>
              </w:rPr>
            </w:pPr>
            <w:r>
              <w:rPr>
                <w:sz w:val="24"/>
              </w:rPr>
              <w:t>Республики Саха (Якутия);</w:t>
            </w:r>
          </w:p>
          <w:p w14:paraId="5E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5F040000">
            <w:pPr>
              <w:pStyle w:val="Style_2"/>
              <w:ind/>
              <w:jc w:val="center"/>
              <w:rPr>
                <w:sz w:val="24"/>
              </w:rPr>
            </w:pPr>
            <w:r>
              <w:rPr>
                <w:sz w:val="24"/>
              </w:rPr>
              <w:t>Управление Роспотребнадзора по РС(Я)) (по согласованию);</w:t>
            </w:r>
          </w:p>
          <w:p w14:paraId="60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61040000">
            <w:pPr>
              <w:pStyle w:val="Style_2"/>
              <w:ind/>
              <w:jc w:val="center"/>
              <w:rPr>
                <w:sz w:val="24"/>
              </w:rPr>
            </w:pPr>
            <w:r>
              <w:rPr>
                <w:sz w:val="24"/>
              </w:rPr>
              <w:t>УФНС России по Республике Саха (Якутия) (по согласованию);</w:t>
            </w:r>
          </w:p>
          <w:p w14:paraId="62040000">
            <w:pPr>
              <w:pStyle w:val="Style_2"/>
              <w:ind/>
              <w:jc w:val="center"/>
              <w:rPr>
                <w:sz w:val="24"/>
              </w:rPr>
            </w:pPr>
            <w:r>
              <w:rPr>
                <w:sz w:val="24"/>
              </w:rPr>
              <w:t>Союз «Торгово-промышленная палата Республики Саха (Якутия)» (по согласованию);</w:t>
            </w:r>
          </w:p>
          <w:p w14:paraId="63040000">
            <w:pPr>
              <w:pStyle w:val="Style_2"/>
              <w:ind/>
              <w:jc w:val="center"/>
              <w:rPr>
                <w:sz w:val="24"/>
              </w:rPr>
            </w:pPr>
            <w:r>
              <w:rPr>
                <w:sz w:val="24"/>
              </w:rPr>
              <w:t>ФБУЗ «Центр гигиены и эпидемиологии в Республике Саха (Якутия)») (по согласованию);</w:t>
            </w:r>
          </w:p>
          <w:p w14:paraId="64040000">
            <w:pPr>
              <w:pStyle w:val="Style_2"/>
              <w:ind/>
              <w:jc w:val="center"/>
              <w:rPr>
                <w:sz w:val="24"/>
              </w:rPr>
            </w:pPr>
            <w:r>
              <w:rPr>
                <w:sz w:val="24"/>
              </w:rPr>
              <w:t>Региональный центр поддержки маркировки «Честный знак» (по согласованию);</w:t>
            </w:r>
          </w:p>
          <w:p w14:paraId="6504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w:t>
            </w:r>
            <w:r>
              <w:rPr>
                <w:sz w:val="24"/>
              </w:rPr>
              <w:t>аха (Якутия)» (по согласованию);</w:t>
            </w:r>
          </w:p>
          <w:p w14:paraId="66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w:t>
            </w:r>
            <w:r>
              <w:rPr>
                <w:sz w:val="24"/>
              </w:rPr>
              <w:t>ссии» (по согласованию).</w:t>
            </w:r>
          </w:p>
        </w:tc>
        <w:tc>
          <w:tcPr>
            <w:tcW w:type="dxa" w:w="4042"/>
            <w:vAlign w:val="center"/>
          </w:tcPr>
          <w:p w14:paraId="67040000">
            <w:pPr>
              <w:pStyle w:val="Style_2"/>
              <w:ind w:firstLine="532"/>
              <w:jc w:val="both"/>
              <w:rPr>
                <w:sz w:val="24"/>
              </w:rPr>
            </w:pPr>
            <w:r>
              <w:rPr>
                <w:sz w:val="24"/>
              </w:rPr>
              <w:t>Достижение существенного улучшения качественных показателей предоставляемых услуг и выполняемых работ на территории республики. Параллельно ожидается значительное сокращение числа случаев нарушения действующего законодательства Российской Федерации в сфере потребительского рынка, что будет способствовать созданию прозрачной и добросовестной конкурентной среды.</w:t>
            </w:r>
          </w:p>
        </w:tc>
      </w:tr>
      <w:tr>
        <w:tc>
          <w:tcPr>
            <w:tcW w:type="dxa" w:w="674"/>
            <w:vAlign w:val="center"/>
          </w:tcPr>
          <w:p w14:paraId="68040000">
            <w:pPr>
              <w:pStyle w:val="Style_2"/>
              <w:ind/>
              <w:jc w:val="center"/>
              <w:rPr>
                <w:sz w:val="24"/>
              </w:rPr>
            </w:pPr>
            <w:r>
              <w:rPr>
                <w:sz w:val="24"/>
              </w:rPr>
              <w:t>3.5</w:t>
            </w:r>
          </w:p>
        </w:tc>
        <w:tc>
          <w:tcPr>
            <w:tcW w:type="dxa" w:w="4393"/>
            <w:vAlign w:val="center"/>
          </w:tcPr>
          <w:p w14:paraId="69040000">
            <w:pPr>
              <w:pStyle w:val="Style_2"/>
              <w:ind w:firstLine="460"/>
              <w:jc w:val="both"/>
              <w:rPr>
                <w:sz w:val="24"/>
              </w:rPr>
            </w:pPr>
            <w:r>
              <w:rPr>
                <w:sz w:val="24"/>
              </w:rPr>
              <w:t>Развитие системы добровольной сертификации для повышения качества и конкурентоспособности товаров (работ, услуг) и уровня подготовки персонала организаций потребительского рынка республики.</w:t>
            </w:r>
          </w:p>
        </w:tc>
        <w:tc>
          <w:tcPr>
            <w:tcW w:type="dxa" w:w="1564"/>
            <w:vAlign w:val="center"/>
          </w:tcPr>
          <w:p w14:paraId="6A040000">
            <w:pPr>
              <w:pStyle w:val="Style_2"/>
              <w:ind/>
              <w:jc w:val="center"/>
              <w:rPr>
                <w:sz w:val="24"/>
              </w:rPr>
            </w:pPr>
            <w:r>
              <w:rPr>
                <w:sz w:val="24"/>
              </w:rPr>
              <w:t>2026-2030 годы</w:t>
            </w:r>
          </w:p>
        </w:tc>
        <w:tc>
          <w:tcPr>
            <w:tcW w:type="dxa" w:w="3894"/>
            <w:vAlign w:val="center"/>
          </w:tcPr>
          <w:p w14:paraId="6B040000">
            <w:pPr>
              <w:pStyle w:val="Style_2"/>
              <w:ind/>
              <w:jc w:val="center"/>
              <w:rPr>
                <w:sz w:val="24"/>
              </w:rPr>
            </w:pPr>
            <w:r>
              <w:rPr>
                <w:sz w:val="24"/>
              </w:rPr>
              <w:t>Федеральное бюджетное учреждение «Государственный региональный центр стандартизации, метрологии и испытаний в РС (Я</w:t>
            </w:r>
            <w:r>
              <w:rPr>
                <w:sz w:val="24"/>
              </w:rPr>
              <w:t>)»</w:t>
            </w:r>
            <w:r>
              <w:rPr>
                <w:sz w:val="24"/>
              </w:rPr>
              <w:tab/>
            </w:r>
            <w:r>
              <w:rPr>
                <w:sz w:val="24"/>
              </w:rPr>
              <w:t xml:space="preserve"> </w:t>
            </w:r>
            <w:r>
              <w:rPr>
                <w:sz w:val="24"/>
              </w:rPr>
              <w:t>(по согласованию);</w:t>
            </w:r>
          </w:p>
          <w:p w14:paraId="6C040000">
            <w:pPr>
              <w:pStyle w:val="Style_2"/>
              <w:ind/>
              <w:jc w:val="center"/>
              <w:rPr>
                <w:sz w:val="24"/>
              </w:rPr>
            </w:pPr>
            <w:r>
              <w:rPr>
                <w:sz w:val="24"/>
              </w:rPr>
              <w:t xml:space="preserve">Союз </w:t>
            </w:r>
            <w:r>
              <w:rPr>
                <w:sz w:val="24"/>
              </w:rPr>
              <w:t>«Торгово-промышленная палата Республики Саха(Якутия)» (по согласованию)</w:t>
            </w:r>
          </w:p>
        </w:tc>
        <w:tc>
          <w:tcPr>
            <w:tcW w:type="dxa" w:w="4042"/>
            <w:vAlign w:val="center"/>
          </w:tcPr>
          <w:p w14:paraId="6D040000">
            <w:pPr>
              <w:pStyle w:val="Style_2"/>
              <w:ind w:firstLine="390"/>
              <w:jc w:val="both"/>
              <w:rPr>
                <w:sz w:val="24"/>
              </w:rPr>
            </w:pPr>
            <w:r>
              <w:rPr>
                <w:sz w:val="24"/>
              </w:rPr>
              <w:t>Сокращение числа нарушений законодательства в сфере потребительского рынка.</w:t>
            </w:r>
          </w:p>
        </w:tc>
      </w:tr>
      <w:tr>
        <w:tc>
          <w:tcPr>
            <w:tcW w:type="dxa" w:w="674"/>
            <w:vAlign w:val="center"/>
          </w:tcPr>
          <w:p w14:paraId="6E040000">
            <w:pPr>
              <w:pStyle w:val="Style_2"/>
              <w:ind/>
              <w:jc w:val="center"/>
              <w:rPr>
                <w:sz w:val="24"/>
              </w:rPr>
            </w:pPr>
            <w:r>
              <w:rPr>
                <w:sz w:val="24"/>
              </w:rPr>
              <w:t>3.6</w:t>
            </w:r>
          </w:p>
        </w:tc>
        <w:tc>
          <w:tcPr>
            <w:tcW w:type="dxa" w:w="4393"/>
            <w:vAlign w:val="center"/>
          </w:tcPr>
          <w:p w14:paraId="6F040000">
            <w:pPr>
              <w:pStyle w:val="Style_2"/>
              <w:ind w:firstLine="460"/>
              <w:jc w:val="both"/>
              <w:rPr>
                <w:sz w:val="24"/>
              </w:rPr>
            </w:pPr>
            <w:r>
              <w:rPr>
                <w:sz w:val="24"/>
              </w:rPr>
              <w:t>Внедрение механизмов стимулирования добросовестности посредством подачи деклараций соответствия, подтверждающих соблюдение предприятием установленных критериев на протяжении периода от одного года до трех лет, дифференцированного по категориям риска.</w:t>
            </w:r>
          </w:p>
        </w:tc>
        <w:tc>
          <w:tcPr>
            <w:tcW w:type="dxa" w:w="1564"/>
            <w:vAlign w:val="center"/>
          </w:tcPr>
          <w:p w14:paraId="70040000">
            <w:pPr>
              <w:pStyle w:val="Style_2"/>
              <w:ind/>
              <w:jc w:val="center"/>
              <w:rPr>
                <w:sz w:val="24"/>
              </w:rPr>
            </w:pPr>
            <w:r>
              <w:rPr>
                <w:sz w:val="24"/>
              </w:rPr>
              <w:t>2026-2030 годы</w:t>
            </w:r>
          </w:p>
        </w:tc>
        <w:tc>
          <w:tcPr>
            <w:tcW w:type="dxa" w:w="3894"/>
            <w:vAlign w:val="center"/>
          </w:tcPr>
          <w:p w14:paraId="71040000">
            <w:pPr>
              <w:pStyle w:val="Style_2"/>
              <w:ind/>
              <w:jc w:val="center"/>
              <w:rPr>
                <w:sz w:val="24"/>
              </w:rPr>
            </w:pPr>
            <w:r>
              <w:rPr>
                <w:sz w:val="24"/>
              </w:rPr>
              <w:t xml:space="preserve">Органы местного самоуправления </w:t>
            </w:r>
          </w:p>
          <w:p w14:paraId="72040000">
            <w:pPr>
              <w:pStyle w:val="Style_2"/>
              <w:ind/>
              <w:jc w:val="center"/>
              <w:rPr>
                <w:sz w:val="24"/>
              </w:rPr>
            </w:pPr>
            <w:r>
              <w:rPr>
                <w:sz w:val="24"/>
              </w:rPr>
              <w:t>Республики Саха (Якутия);</w:t>
            </w:r>
          </w:p>
          <w:p w14:paraId="73040000">
            <w:pPr>
              <w:pStyle w:val="Style_2"/>
              <w:ind/>
              <w:jc w:val="center"/>
              <w:rPr>
                <w:sz w:val="24"/>
              </w:rPr>
            </w:pPr>
            <w:r>
              <w:rPr>
                <w:sz w:val="24"/>
              </w:rPr>
              <w:t>Союз «Торгово-промышленная палата Республики Саха (Якутия)» (по согласованию);</w:t>
            </w:r>
          </w:p>
          <w:p w14:paraId="74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75040000">
            <w:pPr>
              <w:pStyle w:val="Style_2"/>
              <w:ind/>
              <w:jc w:val="center"/>
              <w:rPr>
                <w:sz w:val="24"/>
              </w:rPr>
            </w:pPr>
            <w:r>
              <w:rPr>
                <w:sz w:val="24"/>
              </w:rPr>
              <w:t>Министерство предпринимательства, торговли и тур</w:t>
            </w:r>
            <w:r>
              <w:rPr>
                <w:sz w:val="24"/>
              </w:rPr>
              <w:t xml:space="preserve">изма Республики Саха (Якутия); </w:t>
            </w:r>
          </w:p>
          <w:p w14:paraId="76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77040000">
            <w:pPr>
              <w:pStyle w:val="Style_2"/>
              <w:ind/>
              <w:jc w:val="center"/>
              <w:rPr>
                <w:sz w:val="24"/>
              </w:rPr>
            </w:pPr>
            <w:r>
              <w:rPr>
                <w:sz w:val="24"/>
              </w:rPr>
              <w:t>Государственное автономное учреждение «Многофункциональный центр предоставления государственных и муниципальных услуг в Республике Саха (Якутия)» (по согласованию);</w:t>
            </w:r>
          </w:p>
          <w:p w14:paraId="78040000">
            <w:pPr>
              <w:pStyle w:val="Style_2"/>
              <w:ind/>
              <w:jc w:val="center"/>
              <w:rPr>
                <w:sz w:val="24"/>
              </w:rPr>
            </w:pPr>
            <w:r>
              <w:rPr>
                <w:sz w:val="24"/>
              </w:rPr>
              <w:t>УФНС России по Республике Саха (Якутия) (по согласованию);</w:t>
            </w:r>
          </w:p>
          <w:p w14:paraId="79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7A040000">
            <w:pPr>
              <w:pStyle w:val="Style_2"/>
              <w:ind/>
              <w:jc w:val="center"/>
              <w:rPr>
                <w:sz w:val="24"/>
              </w:rPr>
            </w:pPr>
            <w:r>
              <w:rPr>
                <w:sz w:val="24"/>
              </w:rPr>
              <w:t>Управление Роспотребнадз</w:t>
            </w:r>
            <w:r>
              <w:rPr>
                <w:sz w:val="24"/>
              </w:rPr>
              <w:t>ора по РС(Я)) (по согласованию).</w:t>
            </w:r>
          </w:p>
        </w:tc>
        <w:tc>
          <w:tcPr>
            <w:tcW w:type="dxa" w:w="4042"/>
            <w:vAlign w:val="center"/>
          </w:tcPr>
          <w:p w14:paraId="7B040000">
            <w:pPr>
              <w:pStyle w:val="Style_2"/>
              <w:ind w:firstLine="390"/>
              <w:jc w:val="both"/>
              <w:rPr>
                <w:sz w:val="24"/>
              </w:rPr>
            </w:pPr>
            <w:r>
              <w:rPr>
                <w:sz w:val="24"/>
              </w:rPr>
              <w:t>Существенное сокращение числа нарушений законодательства Российской Федерации в сфере защиты прав потребителей.</w:t>
            </w:r>
          </w:p>
        </w:tc>
      </w:tr>
      <w:tr>
        <w:tc>
          <w:tcPr>
            <w:tcW w:type="dxa" w:w="674"/>
            <w:vAlign w:val="center"/>
          </w:tcPr>
          <w:p w14:paraId="7C040000">
            <w:pPr>
              <w:pStyle w:val="Style_2"/>
              <w:ind/>
              <w:jc w:val="center"/>
              <w:rPr>
                <w:sz w:val="24"/>
              </w:rPr>
            </w:pPr>
            <w:r>
              <w:rPr>
                <w:sz w:val="24"/>
              </w:rPr>
              <w:t>3.7</w:t>
            </w:r>
          </w:p>
        </w:tc>
        <w:tc>
          <w:tcPr>
            <w:tcW w:type="dxa" w:w="4393"/>
            <w:vAlign w:val="center"/>
          </w:tcPr>
          <w:p w14:paraId="7D040000">
            <w:pPr>
              <w:pStyle w:val="Style_2"/>
              <w:ind w:firstLine="602"/>
              <w:jc w:val="both"/>
              <w:rPr>
                <w:sz w:val="24"/>
              </w:rPr>
            </w:pPr>
            <w:r>
              <w:rPr>
                <w:sz w:val="24"/>
              </w:rPr>
              <w:t>Применение дистанционных форм консультирования (телефонная связь, электронная почта, видеоконференцсвязь) субъектов контроля в рамках проведения профилактических или контрольно-надзорных мероприятий</w:t>
            </w:r>
          </w:p>
        </w:tc>
        <w:tc>
          <w:tcPr>
            <w:tcW w:type="dxa" w:w="1564"/>
            <w:vAlign w:val="center"/>
          </w:tcPr>
          <w:p w14:paraId="7E040000">
            <w:pPr>
              <w:pStyle w:val="Style_2"/>
              <w:ind/>
              <w:jc w:val="center"/>
              <w:rPr>
                <w:sz w:val="24"/>
              </w:rPr>
            </w:pPr>
            <w:r>
              <w:rPr>
                <w:sz w:val="24"/>
              </w:rPr>
              <w:t>2026-2030 годы</w:t>
            </w:r>
          </w:p>
        </w:tc>
        <w:tc>
          <w:tcPr>
            <w:tcW w:type="dxa" w:w="3894"/>
            <w:vAlign w:val="center"/>
          </w:tcPr>
          <w:p w14:paraId="7F040000">
            <w:pPr>
              <w:pStyle w:val="Style_2"/>
              <w:ind/>
              <w:jc w:val="center"/>
              <w:rPr>
                <w:sz w:val="24"/>
              </w:rPr>
            </w:pPr>
            <w:r>
              <w:rPr>
                <w:sz w:val="24"/>
              </w:rPr>
              <w:t>Управление государственного строительного и жилищного надзора Республики Саха (Якутия);</w:t>
            </w:r>
          </w:p>
          <w:p w14:paraId="8004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81040000">
            <w:pPr>
              <w:pStyle w:val="Style_2"/>
              <w:ind/>
              <w:jc w:val="center"/>
              <w:rPr>
                <w:sz w:val="24"/>
              </w:rPr>
            </w:pPr>
            <w:r>
              <w:rPr>
                <w:sz w:val="24"/>
              </w:rPr>
              <w:t>УФНС России по Республике Саха (Якутия) (по согласованию);</w:t>
            </w:r>
          </w:p>
          <w:p w14:paraId="82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83040000">
            <w:pPr>
              <w:pStyle w:val="Style_2"/>
              <w:ind/>
              <w:jc w:val="center"/>
              <w:rPr>
                <w:sz w:val="24"/>
              </w:rPr>
            </w:pPr>
            <w:r>
              <w:rPr>
                <w:sz w:val="24"/>
              </w:rPr>
              <w:t>Управление Роспотребнадзора по РС(Я)) (по согласованию).</w:t>
            </w:r>
          </w:p>
        </w:tc>
        <w:tc>
          <w:tcPr>
            <w:tcW w:type="dxa" w:w="4042"/>
            <w:vAlign w:val="center"/>
          </w:tcPr>
          <w:p w14:paraId="84040000">
            <w:pPr>
              <w:pStyle w:val="Style_2"/>
              <w:ind w:firstLine="532"/>
              <w:jc w:val="both"/>
              <w:rPr>
                <w:sz w:val="24"/>
              </w:rPr>
            </w:pPr>
            <w:r>
              <w:rPr>
                <w:sz w:val="24"/>
              </w:rPr>
              <w:t>Достижение существенного сокращения числа нарушений законодательства Российской Федерации в сфере потребительского рынка.</w:t>
            </w:r>
          </w:p>
        </w:tc>
      </w:tr>
      <w:tr>
        <w:tc>
          <w:tcPr>
            <w:tcW w:type="dxa" w:w="674"/>
            <w:vAlign w:val="center"/>
          </w:tcPr>
          <w:p w14:paraId="85040000">
            <w:pPr>
              <w:pStyle w:val="Style_2"/>
              <w:ind/>
              <w:jc w:val="center"/>
              <w:rPr>
                <w:sz w:val="24"/>
              </w:rPr>
            </w:pPr>
            <w:r>
              <w:rPr>
                <w:sz w:val="24"/>
              </w:rPr>
              <w:t>3.8</w:t>
            </w:r>
          </w:p>
        </w:tc>
        <w:tc>
          <w:tcPr>
            <w:tcW w:type="dxa" w:w="4393"/>
            <w:vAlign w:val="center"/>
          </w:tcPr>
          <w:p w14:paraId="86040000">
            <w:pPr>
              <w:pStyle w:val="Style_2"/>
              <w:ind w:firstLine="460"/>
              <w:jc w:val="both"/>
              <w:rPr>
                <w:sz w:val="24"/>
              </w:rPr>
            </w:pPr>
            <w:r>
              <w:rPr>
                <w:sz w:val="24"/>
              </w:rPr>
              <w:t>Самообследование</w:t>
            </w:r>
            <w:r>
              <w:rPr>
                <w:sz w:val="24"/>
              </w:rPr>
              <w:t xml:space="preserve"> по мере обращения контролируемого лица, а также при объявлении предостережения, осуществляемое в автоматизированном режиме с применением одного из способов, доступных на официальном сайте Роспотребнадзора в сети «Интернет».</w:t>
            </w:r>
          </w:p>
        </w:tc>
        <w:tc>
          <w:tcPr>
            <w:tcW w:type="dxa" w:w="1564"/>
            <w:vAlign w:val="center"/>
          </w:tcPr>
          <w:p w14:paraId="87040000">
            <w:pPr>
              <w:pStyle w:val="Style_2"/>
              <w:ind/>
              <w:jc w:val="center"/>
              <w:rPr>
                <w:sz w:val="24"/>
              </w:rPr>
            </w:pPr>
            <w:r>
              <w:rPr>
                <w:sz w:val="24"/>
              </w:rPr>
              <w:t>2026-2030 годы</w:t>
            </w:r>
          </w:p>
        </w:tc>
        <w:tc>
          <w:tcPr>
            <w:tcW w:type="dxa" w:w="3894"/>
            <w:vAlign w:val="center"/>
          </w:tcPr>
          <w:p w14:paraId="88040000">
            <w:pPr>
              <w:pStyle w:val="Style_2"/>
              <w:ind/>
              <w:jc w:val="center"/>
              <w:rPr>
                <w:sz w:val="24"/>
              </w:rPr>
            </w:pPr>
            <w:r>
              <w:rPr>
                <w:sz w:val="24"/>
              </w:rPr>
              <w:t>Управление государственного строительного и жилищного надзора Республики Саха (Якутия);</w:t>
            </w:r>
          </w:p>
          <w:p w14:paraId="8904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8A040000">
            <w:pPr>
              <w:pStyle w:val="Style_2"/>
              <w:ind/>
              <w:jc w:val="center"/>
              <w:rPr>
                <w:sz w:val="24"/>
              </w:rPr>
            </w:pPr>
            <w:r>
              <w:rPr>
                <w:sz w:val="24"/>
              </w:rPr>
              <w:t>УФНС России по Республике Саха (Якутия) (по согласованию);</w:t>
            </w:r>
          </w:p>
          <w:p w14:paraId="8B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8C040000">
            <w:pPr>
              <w:pStyle w:val="Style_2"/>
              <w:ind/>
              <w:jc w:val="center"/>
              <w:rPr>
                <w:sz w:val="24"/>
              </w:rPr>
            </w:pPr>
            <w:r>
              <w:rPr>
                <w:sz w:val="24"/>
              </w:rPr>
              <w:t>Управление Роспотребнадзора по РС(Я)) (по согласованию).</w:t>
            </w:r>
          </w:p>
        </w:tc>
        <w:tc>
          <w:tcPr>
            <w:tcW w:type="dxa" w:w="4042"/>
            <w:vAlign w:val="center"/>
          </w:tcPr>
          <w:p w14:paraId="8D040000">
            <w:pPr>
              <w:pStyle w:val="Style_2"/>
              <w:ind w:firstLine="390"/>
              <w:jc w:val="both"/>
              <w:rPr>
                <w:sz w:val="24"/>
              </w:rPr>
            </w:pPr>
            <w:r>
              <w:rPr>
                <w:sz w:val="24"/>
              </w:rPr>
              <w:t>Сокращение числа нарушений законодательства в сфере потребительского рынка.</w:t>
            </w:r>
          </w:p>
        </w:tc>
      </w:tr>
      <w:tr>
        <w:tc>
          <w:tcPr>
            <w:tcW w:type="dxa" w:w="674"/>
            <w:vAlign w:val="center"/>
          </w:tcPr>
          <w:p w14:paraId="8E040000">
            <w:pPr>
              <w:pStyle w:val="Style_2"/>
              <w:ind/>
              <w:jc w:val="center"/>
              <w:rPr>
                <w:sz w:val="24"/>
              </w:rPr>
            </w:pPr>
            <w:r>
              <w:rPr>
                <w:sz w:val="24"/>
              </w:rPr>
              <w:t>3.9</w:t>
            </w:r>
          </w:p>
        </w:tc>
        <w:tc>
          <w:tcPr>
            <w:tcW w:type="dxa" w:w="4393"/>
            <w:vAlign w:val="center"/>
          </w:tcPr>
          <w:p w14:paraId="8F040000">
            <w:pPr>
              <w:pStyle w:val="Style_2"/>
              <w:ind w:firstLine="460"/>
              <w:jc w:val="both"/>
              <w:rPr>
                <w:sz w:val="24"/>
              </w:rPr>
            </w:pPr>
            <w:r>
              <w:rPr>
                <w:sz w:val="24"/>
              </w:rPr>
              <w:t>Выявление и пресечение случаев использования недостоверной рекламы и недобросовестной конкуренции, нарушающих законные права и интересы потребителей.</w:t>
            </w:r>
          </w:p>
        </w:tc>
        <w:tc>
          <w:tcPr>
            <w:tcW w:type="dxa" w:w="1564"/>
            <w:vAlign w:val="center"/>
          </w:tcPr>
          <w:p w14:paraId="90040000">
            <w:pPr>
              <w:pStyle w:val="Style_2"/>
              <w:ind/>
              <w:jc w:val="center"/>
              <w:rPr>
                <w:sz w:val="24"/>
              </w:rPr>
            </w:pPr>
            <w:r>
              <w:rPr>
                <w:sz w:val="24"/>
              </w:rPr>
              <w:t>2026-2030 годы</w:t>
            </w:r>
          </w:p>
        </w:tc>
        <w:tc>
          <w:tcPr>
            <w:tcW w:type="dxa" w:w="3894"/>
            <w:vAlign w:val="center"/>
          </w:tcPr>
          <w:p w14:paraId="91040000">
            <w:pPr>
              <w:pStyle w:val="Style_2"/>
              <w:ind/>
              <w:jc w:val="center"/>
              <w:rPr>
                <w:sz w:val="24"/>
              </w:rPr>
            </w:pPr>
            <w:r>
              <w:rPr>
                <w:sz w:val="24"/>
              </w:rPr>
              <w:t>Управление государственного строительного и жилищного надзора Республики Саха (Якутия);</w:t>
            </w:r>
          </w:p>
          <w:p w14:paraId="92040000">
            <w:pPr>
              <w:pStyle w:val="Style_2"/>
              <w:ind/>
              <w:jc w:val="center"/>
              <w:rPr>
                <w:sz w:val="24"/>
              </w:rPr>
            </w:pPr>
            <w:r>
              <w:rPr>
                <w:sz w:val="24"/>
              </w:rPr>
              <w:t>Управление Федеральной службы по надзору в сфере связи, информационных технологий и массовых коммуникаций по Республике Саха (Якутия) (по согласованию);</w:t>
            </w:r>
          </w:p>
          <w:p w14:paraId="93040000">
            <w:pPr>
              <w:pStyle w:val="Style_2"/>
              <w:ind/>
              <w:jc w:val="center"/>
              <w:rPr>
                <w:sz w:val="24"/>
              </w:rPr>
            </w:pPr>
            <w:r>
              <w:rPr>
                <w:sz w:val="24"/>
              </w:rPr>
              <w:t>УФНС России по Республике Саха (Якутия) (по согласованию);</w:t>
            </w:r>
          </w:p>
          <w:p w14:paraId="94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95040000">
            <w:pPr>
              <w:pStyle w:val="Style_2"/>
              <w:ind/>
              <w:jc w:val="center"/>
              <w:rPr>
                <w:sz w:val="24"/>
              </w:rPr>
            </w:pPr>
            <w:r>
              <w:rPr>
                <w:sz w:val="24"/>
              </w:rPr>
              <w:t>Управление Роспотребнадзора по РС(Я)) (по согласованию).</w:t>
            </w:r>
          </w:p>
        </w:tc>
        <w:tc>
          <w:tcPr>
            <w:tcW w:type="dxa" w:w="4042"/>
            <w:vAlign w:val="center"/>
          </w:tcPr>
          <w:p w14:paraId="96040000">
            <w:pPr>
              <w:pStyle w:val="Style_2"/>
              <w:ind w:firstLine="390"/>
              <w:jc w:val="both"/>
              <w:rPr>
                <w:sz w:val="24"/>
              </w:rPr>
            </w:pPr>
            <w:r>
              <w:rPr>
                <w:sz w:val="24"/>
              </w:rPr>
              <w:t>Устойчивое снижение числа нарушений в потребительских сферах, обеспечение цивилизованной конкуренции и защита прав граждан.</w:t>
            </w:r>
          </w:p>
        </w:tc>
      </w:tr>
      <w:tr>
        <w:tc>
          <w:tcPr>
            <w:tcW w:type="dxa" w:w="674"/>
            <w:vAlign w:val="center"/>
          </w:tcPr>
          <w:p w14:paraId="97040000">
            <w:pPr>
              <w:pStyle w:val="Style_2"/>
              <w:ind/>
              <w:jc w:val="center"/>
              <w:rPr>
                <w:sz w:val="24"/>
              </w:rPr>
            </w:pPr>
            <w:r>
              <w:rPr>
                <w:sz w:val="24"/>
              </w:rPr>
              <w:t>3.10</w:t>
            </w:r>
          </w:p>
        </w:tc>
        <w:tc>
          <w:tcPr>
            <w:tcW w:type="dxa" w:w="4393"/>
            <w:vAlign w:val="center"/>
          </w:tcPr>
          <w:p w14:paraId="98040000">
            <w:pPr>
              <w:pStyle w:val="Style_2"/>
              <w:ind w:firstLine="744"/>
              <w:jc w:val="both"/>
              <w:rPr>
                <w:sz w:val="24"/>
              </w:rPr>
            </w:pPr>
            <w:r>
              <w:rPr>
                <w:sz w:val="24"/>
              </w:rPr>
              <w:t>Проведение контрольно-надзорных мер в ответ на выявление индикаторов риска нарушений обязательных требований в сфере защиты прав потребителей и оборота товаров, подлежащих обязательной маркировке средствами идентификации.</w:t>
            </w:r>
          </w:p>
        </w:tc>
        <w:tc>
          <w:tcPr>
            <w:tcW w:type="dxa" w:w="1564"/>
            <w:vAlign w:val="center"/>
          </w:tcPr>
          <w:p w14:paraId="99040000">
            <w:pPr>
              <w:pStyle w:val="Style_2"/>
              <w:ind/>
              <w:jc w:val="center"/>
              <w:rPr>
                <w:sz w:val="24"/>
              </w:rPr>
            </w:pPr>
            <w:r>
              <w:rPr>
                <w:sz w:val="24"/>
              </w:rPr>
              <w:t>2026-2030 годы</w:t>
            </w:r>
          </w:p>
        </w:tc>
        <w:tc>
          <w:tcPr>
            <w:tcW w:type="dxa" w:w="3894"/>
            <w:vAlign w:val="center"/>
          </w:tcPr>
          <w:p w14:paraId="9A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9B040000">
            <w:pPr>
              <w:pStyle w:val="Style_2"/>
              <w:ind/>
              <w:jc w:val="center"/>
              <w:rPr>
                <w:sz w:val="24"/>
              </w:rPr>
            </w:pPr>
            <w:r>
              <w:rPr>
                <w:sz w:val="24"/>
              </w:rPr>
              <w:t>Управление Роспотребнадзора по РС(Я)) (по согласованию).</w:t>
            </w:r>
          </w:p>
        </w:tc>
        <w:tc>
          <w:tcPr>
            <w:tcW w:type="dxa" w:w="4042"/>
            <w:vAlign w:val="center"/>
          </w:tcPr>
          <w:p w14:paraId="9C040000">
            <w:pPr>
              <w:pStyle w:val="Style_2"/>
              <w:ind w:firstLine="532"/>
              <w:jc w:val="both"/>
              <w:rPr>
                <w:sz w:val="24"/>
              </w:rPr>
            </w:pPr>
            <w:r>
              <w:rPr>
                <w:sz w:val="24"/>
              </w:rPr>
              <w:t>Достижение принципиального повышения качественных характеристик предоставляемых услуг и выполняемых работ на территории республики. Параллельно ожидается существенное снижение количества случаев несоблюдения действующего законодательства Российской Федерации в области регулирования потребительского рынка, что послужит основой для формирования прозрачной и этичной конкурентной среды.</w:t>
            </w:r>
          </w:p>
          <w:p w14:paraId="9D040000">
            <w:pPr>
              <w:pStyle w:val="Style_2"/>
              <w:ind w:firstLine="532"/>
              <w:jc w:val="both"/>
              <w:rPr>
                <w:sz w:val="24"/>
              </w:rPr>
            </w:pPr>
          </w:p>
          <w:p w14:paraId="9E040000">
            <w:pPr>
              <w:pStyle w:val="Style_2"/>
              <w:ind w:firstLine="532"/>
              <w:jc w:val="both"/>
              <w:rPr>
                <w:sz w:val="24"/>
              </w:rPr>
            </w:pPr>
          </w:p>
          <w:p w14:paraId="9F040000">
            <w:pPr>
              <w:pStyle w:val="Style_2"/>
              <w:ind w:firstLine="532"/>
              <w:jc w:val="both"/>
              <w:rPr>
                <w:sz w:val="24"/>
              </w:rPr>
            </w:pPr>
          </w:p>
        </w:tc>
      </w:tr>
      <w:tr>
        <w:tc>
          <w:tcPr>
            <w:tcW w:type="dxa" w:w="14567"/>
            <w:gridSpan w:val="5"/>
            <w:vAlign w:val="center"/>
          </w:tcPr>
          <w:p w14:paraId="A0040000">
            <w:pPr>
              <w:pStyle w:val="Style_2"/>
              <w:numPr>
                <w:ilvl w:val="0"/>
                <w:numId w:val="4"/>
              </w:numPr>
              <w:ind w:firstLine="0" w:left="0"/>
              <w:jc w:val="center"/>
              <w:rPr>
                <w:b w:val="1"/>
                <w:sz w:val="24"/>
              </w:rPr>
            </w:pPr>
            <w:r>
              <w:rPr>
                <w:b w:val="1"/>
                <w:sz w:val="24"/>
              </w:rPr>
              <w:t>Мониторинг состояния потребительского рынка и системы защиты прав потребителей</w:t>
            </w:r>
          </w:p>
        </w:tc>
      </w:tr>
      <w:tr>
        <w:tc>
          <w:tcPr>
            <w:tcW w:type="dxa" w:w="6631"/>
            <w:gridSpan w:val="3"/>
            <w:tcBorders>
              <w:bottom w:color="000000" w:sz="4" w:val="single"/>
            </w:tcBorders>
            <w:vAlign w:val="center"/>
          </w:tcPr>
          <w:p w14:paraId="A1040000">
            <w:pPr>
              <w:pStyle w:val="Style_2"/>
              <w:ind/>
              <w:jc w:val="center"/>
              <w:rPr>
                <w:sz w:val="24"/>
              </w:rPr>
            </w:pPr>
            <w:r>
              <w:rPr>
                <w:sz w:val="24"/>
              </w:rPr>
              <w:t>Краткое</w:t>
            </w:r>
            <w:r>
              <w:rPr>
                <w:sz w:val="24"/>
              </w:rPr>
              <w:tab/>
            </w:r>
            <w:r>
              <w:rPr>
                <w:sz w:val="24"/>
              </w:rPr>
              <w:t>описание</w:t>
            </w:r>
            <w:r>
              <w:rPr>
                <w:sz w:val="24"/>
              </w:rPr>
              <w:tab/>
            </w:r>
            <w:r>
              <w:rPr>
                <w:sz w:val="24"/>
              </w:rPr>
              <w:t>основного мероприятия:</w:t>
            </w:r>
          </w:p>
        </w:tc>
        <w:tc>
          <w:tcPr>
            <w:tcW w:type="dxa" w:w="7936"/>
            <w:gridSpan w:val="2"/>
            <w:tcBorders>
              <w:bottom w:color="000000" w:sz="4" w:val="single"/>
              <w:right w:color="000000" w:sz="4" w:val="single"/>
            </w:tcBorders>
            <w:vAlign w:val="center"/>
          </w:tcPr>
          <w:p w14:paraId="A2040000">
            <w:pPr>
              <w:pStyle w:val="Style_2"/>
              <w:ind w:firstLine="457"/>
              <w:jc w:val="both"/>
              <w:rPr>
                <w:sz w:val="24"/>
              </w:rPr>
            </w:pPr>
            <w:r>
              <w:rPr>
                <w:sz w:val="24"/>
              </w:rPr>
              <w:t>М</w:t>
            </w:r>
            <w:r>
              <w:rPr>
                <w:sz w:val="24"/>
              </w:rPr>
              <w:t>ероприятие призвано обеспечить комплексную оценку ситуации на потребительском рынке Республики Саха (Якутия), а также степени эффективности функционирования системы защиты прав потребителей. Предусматривается проведение систематического анализа нарушений прав потребителей, выявленных в регионе, с целью выявления причинно-следственных связей и выработки мер по их предотвращению и устранению.</w:t>
            </w:r>
            <w:r>
              <w:rPr>
                <w:sz w:val="24"/>
              </w:rPr>
              <w:t xml:space="preserve"> </w:t>
            </w:r>
          </w:p>
        </w:tc>
      </w:tr>
      <w:tr>
        <w:tc>
          <w:tcPr>
            <w:tcW w:type="dxa" w:w="674"/>
            <w:vAlign w:val="center"/>
          </w:tcPr>
          <w:p w14:paraId="A3040000">
            <w:pPr>
              <w:pStyle w:val="Style_2"/>
              <w:ind/>
              <w:jc w:val="center"/>
              <w:rPr>
                <w:sz w:val="24"/>
              </w:rPr>
            </w:pPr>
            <w:r>
              <w:rPr>
                <w:sz w:val="24"/>
              </w:rPr>
              <w:t>4.1</w:t>
            </w:r>
          </w:p>
        </w:tc>
        <w:tc>
          <w:tcPr>
            <w:tcW w:type="dxa" w:w="4393"/>
            <w:vAlign w:val="center"/>
          </w:tcPr>
          <w:p w14:paraId="A4040000">
            <w:pPr>
              <w:pStyle w:val="Style_2"/>
              <w:ind w:firstLine="460"/>
              <w:jc w:val="both"/>
              <w:rPr>
                <w:sz w:val="24"/>
              </w:rPr>
            </w:pPr>
            <w:r>
              <w:rPr>
                <w:sz w:val="24"/>
              </w:rPr>
              <w:t>Исследование уровня правовой осведомленности граждан и субъектов хозяйственной деятельности в области защиты прав потребителей (путем проведения анкетирования, опросов и тестирования).</w:t>
            </w:r>
          </w:p>
        </w:tc>
        <w:tc>
          <w:tcPr>
            <w:tcW w:type="dxa" w:w="1564"/>
            <w:vAlign w:val="center"/>
          </w:tcPr>
          <w:p w14:paraId="A5040000">
            <w:pPr>
              <w:pStyle w:val="Style_2"/>
              <w:ind/>
              <w:jc w:val="center"/>
              <w:rPr>
                <w:sz w:val="24"/>
              </w:rPr>
            </w:pPr>
            <w:r>
              <w:rPr>
                <w:sz w:val="24"/>
              </w:rPr>
              <w:t>2026-2030 годы</w:t>
            </w:r>
          </w:p>
        </w:tc>
        <w:tc>
          <w:tcPr>
            <w:tcW w:type="dxa" w:w="3894"/>
            <w:vAlign w:val="center"/>
          </w:tcPr>
          <w:p w14:paraId="A6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A7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A8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A9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AA040000">
            <w:pPr>
              <w:pStyle w:val="Style_2"/>
              <w:ind/>
              <w:jc w:val="center"/>
              <w:rPr>
                <w:sz w:val="24"/>
              </w:rPr>
            </w:pPr>
            <w:r>
              <w:rPr>
                <w:sz w:val="24"/>
              </w:rPr>
              <w:t>Союз «Торгово-промышленная палата Республики Саха (Якутия)» (по согласованию);</w:t>
            </w:r>
          </w:p>
          <w:p w14:paraId="AB040000">
            <w:pPr>
              <w:pStyle w:val="Style_2"/>
              <w:ind/>
              <w:jc w:val="center"/>
              <w:rPr>
                <w:sz w:val="24"/>
              </w:rPr>
            </w:pPr>
            <w:r>
              <w:rPr>
                <w:sz w:val="24"/>
              </w:rPr>
              <w:t>Органы местного самоуправления Республики Саха (Якутия);</w:t>
            </w:r>
          </w:p>
          <w:p w14:paraId="AC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AD040000">
            <w:pPr>
              <w:pStyle w:val="Style_2"/>
              <w:ind/>
              <w:jc w:val="center"/>
              <w:rPr>
                <w:sz w:val="24"/>
              </w:rPr>
            </w:pPr>
            <w:r>
              <w:rPr>
                <w:sz w:val="24"/>
              </w:rPr>
              <w:t>Управление Роспотребнадз</w:t>
            </w:r>
            <w:r>
              <w:rPr>
                <w:sz w:val="24"/>
              </w:rPr>
              <w:t>ора по РС(Я)) (по согласованию);</w:t>
            </w:r>
          </w:p>
          <w:p w14:paraId="AE040000">
            <w:pPr>
              <w:pStyle w:val="Style_2"/>
              <w:ind/>
              <w:jc w:val="center"/>
              <w:rPr>
                <w:sz w:val="24"/>
              </w:rPr>
            </w:pPr>
            <w:r>
              <w:rPr>
                <w:sz w:val="24"/>
              </w:rPr>
              <w:t>УФНС России по Республике Саха (Якутия) (по согласованию);</w:t>
            </w:r>
          </w:p>
          <w:p w14:paraId="AF040000">
            <w:pPr>
              <w:pStyle w:val="Style_2"/>
              <w:ind/>
              <w:jc w:val="center"/>
              <w:rPr>
                <w:sz w:val="24"/>
              </w:rPr>
            </w:pPr>
            <w:r>
              <w:rPr>
                <w:sz w:val="24"/>
              </w:rPr>
              <w:t>ФБУЗ «Центр гигиены и эпидемиологии в Республике Саха (Якутия)») (по согласованию);</w:t>
            </w:r>
          </w:p>
          <w:p w14:paraId="B0040000">
            <w:pPr>
              <w:pStyle w:val="Style_2"/>
              <w:ind/>
              <w:jc w:val="center"/>
              <w:rPr>
                <w:sz w:val="24"/>
              </w:rPr>
            </w:pPr>
            <w:r>
              <w:rPr>
                <w:sz w:val="24"/>
              </w:rPr>
              <w:t>Региональный центр поддержки маркировки «Честный знак» (по согласованию);</w:t>
            </w:r>
          </w:p>
          <w:p w14:paraId="B1040000">
            <w:pPr>
              <w:pStyle w:val="Style_2"/>
              <w:ind/>
              <w:jc w:val="center"/>
              <w:rPr>
                <w:sz w:val="24"/>
              </w:rPr>
            </w:pPr>
            <w:r>
              <w:rPr>
                <w:sz w:val="24"/>
              </w:rPr>
              <w:t>Общественные организации по защите прав</w:t>
            </w:r>
            <w:r>
              <w:rPr>
                <w:sz w:val="24"/>
              </w:rPr>
              <w:t xml:space="preserve"> </w:t>
            </w:r>
            <w:r>
              <w:rPr>
                <w:sz w:val="24"/>
              </w:rPr>
              <w:t>потребителей (по согласованию).</w:t>
            </w:r>
          </w:p>
        </w:tc>
        <w:tc>
          <w:tcPr>
            <w:tcW w:type="dxa" w:w="4042"/>
            <w:tcBorders>
              <w:right w:color="000000" w:sz="4" w:val="single"/>
            </w:tcBorders>
            <w:vAlign w:val="center"/>
          </w:tcPr>
          <w:p w14:paraId="B2040000">
            <w:pPr>
              <w:pStyle w:val="Style_2"/>
              <w:ind/>
              <w:jc w:val="both"/>
              <w:rPr>
                <w:sz w:val="24"/>
              </w:rPr>
            </w:pPr>
            <w:r>
              <w:rPr>
                <w:sz w:val="24"/>
              </w:rPr>
              <w:t>Повышение результативности мер по контролю за правовой грамотностью населения в сфере защиты прав потребителей.</w:t>
            </w:r>
          </w:p>
        </w:tc>
      </w:tr>
      <w:tr>
        <w:tc>
          <w:tcPr>
            <w:tcW w:type="dxa" w:w="674"/>
            <w:vAlign w:val="center"/>
          </w:tcPr>
          <w:p w14:paraId="B3040000">
            <w:pPr>
              <w:pStyle w:val="Style_2"/>
              <w:ind/>
              <w:jc w:val="center"/>
              <w:rPr>
                <w:sz w:val="24"/>
              </w:rPr>
            </w:pPr>
            <w:r>
              <w:rPr>
                <w:sz w:val="24"/>
              </w:rPr>
              <w:t>4.2</w:t>
            </w:r>
          </w:p>
        </w:tc>
        <w:tc>
          <w:tcPr>
            <w:tcW w:type="dxa" w:w="4393"/>
            <w:vAlign w:val="center"/>
          </w:tcPr>
          <w:p w14:paraId="B4040000">
            <w:pPr>
              <w:pStyle w:val="Style_2"/>
              <w:ind w:firstLine="460"/>
              <w:jc w:val="both"/>
              <w:rPr>
                <w:sz w:val="24"/>
              </w:rPr>
            </w:pPr>
            <w:r>
              <w:rPr>
                <w:sz w:val="24"/>
              </w:rPr>
              <w:t>Мониторинг обращений граждан как инструмент повышения качества защиты прав потребителей</w:t>
            </w:r>
          </w:p>
        </w:tc>
        <w:tc>
          <w:tcPr>
            <w:tcW w:type="dxa" w:w="1564"/>
            <w:vAlign w:val="center"/>
          </w:tcPr>
          <w:p w14:paraId="B5040000">
            <w:pPr>
              <w:pStyle w:val="Style_2"/>
              <w:ind/>
              <w:jc w:val="center"/>
              <w:rPr>
                <w:sz w:val="24"/>
              </w:rPr>
            </w:pPr>
            <w:r>
              <w:rPr>
                <w:sz w:val="24"/>
              </w:rPr>
              <w:t>2026-2030 годы</w:t>
            </w:r>
          </w:p>
        </w:tc>
        <w:tc>
          <w:tcPr>
            <w:tcW w:type="dxa" w:w="3894"/>
            <w:vAlign w:val="center"/>
          </w:tcPr>
          <w:p w14:paraId="B6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B7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B8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B9040000">
            <w:pPr>
              <w:pStyle w:val="Style_2"/>
              <w:ind/>
              <w:jc w:val="center"/>
              <w:rPr>
                <w:sz w:val="24"/>
              </w:rPr>
            </w:pPr>
            <w:r>
              <w:rPr>
                <w:sz w:val="24"/>
              </w:rPr>
              <w:t>Союз «Торгово-промышленная палата Республики Саха (Якутия)» (по согласованию);</w:t>
            </w:r>
          </w:p>
          <w:p w14:paraId="BA040000">
            <w:pPr>
              <w:pStyle w:val="Style_2"/>
              <w:ind/>
              <w:jc w:val="center"/>
              <w:rPr>
                <w:sz w:val="24"/>
              </w:rPr>
            </w:pPr>
            <w:r>
              <w:rPr>
                <w:sz w:val="24"/>
              </w:rPr>
              <w:t>Органы местного самоуправления Республики Саха (Якутия);</w:t>
            </w:r>
          </w:p>
          <w:p w14:paraId="BB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BC040000">
            <w:pPr>
              <w:pStyle w:val="Style_2"/>
              <w:ind/>
              <w:jc w:val="center"/>
              <w:rPr>
                <w:sz w:val="24"/>
              </w:rPr>
            </w:pPr>
            <w:r>
              <w:rPr>
                <w:sz w:val="24"/>
              </w:rPr>
              <w:t>Управление Роспотребнадзора по РС(Я)) (по согласованию);</w:t>
            </w:r>
          </w:p>
          <w:p w14:paraId="BD040000">
            <w:pPr>
              <w:pStyle w:val="Style_2"/>
              <w:ind/>
              <w:jc w:val="center"/>
              <w:rPr>
                <w:sz w:val="24"/>
              </w:rPr>
            </w:pPr>
            <w:r>
              <w:rPr>
                <w:sz w:val="24"/>
              </w:rPr>
              <w:t>УФНС России по Республике Саха (Якутия) (по согласованию);</w:t>
            </w:r>
          </w:p>
          <w:p w14:paraId="BE040000">
            <w:pPr>
              <w:pStyle w:val="Style_2"/>
              <w:ind/>
              <w:jc w:val="center"/>
              <w:rPr>
                <w:sz w:val="24"/>
              </w:rPr>
            </w:pPr>
            <w:r>
              <w:rPr>
                <w:sz w:val="24"/>
              </w:rPr>
              <w:t>ФБУЗ «Центр гигиены и эпидемиологии в Республике Саха (Якутия)») (по согласованию);</w:t>
            </w:r>
          </w:p>
          <w:p w14:paraId="BF040000">
            <w:pPr>
              <w:pStyle w:val="Style_2"/>
              <w:ind/>
              <w:jc w:val="center"/>
              <w:rPr>
                <w:sz w:val="24"/>
              </w:rPr>
            </w:pPr>
            <w:r>
              <w:rPr>
                <w:sz w:val="24"/>
              </w:rPr>
              <w:t>Региональный центр поддержки маркировки «Честный знак» (по согласованию);</w:t>
            </w:r>
          </w:p>
          <w:p w14:paraId="C0040000">
            <w:pPr>
              <w:pStyle w:val="Style_2"/>
              <w:ind/>
              <w:jc w:val="center"/>
              <w:rPr>
                <w:sz w:val="24"/>
              </w:rPr>
            </w:pPr>
            <w:r>
              <w:rPr>
                <w:sz w:val="24"/>
              </w:rPr>
              <w:t>Общественные организации по защите прав потребителей (по согласованию).</w:t>
            </w:r>
          </w:p>
        </w:tc>
        <w:tc>
          <w:tcPr>
            <w:tcW w:type="dxa" w:w="4042"/>
            <w:vAlign w:val="center"/>
          </w:tcPr>
          <w:p w14:paraId="C1040000">
            <w:pPr>
              <w:pStyle w:val="Style_2"/>
              <w:ind w:firstLine="532"/>
              <w:jc w:val="both"/>
              <w:rPr>
                <w:sz w:val="24"/>
              </w:rPr>
            </w:pPr>
            <w:r>
              <w:rPr>
                <w:sz w:val="24"/>
              </w:rPr>
              <w:t>Усиление результативности контрольно-надзорной деятельности посредством комплексного анализа поступающих обращений граждан, что приведет к более эффективной защите законных интересов потребителей.</w:t>
            </w:r>
          </w:p>
        </w:tc>
      </w:tr>
      <w:tr>
        <w:tc>
          <w:tcPr>
            <w:tcW w:type="dxa" w:w="674"/>
            <w:vAlign w:val="center"/>
          </w:tcPr>
          <w:p w14:paraId="C2040000">
            <w:pPr>
              <w:pStyle w:val="Style_2"/>
              <w:ind/>
              <w:jc w:val="center"/>
              <w:rPr>
                <w:sz w:val="24"/>
              </w:rPr>
            </w:pPr>
            <w:r>
              <w:rPr>
                <w:sz w:val="24"/>
              </w:rPr>
              <w:t>4.3</w:t>
            </w:r>
          </w:p>
        </w:tc>
        <w:tc>
          <w:tcPr>
            <w:tcW w:type="dxa" w:w="4393"/>
            <w:vAlign w:val="center"/>
          </w:tcPr>
          <w:p w14:paraId="C3040000">
            <w:pPr>
              <w:pStyle w:val="Style_2"/>
              <w:ind w:firstLine="460"/>
              <w:jc w:val="both"/>
              <w:rPr>
                <w:sz w:val="24"/>
              </w:rPr>
            </w:pPr>
            <w:r>
              <w:rPr>
                <w:sz w:val="24"/>
              </w:rPr>
              <w:t>Организация и проведение смотров-конкурсов, выставок и ярмарок потребительских товаров, включая региональный этап Всероссийского конкурса "100 лучших товаров России".</w:t>
            </w:r>
          </w:p>
        </w:tc>
        <w:tc>
          <w:tcPr>
            <w:tcW w:type="dxa" w:w="1564"/>
            <w:vAlign w:val="center"/>
          </w:tcPr>
          <w:p w14:paraId="C4040000">
            <w:pPr>
              <w:pStyle w:val="Style_2"/>
              <w:ind/>
              <w:jc w:val="center"/>
              <w:rPr>
                <w:sz w:val="24"/>
              </w:rPr>
            </w:pPr>
            <w:r>
              <w:rPr>
                <w:sz w:val="24"/>
              </w:rPr>
              <w:t>2026-2030 годы</w:t>
            </w:r>
          </w:p>
        </w:tc>
        <w:tc>
          <w:tcPr>
            <w:tcW w:type="dxa" w:w="3894"/>
            <w:vAlign w:val="center"/>
          </w:tcPr>
          <w:p w14:paraId="C5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C6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C7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C8040000">
            <w:pPr>
              <w:pStyle w:val="Style_2"/>
              <w:ind/>
              <w:jc w:val="center"/>
              <w:rPr>
                <w:sz w:val="24"/>
              </w:rPr>
            </w:pPr>
            <w:r>
              <w:rPr>
                <w:sz w:val="24"/>
              </w:rPr>
              <w:t>Союз «Торгово-промышленная палата Республики Саха (Якутия)» (по согласованию);</w:t>
            </w:r>
          </w:p>
          <w:p w14:paraId="C9040000">
            <w:pPr>
              <w:pStyle w:val="Style_2"/>
              <w:ind/>
              <w:jc w:val="center"/>
              <w:rPr>
                <w:sz w:val="24"/>
              </w:rPr>
            </w:pPr>
            <w:r>
              <w:rPr>
                <w:sz w:val="24"/>
              </w:rPr>
              <w:t>Органы местного самоуправ</w:t>
            </w:r>
            <w:r>
              <w:rPr>
                <w:sz w:val="24"/>
              </w:rPr>
              <w:t>ления Республики Саха (Якутия);</w:t>
            </w:r>
          </w:p>
          <w:p w14:paraId="CA040000">
            <w:pPr>
              <w:pStyle w:val="Style_2"/>
              <w:ind/>
              <w:jc w:val="center"/>
              <w:rPr>
                <w:sz w:val="24"/>
              </w:rPr>
            </w:pPr>
            <w:r>
              <w:rPr>
                <w:sz w:val="24"/>
              </w:rPr>
              <w:t>Региональный центр поддержки маркировки «Ч</w:t>
            </w:r>
            <w:r>
              <w:rPr>
                <w:sz w:val="24"/>
              </w:rPr>
              <w:t>естный знак» (по согласованию).</w:t>
            </w:r>
          </w:p>
        </w:tc>
        <w:tc>
          <w:tcPr>
            <w:tcW w:type="dxa" w:w="4042"/>
            <w:vAlign w:val="center"/>
          </w:tcPr>
          <w:p w14:paraId="CB040000">
            <w:pPr>
              <w:pStyle w:val="Style_2"/>
              <w:ind w:firstLine="532"/>
              <w:jc w:val="both"/>
              <w:rPr>
                <w:sz w:val="24"/>
              </w:rPr>
            </w:pPr>
            <w:r>
              <w:rPr>
                <w:sz w:val="24"/>
              </w:rPr>
              <w:t xml:space="preserve">Повышение </w:t>
            </w:r>
            <w:r>
              <w:rPr>
                <w:sz w:val="24"/>
              </w:rPr>
              <w:t>информированности населения о качестве представленных на рынке потребительских товаров.</w:t>
            </w:r>
          </w:p>
          <w:p w14:paraId="CC040000">
            <w:pPr>
              <w:pStyle w:val="Style_2"/>
              <w:ind w:firstLine="532"/>
              <w:jc w:val="both"/>
              <w:rPr>
                <w:sz w:val="24"/>
              </w:rPr>
            </w:pPr>
            <w:r>
              <w:rPr>
                <w:sz w:val="24"/>
              </w:rPr>
              <w:t>Установление эффективной коммуникации между местными предприятиями-производителями и конечными потребителями их продукции.</w:t>
            </w:r>
          </w:p>
        </w:tc>
      </w:tr>
      <w:tr>
        <w:tc>
          <w:tcPr>
            <w:tcW w:type="dxa" w:w="674"/>
            <w:vAlign w:val="center"/>
          </w:tcPr>
          <w:p w14:paraId="CD040000">
            <w:pPr>
              <w:pStyle w:val="Style_2"/>
              <w:ind/>
              <w:jc w:val="center"/>
              <w:rPr>
                <w:sz w:val="24"/>
              </w:rPr>
            </w:pPr>
            <w:r>
              <w:rPr>
                <w:sz w:val="24"/>
              </w:rPr>
              <w:t>4.4</w:t>
            </w:r>
          </w:p>
        </w:tc>
        <w:tc>
          <w:tcPr>
            <w:tcW w:type="dxa" w:w="4393"/>
            <w:vAlign w:val="center"/>
          </w:tcPr>
          <w:p w14:paraId="CE040000">
            <w:pPr>
              <w:pStyle w:val="Style_2"/>
              <w:ind w:firstLine="460"/>
              <w:jc w:val="both"/>
              <w:rPr>
                <w:sz w:val="24"/>
              </w:rPr>
            </w:pPr>
            <w:r>
              <w:rPr>
                <w:sz w:val="24"/>
              </w:rPr>
              <w:t>Мониторинг соблюдения обязательных требований к товарам, работам и услугам в части их безопасности, а также выявление фактов поступления на потребительский рынок опасных для жизни и здоровья товаров, не имеющих необходимой и достоверной информации.</w:t>
            </w:r>
          </w:p>
        </w:tc>
        <w:tc>
          <w:tcPr>
            <w:tcW w:type="dxa" w:w="1564"/>
            <w:vAlign w:val="center"/>
          </w:tcPr>
          <w:p w14:paraId="CF040000">
            <w:pPr>
              <w:pStyle w:val="Style_2"/>
              <w:ind/>
              <w:jc w:val="center"/>
              <w:rPr>
                <w:sz w:val="24"/>
              </w:rPr>
            </w:pPr>
            <w:r>
              <w:rPr>
                <w:sz w:val="24"/>
              </w:rPr>
              <w:t>2026-2030 годы</w:t>
            </w:r>
          </w:p>
        </w:tc>
        <w:tc>
          <w:tcPr>
            <w:tcW w:type="dxa" w:w="3894"/>
            <w:vAlign w:val="center"/>
          </w:tcPr>
          <w:p w14:paraId="D0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D1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D2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D3040000">
            <w:pPr>
              <w:pStyle w:val="Style_2"/>
              <w:ind/>
              <w:jc w:val="center"/>
              <w:rPr>
                <w:sz w:val="24"/>
              </w:rPr>
            </w:pPr>
            <w:r>
              <w:rPr>
                <w:sz w:val="24"/>
              </w:rPr>
              <w:t>Союз «Торгово-промышленная палата Республики Саха (Якутия)» (по согласованию);</w:t>
            </w:r>
          </w:p>
          <w:p w14:paraId="D4040000">
            <w:pPr>
              <w:pStyle w:val="Style_2"/>
              <w:ind/>
              <w:jc w:val="center"/>
              <w:rPr>
                <w:sz w:val="24"/>
              </w:rPr>
            </w:pPr>
            <w:r>
              <w:rPr>
                <w:sz w:val="24"/>
              </w:rPr>
              <w:t>Органы местного самоуправления Республики Саха (Якутия);</w:t>
            </w:r>
          </w:p>
          <w:p w14:paraId="D5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D6040000">
            <w:pPr>
              <w:pStyle w:val="Style_2"/>
              <w:ind/>
              <w:jc w:val="center"/>
              <w:rPr>
                <w:sz w:val="24"/>
              </w:rPr>
            </w:pPr>
            <w:r>
              <w:rPr>
                <w:sz w:val="24"/>
              </w:rPr>
              <w:t>Управление Роспотребнадзора по РС(Я)) (по согласованию);</w:t>
            </w:r>
          </w:p>
          <w:p w14:paraId="D7040000">
            <w:pPr>
              <w:pStyle w:val="Style_2"/>
              <w:ind/>
              <w:jc w:val="center"/>
              <w:rPr>
                <w:sz w:val="24"/>
              </w:rPr>
            </w:pPr>
            <w:r>
              <w:rPr>
                <w:sz w:val="24"/>
              </w:rPr>
              <w:t>УФНС России по Республике Саха (Якутия) (по согласованию);</w:t>
            </w:r>
          </w:p>
          <w:p w14:paraId="D8040000">
            <w:pPr>
              <w:pStyle w:val="Style_2"/>
              <w:ind/>
              <w:jc w:val="center"/>
              <w:rPr>
                <w:sz w:val="24"/>
              </w:rPr>
            </w:pPr>
            <w:r>
              <w:rPr>
                <w:sz w:val="24"/>
              </w:rPr>
              <w:t>ФБУЗ «Центр гигиены и эпидемиологии в Республике Саха (Якутия)») (по согласованию);</w:t>
            </w:r>
          </w:p>
          <w:p w14:paraId="D9040000">
            <w:pPr>
              <w:pStyle w:val="Style_2"/>
              <w:ind/>
              <w:jc w:val="center"/>
              <w:rPr>
                <w:sz w:val="24"/>
              </w:rPr>
            </w:pPr>
            <w:r>
              <w:rPr>
                <w:sz w:val="24"/>
              </w:rPr>
              <w:t>Региональный центр поддержки маркировки «Честный знак» (по согласованию);</w:t>
            </w:r>
          </w:p>
          <w:p w14:paraId="DA040000">
            <w:pPr>
              <w:pStyle w:val="Style_2"/>
              <w:ind/>
              <w:jc w:val="center"/>
              <w:rPr>
                <w:sz w:val="24"/>
              </w:rPr>
            </w:pPr>
            <w:r>
              <w:rPr>
                <w:sz w:val="24"/>
              </w:rPr>
              <w:t>Общественные организации по защите прав потребителей (по согласованию).</w:t>
            </w:r>
          </w:p>
        </w:tc>
        <w:tc>
          <w:tcPr>
            <w:tcW w:type="dxa" w:w="4042"/>
            <w:vAlign w:val="center"/>
          </w:tcPr>
          <w:p w14:paraId="DB040000">
            <w:pPr>
              <w:pStyle w:val="Style_2"/>
              <w:ind w:firstLine="390"/>
              <w:jc w:val="both"/>
              <w:rPr>
                <w:sz w:val="24"/>
              </w:rPr>
            </w:pPr>
            <w:r>
              <w:rPr>
                <w:sz w:val="24"/>
              </w:rPr>
              <w:t>Повышение уровня безопасности и качества товаров, работ и услуг, представленных на потребительском рынке Республики Саха (Якутия).</w:t>
            </w:r>
          </w:p>
        </w:tc>
      </w:tr>
      <w:tr>
        <w:tc>
          <w:tcPr>
            <w:tcW w:type="dxa" w:w="674"/>
            <w:vAlign w:val="center"/>
          </w:tcPr>
          <w:p w14:paraId="DC040000">
            <w:pPr>
              <w:pStyle w:val="Style_2"/>
              <w:ind/>
              <w:jc w:val="center"/>
              <w:rPr>
                <w:sz w:val="24"/>
              </w:rPr>
            </w:pPr>
            <w:r>
              <w:rPr>
                <w:sz w:val="24"/>
              </w:rPr>
              <w:t>4.5</w:t>
            </w:r>
          </w:p>
        </w:tc>
        <w:tc>
          <w:tcPr>
            <w:tcW w:type="dxa" w:w="4393"/>
            <w:vAlign w:val="center"/>
          </w:tcPr>
          <w:p w14:paraId="DD040000">
            <w:pPr>
              <w:pStyle w:val="Style_2"/>
              <w:ind w:firstLine="460"/>
              <w:jc w:val="both"/>
              <w:rPr>
                <w:sz w:val="24"/>
              </w:rPr>
            </w:pPr>
            <w:r>
              <w:rPr>
                <w:sz w:val="24"/>
              </w:rPr>
              <w:t>Проведение независимой экспертизы качества и безопасности пищевых продуктов, а также услуг в сфере общественного питания.</w:t>
            </w:r>
          </w:p>
        </w:tc>
        <w:tc>
          <w:tcPr>
            <w:tcW w:type="dxa" w:w="1564"/>
            <w:vAlign w:val="center"/>
          </w:tcPr>
          <w:p w14:paraId="DE040000">
            <w:pPr>
              <w:pStyle w:val="Style_2"/>
              <w:ind/>
              <w:jc w:val="center"/>
              <w:rPr>
                <w:sz w:val="24"/>
              </w:rPr>
            </w:pPr>
            <w:r>
              <w:rPr>
                <w:sz w:val="24"/>
              </w:rPr>
              <w:t>2026-2030 годы</w:t>
            </w:r>
          </w:p>
        </w:tc>
        <w:tc>
          <w:tcPr>
            <w:tcW w:type="dxa" w:w="3894"/>
            <w:vAlign w:val="center"/>
          </w:tcPr>
          <w:p w14:paraId="DF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E0040000">
            <w:pPr>
              <w:pStyle w:val="Style_2"/>
              <w:ind/>
              <w:jc w:val="center"/>
              <w:rPr>
                <w:sz w:val="24"/>
              </w:rPr>
            </w:pPr>
            <w:r>
              <w:rPr>
                <w:sz w:val="24"/>
              </w:rPr>
              <w:t>Автономная некоммерческая организация «</w:t>
            </w:r>
            <w:r>
              <w:rPr>
                <w:sz w:val="24"/>
              </w:rPr>
              <w:t>Союзэкпертиза</w:t>
            </w:r>
            <w:r>
              <w:rPr>
                <w:sz w:val="24"/>
              </w:rPr>
              <w:t>» Торгово-промышленной палаты Республики Саха (Якутия) (по согласованию);</w:t>
            </w:r>
          </w:p>
          <w:p w14:paraId="E1040000">
            <w:pPr>
              <w:pStyle w:val="Style_2"/>
              <w:ind/>
              <w:jc w:val="center"/>
              <w:rPr>
                <w:sz w:val="24"/>
              </w:rPr>
            </w:pPr>
            <w:r>
              <w:rPr>
                <w:sz w:val="24"/>
              </w:rPr>
              <w:t>ФБУЗ «Центр гигиены и эпидемиологии в Республике Саха (Якутия)») (по согласованию);</w:t>
            </w:r>
          </w:p>
          <w:p w14:paraId="E2040000">
            <w:pPr>
              <w:pStyle w:val="Style_2"/>
              <w:ind/>
              <w:jc w:val="center"/>
              <w:rPr>
                <w:sz w:val="24"/>
              </w:rPr>
            </w:pPr>
            <w:r>
              <w:rPr>
                <w:sz w:val="24"/>
              </w:rPr>
              <w:t xml:space="preserve">Федеральное бюджетное учреждение «Государственный региональный центр стандартизации, метрологии и испытаний в Республике </w:t>
            </w:r>
            <w:r>
              <w:rPr>
                <w:sz w:val="24"/>
              </w:rPr>
              <w:t>С</w:t>
            </w:r>
            <w:r>
              <w:rPr>
                <w:sz w:val="24"/>
              </w:rPr>
              <w:t>аха (Якутия) (по соглас</w:t>
            </w:r>
            <w:r>
              <w:rPr>
                <w:sz w:val="24"/>
              </w:rPr>
              <w:t>ованию).</w:t>
            </w:r>
          </w:p>
          <w:p w14:paraId="E3040000">
            <w:pPr>
              <w:pStyle w:val="Style_2"/>
              <w:ind/>
              <w:jc w:val="center"/>
              <w:rPr>
                <w:sz w:val="24"/>
              </w:rPr>
            </w:pPr>
          </w:p>
          <w:p w14:paraId="E4040000">
            <w:pPr>
              <w:pStyle w:val="Style_2"/>
              <w:ind/>
              <w:jc w:val="center"/>
              <w:rPr>
                <w:sz w:val="24"/>
              </w:rPr>
            </w:pPr>
            <w:bookmarkStart w:id="1" w:name="_GoBack"/>
            <w:bookmarkEnd w:id="1"/>
          </w:p>
        </w:tc>
        <w:tc>
          <w:tcPr>
            <w:tcW w:type="dxa" w:w="4042"/>
            <w:vAlign w:val="center"/>
          </w:tcPr>
          <w:p w14:paraId="E5040000">
            <w:pPr>
              <w:pStyle w:val="Style_2"/>
              <w:ind w:firstLine="532"/>
              <w:jc w:val="both"/>
              <w:rPr>
                <w:sz w:val="24"/>
              </w:rPr>
            </w:pPr>
            <w:r>
              <w:rPr>
                <w:sz w:val="24"/>
              </w:rPr>
              <w:t>Гарантированное обеспечение высокого качества и безусловной безопасности продовольственной продукции, поступающей на рынок и предоставляемой конечным потребителям.</w:t>
            </w:r>
          </w:p>
        </w:tc>
      </w:tr>
      <w:tr>
        <w:trPr>
          <w:trHeight w:hRule="atLeast" w:val="562"/>
        </w:trPr>
        <w:tc>
          <w:tcPr>
            <w:tcW w:type="dxa" w:w="14567"/>
            <w:gridSpan w:val="5"/>
            <w:vAlign w:val="center"/>
          </w:tcPr>
          <w:p w14:paraId="E6040000">
            <w:pPr>
              <w:pStyle w:val="Style_2"/>
              <w:numPr>
                <w:ilvl w:val="0"/>
                <w:numId w:val="4"/>
              </w:numPr>
              <w:ind w:firstLine="0" w:left="0"/>
              <w:jc w:val="center"/>
              <w:rPr>
                <w:b w:val="1"/>
                <w:sz w:val="24"/>
              </w:rPr>
            </w:pPr>
            <w:r>
              <w:rPr>
                <w:b w:val="1"/>
                <w:sz w:val="24"/>
              </w:rPr>
              <w:t xml:space="preserve">Содействие органам местного самоуправления муниципальных образований </w:t>
            </w:r>
            <w:r>
              <w:rPr>
                <w:b w:val="1"/>
                <w:sz w:val="24"/>
              </w:rPr>
              <w:t xml:space="preserve">Республики Саха (Якутия) </w:t>
            </w:r>
            <w:r>
              <w:rPr>
                <w:b w:val="1"/>
                <w:sz w:val="24"/>
              </w:rPr>
              <w:t>в решении вопросов защиты прав потребителей</w:t>
            </w:r>
          </w:p>
        </w:tc>
      </w:tr>
      <w:tr>
        <w:tc>
          <w:tcPr>
            <w:tcW w:type="dxa" w:w="6631"/>
            <w:gridSpan w:val="3"/>
            <w:tcBorders>
              <w:bottom w:color="000000" w:sz="4" w:val="single"/>
            </w:tcBorders>
            <w:vAlign w:val="center"/>
          </w:tcPr>
          <w:p w14:paraId="E7040000">
            <w:pPr>
              <w:pStyle w:val="Style_2"/>
              <w:ind/>
              <w:jc w:val="center"/>
              <w:rPr>
                <w:sz w:val="24"/>
              </w:rPr>
            </w:pPr>
            <w:r>
              <w:rPr>
                <w:sz w:val="24"/>
              </w:rPr>
              <w:t>Краткое</w:t>
            </w:r>
            <w:r>
              <w:rPr>
                <w:sz w:val="24"/>
              </w:rPr>
              <w:tab/>
            </w:r>
            <w:r>
              <w:rPr>
                <w:sz w:val="24"/>
              </w:rPr>
              <w:t>описание</w:t>
            </w:r>
            <w:r>
              <w:rPr>
                <w:sz w:val="24"/>
              </w:rPr>
              <w:tab/>
            </w:r>
            <w:r>
              <w:rPr>
                <w:sz w:val="24"/>
              </w:rPr>
              <w:t>основного мероприятия:</w:t>
            </w:r>
          </w:p>
        </w:tc>
        <w:tc>
          <w:tcPr>
            <w:tcW w:type="dxa" w:w="7936"/>
            <w:gridSpan w:val="2"/>
            <w:tcBorders>
              <w:bottom w:color="000000" w:sz="4" w:val="single"/>
            </w:tcBorders>
            <w:vAlign w:val="center"/>
          </w:tcPr>
          <w:p w14:paraId="E8040000">
            <w:pPr>
              <w:pStyle w:val="Style_2"/>
              <w:ind w:firstLine="457"/>
              <w:jc w:val="both"/>
              <w:rPr>
                <w:sz w:val="24"/>
              </w:rPr>
            </w:pPr>
            <w:r>
              <w:rPr>
                <w:sz w:val="24"/>
              </w:rPr>
              <w:t>Деятельность органов местного самоуправления муниципальных образований Республики Саха (Якутия) является ключевым звеном в обеспечении защиты прав потребителей на местах. Их работа включает правовое, организационное и информационное сопровождение: от консультирования населения и проведения образовательных семинаров до участия в досудебном урегулировании споров. Особое внимание уделяется повышению правовой грамотности граждан и профессиональной подготовке сотрудников, ответственных за эту сферу, что позволяет оперативно реагировать на обращения жителей.</w:t>
            </w:r>
          </w:p>
          <w:p w14:paraId="E9040000">
            <w:pPr>
              <w:pStyle w:val="Style_2"/>
              <w:ind w:firstLine="457"/>
              <w:jc w:val="both"/>
              <w:rPr>
                <w:sz w:val="24"/>
              </w:rPr>
            </w:pPr>
            <w:r>
              <w:rPr>
                <w:sz w:val="24"/>
              </w:rPr>
              <w:t xml:space="preserve">Кроме того, местные органы власти выполняют важную координирующую роль в мониторинге потребительского рынка, выявляя системные нарушения и взаимодействуя с </w:t>
            </w:r>
            <w:r>
              <w:rPr>
                <w:sz w:val="24"/>
              </w:rPr>
              <w:t>Роспотребнадзором</w:t>
            </w:r>
            <w:r>
              <w:rPr>
                <w:sz w:val="24"/>
              </w:rPr>
              <w:t xml:space="preserve"> для их устранения. Развитие консультационных центров и досудебного разрешения конфликтов существенно снижает нагрузку на суды и способствует быстрому восстановлению прав граждан. Таким образом, поддержка муниципалитетов в этой сфере укрепляет доверие населения к власти и формирует благоприятную среду для добросовестного потребительского оборота.</w:t>
            </w:r>
            <w:r>
              <w:rPr>
                <w:sz w:val="24"/>
              </w:rPr>
              <w:t xml:space="preserve"> </w:t>
            </w:r>
          </w:p>
        </w:tc>
      </w:tr>
      <w:tr>
        <w:tc>
          <w:tcPr>
            <w:tcW w:type="dxa" w:w="674"/>
            <w:tcBorders>
              <w:top w:color="000000" w:sz="4" w:val="single"/>
              <w:left w:color="000000" w:sz="4" w:val="single"/>
              <w:bottom w:color="000000" w:sz="4" w:val="single"/>
              <w:right w:color="000000" w:sz="4" w:val="single"/>
            </w:tcBorders>
            <w:vAlign w:val="center"/>
          </w:tcPr>
          <w:p w14:paraId="EA040000">
            <w:pPr>
              <w:pStyle w:val="Style_2"/>
              <w:ind/>
              <w:jc w:val="center"/>
              <w:rPr>
                <w:sz w:val="24"/>
              </w:rPr>
            </w:pPr>
            <w:r>
              <w:rPr>
                <w:sz w:val="24"/>
              </w:rPr>
              <w:t>5.1</w:t>
            </w:r>
          </w:p>
        </w:tc>
        <w:tc>
          <w:tcPr>
            <w:tcW w:type="dxa" w:w="4393"/>
            <w:tcBorders>
              <w:top w:color="000000" w:sz="4" w:val="single"/>
              <w:left w:color="000000" w:sz="4" w:val="single"/>
              <w:bottom w:color="000000" w:sz="4" w:val="single"/>
              <w:right w:color="000000" w:sz="4" w:val="single"/>
            </w:tcBorders>
            <w:vAlign w:val="center"/>
          </w:tcPr>
          <w:p w14:paraId="EB040000">
            <w:pPr>
              <w:pStyle w:val="Style_2"/>
              <w:ind w:firstLine="460"/>
              <w:jc w:val="both"/>
              <w:rPr>
                <w:sz w:val="24"/>
              </w:rPr>
            </w:pPr>
            <w:r>
              <w:rPr>
                <w:sz w:val="24"/>
              </w:rPr>
              <w:t>Содействие органам местного самоуправления муниципальных образований Республики Саха (Якутия) в решении задач по защите прав потребителей;</w:t>
            </w:r>
          </w:p>
        </w:tc>
        <w:tc>
          <w:tcPr>
            <w:tcW w:type="dxa" w:w="1564"/>
            <w:tcBorders>
              <w:top w:color="000000" w:sz="4" w:val="single"/>
              <w:left w:color="000000" w:sz="4" w:val="single"/>
              <w:bottom w:color="000000" w:sz="4" w:val="single"/>
              <w:right w:color="000000" w:sz="4" w:val="single"/>
            </w:tcBorders>
            <w:vAlign w:val="center"/>
          </w:tcPr>
          <w:p w14:paraId="EC040000">
            <w:pPr>
              <w:pStyle w:val="Style_2"/>
              <w:ind/>
              <w:jc w:val="center"/>
              <w:rPr>
                <w:sz w:val="24"/>
              </w:rPr>
            </w:pPr>
            <w:r>
              <w:rPr>
                <w:sz w:val="24"/>
              </w:rPr>
              <w:t>2026-2030 годы</w:t>
            </w:r>
          </w:p>
        </w:tc>
        <w:tc>
          <w:tcPr>
            <w:tcW w:type="dxa" w:w="3894"/>
            <w:tcBorders>
              <w:top w:color="000000" w:sz="4" w:val="single"/>
              <w:left w:color="000000" w:sz="4" w:val="single"/>
              <w:bottom w:color="000000" w:sz="4" w:val="single"/>
              <w:right w:color="000000" w:sz="4" w:val="single"/>
            </w:tcBorders>
            <w:vAlign w:val="center"/>
          </w:tcPr>
          <w:p w14:paraId="ED04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EE04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EF04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F0040000">
            <w:pPr>
              <w:pStyle w:val="Style_2"/>
              <w:ind/>
              <w:jc w:val="center"/>
              <w:rPr>
                <w:sz w:val="24"/>
              </w:rPr>
            </w:pPr>
            <w:r>
              <w:rPr>
                <w:sz w:val="24"/>
              </w:rPr>
              <w:t>Союз «Торгово-промышленная палата Республики Саха (Якутия)» (по согласованию);</w:t>
            </w:r>
          </w:p>
          <w:p w14:paraId="F1040000">
            <w:pPr>
              <w:pStyle w:val="Style_2"/>
              <w:ind/>
              <w:jc w:val="center"/>
              <w:rPr>
                <w:sz w:val="24"/>
              </w:rPr>
            </w:pPr>
            <w:r>
              <w:rPr>
                <w:sz w:val="24"/>
              </w:rPr>
              <w:t>Органы местного самоуправления Республики Саха (Якутия);</w:t>
            </w:r>
          </w:p>
          <w:p w14:paraId="F204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F3040000">
            <w:pPr>
              <w:pStyle w:val="Style_2"/>
              <w:ind/>
              <w:jc w:val="center"/>
              <w:rPr>
                <w:sz w:val="24"/>
              </w:rPr>
            </w:pPr>
            <w:r>
              <w:rPr>
                <w:sz w:val="24"/>
              </w:rPr>
              <w:t>Управление Роспотребнадз</w:t>
            </w:r>
            <w:r>
              <w:rPr>
                <w:sz w:val="24"/>
              </w:rPr>
              <w:t>ора по РС(Я)) (по согласованию);</w:t>
            </w:r>
          </w:p>
          <w:p w14:paraId="F4040000">
            <w:pPr>
              <w:pStyle w:val="Style_2"/>
              <w:ind/>
              <w:jc w:val="center"/>
              <w:rPr>
                <w:sz w:val="24"/>
              </w:rPr>
            </w:pPr>
            <w:r>
              <w:rPr>
                <w:sz w:val="24"/>
              </w:rPr>
              <w:t>УФНС России по Республике Саха (Якутия) (по согласованию);</w:t>
            </w:r>
          </w:p>
          <w:p w14:paraId="F5040000">
            <w:pPr>
              <w:pStyle w:val="Style_2"/>
              <w:ind/>
              <w:jc w:val="center"/>
              <w:rPr>
                <w:sz w:val="24"/>
              </w:rPr>
            </w:pPr>
            <w:r>
              <w:rPr>
                <w:sz w:val="24"/>
              </w:rPr>
              <w:t>ФБУЗ «Центр гигиены и эпидемиологии в Республике Саха (Якутия)») (по согласованию);</w:t>
            </w:r>
          </w:p>
          <w:p w14:paraId="F6040000">
            <w:pPr>
              <w:pStyle w:val="Style_2"/>
              <w:ind/>
              <w:jc w:val="center"/>
              <w:rPr>
                <w:sz w:val="24"/>
              </w:rPr>
            </w:pPr>
            <w:r>
              <w:rPr>
                <w:sz w:val="24"/>
              </w:rPr>
              <w:t>Региональный центр поддержки маркировки «Честный знак» (по согласованию);</w:t>
            </w:r>
          </w:p>
          <w:p w14:paraId="F7040000">
            <w:pPr>
              <w:pStyle w:val="Style_2"/>
              <w:ind/>
              <w:jc w:val="center"/>
              <w:rPr>
                <w:sz w:val="24"/>
              </w:rPr>
            </w:pPr>
            <w:r>
              <w:rPr>
                <w:sz w:val="24"/>
              </w:rPr>
              <w:t>Общественные организации по защите прав</w:t>
            </w:r>
            <w:r>
              <w:rPr>
                <w:sz w:val="24"/>
              </w:rPr>
              <w:t xml:space="preserve"> потребителей (по согласованию).</w:t>
            </w:r>
          </w:p>
        </w:tc>
        <w:tc>
          <w:tcPr>
            <w:tcW w:type="dxa" w:w="4042"/>
            <w:tcBorders>
              <w:top w:color="000000" w:sz="4" w:val="single"/>
              <w:left w:color="000000" w:sz="4" w:val="single"/>
              <w:bottom w:color="000000" w:sz="4" w:val="single"/>
              <w:right w:color="000000" w:sz="4" w:val="single"/>
            </w:tcBorders>
            <w:vAlign w:val="center"/>
          </w:tcPr>
          <w:p w14:paraId="F8040000">
            <w:pPr>
              <w:pStyle w:val="Style_2"/>
              <w:ind w:firstLine="532"/>
              <w:jc w:val="both"/>
              <w:rPr>
                <w:sz w:val="24"/>
              </w:rPr>
            </w:pPr>
            <w:r>
              <w:rPr>
                <w:sz w:val="24"/>
              </w:rPr>
              <w:t>Повышение эффективности работы муниципалитетов в защите прав потребителей</w:t>
            </w:r>
          </w:p>
          <w:p w14:paraId="F9040000">
            <w:pPr>
              <w:pStyle w:val="Style_2"/>
              <w:ind w:firstLine="532"/>
              <w:jc w:val="both"/>
              <w:rPr>
                <w:sz w:val="24"/>
              </w:rPr>
            </w:pPr>
            <w:r>
              <w:rPr>
                <w:sz w:val="24"/>
              </w:rPr>
              <w:t>Благодаря методической и консультационной поддержке, а также обучению специалистов, органы местного самоуправления смогут более качественно разрабатывать и внедрять локальные программы защиты прав потребителей. Это обеспечит своевременное выявление нарушений, грамотное консультирование граждан и оперативное реагирование на их обращения.</w:t>
            </w:r>
          </w:p>
          <w:p w14:paraId="FA040000">
            <w:pPr>
              <w:pStyle w:val="Style_2"/>
              <w:ind w:firstLine="532"/>
              <w:jc w:val="both"/>
              <w:rPr>
                <w:sz w:val="24"/>
              </w:rPr>
            </w:pPr>
          </w:p>
          <w:p w14:paraId="FB040000">
            <w:pPr>
              <w:pStyle w:val="Style_2"/>
              <w:ind w:firstLine="532"/>
              <w:jc w:val="both"/>
              <w:rPr>
                <w:sz w:val="24"/>
              </w:rPr>
            </w:pPr>
            <w:r>
              <w:rPr>
                <w:sz w:val="24"/>
              </w:rPr>
              <w:t>Снижение числа нарушений на потребительском рынке</w:t>
            </w:r>
          </w:p>
          <w:p w14:paraId="FC040000">
            <w:pPr>
              <w:pStyle w:val="Style_2"/>
              <w:ind w:firstLine="532"/>
              <w:jc w:val="both"/>
              <w:rPr>
                <w:sz w:val="24"/>
              </w:rPr>
            </w:pPr>
            <w:r>
              <w:rPr>
                <w:sz w:val="24"/>
              </w:rPr>
              <w:t>Системная методическая помощь и повышение компетенций сотрудников приведут к улучшению мониторинга соблюдения законодательства со стороны продавцов и исполнителей услуг. Как следствие, сократится количество недобросовестных практик и конфликтных ситуаций в сфере торговли и обслуживания.</w:t>
            </w:r>
          </w:p>
          <w:p w14:paraId="FD040000">
            <w:pPr>
              <w:pStyle w:val="Style_2"/>
              <w:ind w:firstLine="532"/>
              <w:jc w:val="both"/>
              <w:rPr>
                <w:sz w:val="24"/>
              </w:rPr>
            </w:pPr>
          </w:p>
          <w:p w14:paraId="FE040000">
            <w:pPr>
              <w:pStyle w:val="Style_2"/>
              <w:ind w:firstLine="532"/>
              <w:jc w:val="both"/>
              <w:rPr>
                <w:sz w:val="24"/>
              </w:rPr>
            </w:pPr>
            <w:r>
              <w:rPr>
                <w:sz w:val="24"/>
              </w:rPr>
              <w:t>Укрепление системы досудебного урегулирования споров</w:t>
            </w:r>
          </w:p>
          <w:p w14:paraId="FF040000">
            <w:pPr>
              <w:pStyle w:val="Style_2"/>
              <w:ind w:firstLine="532"/>
              <w:jc w:val="both"/>
              <w:rPr>
                <w:sz w:val="24"/>
              </w:rPr>
            </w:pPr>
            <w:r>
              <w:rPr>
                <w:sz w:val="24"/>
              </w:rPr>
              <w:t>Обученные специалисты муниципалитетов смогут эффективнее выступать в роли медиаторов при разрешении конфликтов между потребителями и предпринимателями. Это снизит нагрузку на судебные органы и ускорит восстановление нарушенных прав граждан.</w:t>
            </w:r>
          </w:p>
          <w:p w14:paraId="00050000">
            <w:pPr>
              <w:pStyle w:val="Style_2"/>
              <w:ind w:firstLine="532"/>
              <w:jc w:val="both"/>
              <w:rPr>
                <w:sz w:val="24"/>
              </w:rPr>
            </w:pPr>
          </w:p>
          <w:p w14:paraId="01050000">
            <w:pPr>
              <w:pStyle w:val="Style_2"/>
              <w:ind w:firstLine="532"/>
              <w:jc w:val="both"/>
              <w:rPr>
                <w:sz w:val="24"/>
              </w:rPr>
            </w:pPr>
            <w:r>
              <w:rPr>
                <w:sz w:val="24"/>
              </w:rPr>
              <w:t>Рост правовой грамотности и доверия населения к местной власти</w:t>
            </w:r>
          </w:p>
          <w:p w14:paraId="02050000">
            <w:pPr>
              <w:pStyle w:val="Style_2"/>
              <w:ind w:firstLine="532"/>
              <w:jc w:val="both"/>
              <w:rPr>
                <w:sz w:val="24"/>
              </w:rPr>
            </w:pPr>
            <w:r>
              <w:rPr>
                <w:sz w:val="24"/>
              </w:rPr>
              <w:t>За счет совершенствования работы консультационных центров и повышения качества информационных кампаний жители получат доступные инструменты защиты своих прав. Это укрепит доверие граждан к институтам местного самоуправления и повысит социальную стабильность в регионе.</w:t>
            </w:r>
          </w:p>
          <w:p w14:paraId="03050000">
            <w:pPr>
              <w:pStyle w:val="Style_2"/>
              <w:ind w:firstLine="532"/>
              <w:jc w:val="both"/>
              <w:rPr>
                <w:sz w:val="24"/>
              </w:rPr>
            </w:pPr>
          </w:p>
        </w:tc>
      </w:tr>
      <w:tr>
        <w:tc>
          <w:tcPr>
            <w:tcW w:type="dxa" w:w="674"/>
            <w:tcBorders>
              <w:top w:color="000000" w:sz="4" w:val="single"/>
              <w:left w:color="000000" w:sz="4" w:val="single"/>
              <w:bottom w:color="000000" w:sz="4" w:val="single"/>
              <w:right w:color="000000" w:sz="4" w:val="single"/>
            </w:tcBorders>
            <w:vAlign w:val="center"/>
          </w:tcPr>
          <w:p w14:paraId="04050000">
            <w:pPr>
              <w:pStyle w:val="Style_2"/>
              <w:ind/>
              <w:jc w:val="center"/>
              <w:rPr>
                <w:sz w:val="24"/>
              </w:rPr>
            </w:pPr>
            <w:r>
              <w:rPr>
                <w:sz w:val="24"/>
              </w:rPr>
              <w:t>5.2</w:t>
            </w:r>
          </w:p>
        </w:tc>
        <w:tc>
          <w:tcPr>
            <w:tcW w:type="dxa" w:w="4393"/>
            <w:tcBorders>
              <w:top w:color="000000" w:sz="4" w:val="single"/>
              <w:left w:color="000000" w:sz="4" w:val="single"/>
              <w:bottom w:color="000000" w:sz="4" w:val="single"/>
              <w:right w:color="000000" w:sz="4" w:val="single"/>
            </w:tcBorders>
            <w:vAlign w:val="center"/>
          </w:tcPr>
          <w:p w14:paraId="05050000">
            <w:pPr>
              <w:pStyle w:val="Style_2"/>
              <w:ind w:firstLine="460"/>
              <w:jc w:val="both"/>
              <w:rPr>
                <w:sz w:val="24"/>
              </w:rPr>
            </w:pPr>
            <w:r>
              <w:rPr>
                <w:sz w:val="24"/>
              </w:rPr>
              <w:t>Оказание консультационной и методической помощи органам местного самоуправления муниципальных образований Республики Саха (Якутия) по разработке комплекса мер по защите прав потребителей</w:t>
            </w:r>
          </w:p>
        </w:tc>
        <w:tc>
          <w:tcPr>
            <w:tcW w:type="dxa" w:w="1564"/>
            <w:tcBorders>
              <w:top w:color="000000" w:sz="4" w:val="single"/>
              <w:left w:color="000000" w:sz="4" w:val="single"/>
              <w:bottom w:color="000000" w:sz="4" w:val="single"/>
              <w:right w:color="000000" w:sz="4" w:val="single"/>
            </w:tcBorders>
            <w:vAlign w:val="center"/>
          </w:tcPr>
          <w:p w14:paraId="06050000">
            <w:pPr>
              <w:pStyle w:val="Style_2"/>
              <w:ind/>
              <w:jc w:val="center"/>
              <w:rPr>
                <w:sz w:val="24"/>
              </w:rPr>
            </w:pPr>
            <w:r>
              <w:rPr>
                <w:sz w:val="24"/>
              </w:rPr>
              <w:t>2026-2030 годы</w:t>
            </w:r>
          </w:p>
        </w:tc>
        <w:tc>
          <w:tcPr>
            <w:tcW w:type="dxa" w:w="3894"/>
            <w:tcBorders>
              <w:top w:color="000000" w:sz="4" w:val="single"/>
              <w:left w:color="000000" w:sz="4" w:val="single"/>
              <w:bottom w:color="000000" w:sz="4" w:val="single"/>
              <w:right w:color="000000" w:sz="4" w:val="single"/>
            </w:tcBorders>
            <w:vAlign w:val="center"/>
          </w:tcPr>
          <w:p w14:paraId="0705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0805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0905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0A050000">
            <w:pPr>
              <w:pStyle w:val="Style_2"/>
              <w:ind/>
              <w:jc w:val="center"/>
              <w:rPr>
                <w:sz w:val="24"/>
              </w:rPr>
            </w:pPr>
            <w:r>
              <w:rPr>
                <w:sz w:val="24"/>
              </w:rPr>
              <w:t>Союз «Торгово-промышленная палата Республики Саха (Якутия)» (по согласованию);</w:t>
            </w:r>
          </w:p>
          <w:p w14:paraId="0B050000">
            <w:pPr>
              <w:pStyle w:val="Style_2"/>
              <w:ind/>
              <w:jc w:val="center"/>
              <w:rPr>
                <w:sz w:val="24"/>
              </w:rPr>
            </w:pPr>
            <w:r>
              <w:rPr>
                <w:sz w:val="24"/>
              </w:rPr>
              <w:t>Органы местного самоуправления Республики Саха (Якутия);</w:t>
            </w:r>
          </w:p>
          <w:p w14:paraId="0C05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0D050000">
            <w:pPr>
              <w:pStyle w:val="Style_2"/>
              <w:ind/>
              <w:jc w:val="center"/>
              <w:rPr>
                <w:sz w:val="24"/>
              </w:rPr>
            </w:pPr>
            <w:r>
              <w:rPr>
                <w:sz w:val="24"/>
              </w:rPr>
              <w:t>Управление Роспотребнадзора по РС(Я)) (по согласованию);</w:t>
            </w:r>
          </w:p>
          <w:p w14:paraId="0E050000">
            <w:pPr>
              <w:pStyle w:val="Style_2"/>
              <w:ind/>
              <w:jc w:val="center"/>
              <w:rPr>
                <w:sz w:val="24"/>
              </w:rPr>
            </w:pPr>
            <w:r>
              <w:rPr>
                <w:sz w:val="24"/>
              </w:rPr>
              <w:t>УФНС России по Республике Саха (Якутия) (по согласованию);</w:t>
            </w:r>
          </w:p>
          <w:p w14:paraId="0F050000">
            <w:pPr>
              <w:pStyle w:val="Style_2"/>
              <w:ind/>
              <w:jc w:val="center"/>
              <w:rPr>
                <w:sz w:val="24"/>
              </w:rPr>
            </w:pPr>
            <w:r>
              <w:rPr>
                <w:sz w:val="24"/>
              </w:rPr>
              <w:t>ФБУЗ «Центр гигиены и эпидемиологии в Республике Саха (Якутия)») (по согласованию);</w:t>
            </w:r>
          </w:p>
          <w:p w14:paraId="10050000">
            <w:pPr>
              <w:pStyle w:val="Style_2"/>
              <w:ind/>
              <w:jc w:val="center"/>
              <w:rPr>
                <w:sz w:val="24"/>
              </w:rPr>
            </w:pPr>
            <w:r>
              <w:rPr>
                <w:sz w:val="24"/>
              </w:rPr>
              <w:t>Региональный центр поддержки маркировки «Честный знак» (по согласованию);</w:t>
            </w:r>
          </w:p>
          <w:p w14:paraId="11050000">
            <w:pPr>
              <w:pStyle w:val="Style_2"/>
              <w:ind/>
              <w:jc w:val="center"/>
              <w:rPr>
                <w:sz w:val="24"/>
              </w:rPr>
            </w:pPr>
            <w:r>
              <w:rPr>
                <w:sz w:val="24"/>
              </w:rPr>
              <w:t>Общественные организации по защите прав потребителей (по согласованию).</w:t>
            </w:r>
          </w:p>
        </w:tc>
        <w:tc>
          <w:tcPr>
            <w:tcW w:type="dxa" w:w="4042"/>
            <w:tcBorders>
              <w:top w:color="000000" w:sz="4" w:val="single"/>
              <w:left w:color="000000" w:sz="4" w:val="single"/>
              <w:bottom w:color="000000" w:sz="4" w:val="single"/>
              <w:right w:color="000000" w:sz="4" w:val="single"/>
            </w:tcBorders>
            <w:vAlign w:val="center"/>
          </w:tcPr>
          <w:p w14:paraId="12050000">
            <w:pPr>
              <w:pStyle w:val="Style_2"/>
              <w:ind w:firstLine="532"/>
              <w:jc w:val="both"/>
              <w:rPr>
                <w:sz w:val="24"/>
              </w:rPr>
            </w:pPr>
            <w:r>
              <w:rPr>
                <w:sz w:val="24"/>
              </w:rPr>
              <w:t xml:space="preserve"> </w:t>
            </w:r>
            <w:r>
              <w:rPr>
                <w:sz w:val="24"/>
              </w:rPr>
              <w:t>Повышение эффективности работы муниципалитетов в защите прав потребителей</w:t>
            </w:r>
          </w:p>
          <w:p w14:paraId="13050000">
            <w:pPr>
              <w:pStyle w:val="Style_2"/>
              <w:ind w:firstLine="532"/>
              <w:jc w:val="both"/>
              <w:rPr>
                <w:sz w:val="24"/>
              </w:rPr>
            </w:pPr>
            <w:r>
              <w:rPr>
                <w:sz w:val="24"/>
              </w:rPr>
              <w:t>Благодаря методической и консультационной поддержке, а также обучению специалистов, органы местного самоуправления смогут более качественно разрабатывать и внедрять локальные программы защиты прав потребителей. Это обеспечит своевременное выявление нарушений, грамотное консультирование граждан и оперативное реагирование на их обращения.</w:t>
            </w:r>
          </w:p>
          <w:p w14:paraId="14050000">
            <w:pPr>
              <w:pStyle w:val="Style_2"/>
              <w:ind w:firstLine="532"/>
              <w:jc w:val="both"/>
              <w:rPr>
                <w:sz w:val="24"/>
              </w:rPr>
            </w:pPr>
          </w:p>
          <w:p w14:paraId="15050000">
            <w:pPr>
              <w:pStyle w:val="Style_2"/>
              <w:ind w:firstLine="532"/>
              <w:jc w:val="both"/>
              <w:rPr>
                <w:sz w:val="24"/>
              </w:rPr>
            </w:pPr>
            <w:r>
              <w:rPr>
                <w:sz w:val="24"/>
              </w:rPr>
              <w:t>Снижение числа нарушений на потребительском рынке</w:t>
            </w:r>
          </w:p>
          <w:p w14:paraId="16050000">
            <w:pPr>
              <w:pStyle w:val="Style_2"/>
              <w:ind w:firstLine="532"/>
              <w:jc w:val="both"/>
              <w:rPr>
                <w:sz w:val="24"/>
              </w:rPr>
            </w:pPr>
            <w:r>
              <w:rPr>
                <w:sz w:val="24"/>
              </w:rPr>
              <w:t>Системная методическая помощь и повышение компетенций сотрудников приведут к улучшению мониторинга соблюдения законодательства со стороны продавцов и исполнителей услуг. Как следствие, сократится количество недобросовестных практик и конфликтных ситуаций в сфере торговли и обслуживания.</w:t>
            </w:r>
          </w:p>
          <w:p w14:paraId="17050000">
            <w:pPr>
              <w:pStyle w:val="Style_2"/>
              <w:ind w:firstLine="532"/>
              <w:jc w:val="both"/>
              <w:rPr>
                <w:sz w:val="24"/>
              </w:rPr>
            </w:pPr>
          </w:p>
          <w:p w14:paraId="18050000">
            <w:pPr>
              <w:pStyle w:val="Style_2"/>
              <w:ind w:firstLine="532"/>
              <w:jc w:val="both"/>
              <w:rPr>
                <w:sz w:val="24"/>
              </w:rPr>
            </w:pPr>
            <w:r>
              <w:rPr>
                <w:sz w:val="24"/>
              </w:rPr>
              <w:t>Укрепление системы досудебного урегулирования споров</w:t>
            </w:r>
          </w:p>
          <w:p w14:paraId="19050000">
            <w:pPr>
              <w:pStyle w:val="Style_2"/>
              <w:ind w:firstLine="532"/>
              <w:jc w:val="both"/>
              <w:rPr>
                <w:sz w:val="24"/>
              </w:rPr>
            </w:pPr>
            <w:r>
              <w:rPr>
                <w:sz w:val="24"/>
              </w:rPr>
              <w:t>Обученные специалисты муниципалитетов смогут эффективнее выступать в роли медиаторов при разрешении конфликтов между потребителями и предпринимателями. Это снизит нагрузку на судебные органы и ускорит восстановление нарушенных прав граждан.</w:t>
            </w:r>
          </w:p>
          <w:p w14:paraId="1A050000">
            <w:pPr>
              <w:pStyle w:val="Style_2"/>
              <w:ind w:firstLine="532"/>
              <w:jc w:val="both"/>
              <w:rPr>
                <w:sz w:val="24"/>
              </w:rPr>
            </w:pPr>
          </w:p>
          <w:p w14:paraId="1B050000">
            <w:pPr>
              <w:pStyle w:val="Style_2"/>
              <w:ind w:firstLine="532"/>
              <w:jc w:val="both"/>
              <w:rPr>
                <w:sz w:val="24"/>
              </w:rPr>
            </w:pPr>
            <w:r>
              <w:rPr>
                <w:sz w:val="24"/>
              </w:rPr>
              <w:t>Рост правовой грамотности и доверия населения к местной власти</w:t>
            </w:r>
          </w:p>
          <w:p w14:paraId="1C050000">
            <w:pPr>
              <w:pStyle w:val="Style_2"/>
              <w:ind w:firstLine="532"/>
              <w:jc w:val="both"/>
              <w:rPr>
                <w:sz w:val="24"/>
              </w:rPr>
            </w:pPr>
            <w:r>
              <w:rPr>
                <w:sz w:val="24"/>
              </w:rPr>
              <w:t>За счет совершенствования работы консультационных центров и повышения качества информационных кампаний жители получат доступные инструменты защиты своих прав. Это укрепит доверие граждан к институтам местного самоуправления и повысит социальную стабильность в регионе.</w:t>
            </w:r>
          </w:p>
        </w:tc>
      </w:tr>
      <w:tr>
        <w:tc>
          <w:tcPr>
            <w:tcW w:type="dxa" w:w="674"/>
            <w:tcBorders>
              <w:top w:color="000000" w:sz="4" w:val="single"/>
              <w:left w:color="000000" w:sz="4" w:val="single"/>
              <w:bottom w:color="000000" w:sz="4" w:val="single"/>
              <w:right w:color="000000" w:sz="4" w:val="single"/>
            </w:tcBorders>
            <w:vAlign w:val="center"/>
          </w:tcPr>
          <w:p w14:paraId="1D050000">
            <w:pPr>
              <w:pStyle w:val="Style_2"/>
              <w:ind/>
              <w:jc w:val="center"/>
              <w:rPr>
                <w:sz w:val="24"/>
              </w:rPr>
            </w:pPr>
            <w:r>
              <w:rPr>
                <w:sz w:val="24"/>
              </w:rPr>
              <w:t>5.3</w:t>
            </w:r>
          </w:p>
        </w:tc>
        <w:tc>
          <w:tcPr>
            <w:tcW w:type="dxa" w:w="4393"/>
            <w:tcBorders>
              <w:top w:color="000000" w:sz="4" w:val="single"/>
              <w:left w:color="000000" w:sz="4" w:val="single"/>
              <w:bottom w:color="000000" w:sz="4" w:val="single"/>
              <w:right w:color="000000" w:sz="4" w:val="single"/>
            </w:tcBorders>
            <w:vAlign w:val="center"/>
          </w:tcPr>
          <w:p w14:paraId="1E050000">
            <w:pPr>
              <w:pStyle w:val="Style_2"/>
              <w:ind w:firstLine="460"/>
              <w:jc w:val="both"/>
              <w:rPr>
                <w:sz w:val="24"/>
              </w:rPr>
            </w:pPr>
            <w:r>
              <w:rPr>
                <w:sz w:val="24"/>
              </w:rPr>
              <w:t>Организация и проведение семинаров для специалистов органов местного самоуправления муниципальных образований Республики Саха (Якутия) по вопросам защиты прав потребителей.</w:t>
            </w:r>
          </w:p>
        </w:tc>
        <w:tc>
          <w:tcPr>
            <w:tcW w:type="dxa" w:w="1564"/>
            <w:tcBorders>
              <w:top w:color="000000" w:sz="4" w:val="single"/>
              <w:left w:color="000000" w:sz="4" w:val="single"/>
              <w:bottom w:color="000000" w:sz="4" w:val="single"/>
              <w:right w:color="000000" w:sz="4" w:val="single"/>
            </w:tcBorders>
            <w:vAlign w:val="center"/>
          </w:tcPr>
          <w:p w14:paraId="1F050000">
            <w:pPr>
              <w:pStyle w:val="Style_2"/>
              <w:ind/>
              <w:jc w:val="center"/>
              <w:rPr>
                <w:sz w:val="24"/>
              </w:rPr>
            </w:pPr>
            <w:r>
              <w:rPr>
                <w:sz w:val="24"/>
              </w:rPr>
              <w:t>2026-2030 годы</w:t>
            </w:r>
          </w:p>
        </w:tc>
        <w:tc>
          <w:tcPr>
            <w:tcW w:type="dxa" w:w="3894"/>
            <w:tcBorders>
              <w:top w:color="000000" w:sz="4" w:val="single"/>
              <w:left w:color="000000" w:sz="4" w:val="single"/>
              <w:bottom w:color="000000" w:sz="4" w:val="single"/>
              <w:right w:color="000000" w:sz="4" w:val="single"/>
            </w:tcBorders>
            <w:vAlign w:val="center"/>
          </w:tcPr>
          <w:p w14:paraId="20050000">
            <w:pPr>
              <w:pStyle w:val="Style_2"/>
              <w:ind/>
              <w:jc w:val="center"/>
              <w:rPr>
                <w:sz w:val="24"/>
              </w:rPr>
            </w:pPr>
            <w:r>
              <w:rPr>
                <w:sz w:val="24"/>
              </w:rPr>
              <w:t xml:space="preserve">Министерство предпринимательства, торговли и туризма Республики Саха (Якутия); </w:t>
            </w:r>
          </w:p>
          <w:p w14:paraId="21050000">
            <w:pPr>
              <w:pStyle w:val="Style_2"/>
              <w:ind/>
              <w:jc w:val="center"/>
              <w:rPr>
                <w:sz w:val="24"/>
              </w:rPr>
            </w:pPr>
            <w:r>
              <w:rPr>
                <w:sz w:val="24"/>
              </w:rPr>
              <w:t>Министерство сельского хозяйства и продовольственной политики Республики Саха (Якутия);</w:t>
            </w:r>
          </w:p>
          <w:p w14:paraId="22050000">
            <w:pPr>
              <w:pStyle w:val="Style_2"/>
              <w:ind/>
              <w:jc w:val="center"/>
              <w:rPr>
                <w:sz w:val="24"/>
              </w:rPr>
            </w:pPr>
            <w:r>
              <w:rPr>
                <w:sz w:val="24"/>
              </w:rPr>
              <w:t>Региональное отделение Общероссийской общественной организации малого и среднего предпринимательства «Опора России» (по согласованию);</w:t>
            </w:r>
          </w:p>
          <w:p w14:paraId="23050000">
            <w:pPr>
              <w:pStyle w:val="Style_2"/>
              <w:ind/>
              <w:jc w:val="center"/>
              <w:rPr>
                <w:sz w:val="24"/>
              </w:rPr>
            </w:pPr>
            <w:r>
              <w:rPr>
                <w:sz w:val="24"/>
              </w:rPr>
              <w:t>Союз «Торгово-промышленная палата Республики Саха (Якутия)» (по согласованию);</w:t>
            </w:r>
          </w:p>
          <w:p w14:paraId="24050000">
            <w:pPr>
              <w:pStyle w:val="Style_2"/>
              <w:ind/>
              <w:jc w:val="center"/>
              <w:rPr>
                <w:sz w:val="24"/>
              </w:rPr>
            </w:pPr>
            <w:r>
              <w:rPr>
                <w:sz w:val="24"/>
              </w:rPr>
              <w:t>Органы местного самоуправления Республики Саха (Якутия);</w:t>
            </w:r>
          </w:p>
          <w:p w14:paraId="25050000">
            <w:pPr>
              <w:pStyle w:val="Style_2"/>
              <w:ind/>
              <w:jc w:val="center"/>
              <w:rPr>
                <w:sz w:val="24"/>
              </w:rPr>
            </w:pPr>
            <w:r>
              <w:rPr>
                <w:sz w:val="24"/>
              </w:rPr>
              <w:t xml:space="preserve">Управление </w:t>
            </w:r>
            <w:r>
              <w:rPr>
                <w:sz w:val="24"/>
              </w:rPr>
              <w:t>Россельхознадзора</w:t>
            </w:r>
            <w:r>
              <w:rPr>
                <w:sz w:val="24"/>
              </w:rPr>
              <w:t xml:space="preserve"> по Амурской области и Республике Саха (Якутия)) (по согласованию);</w:t>
            </w:r>
          </w:p>
          <w:p w14:paraId="26050000">
            <w:pPr>
              <w:pStyle w:val="Style_2"/>
              <w:ind/>
              <w:jc w:val="center"/>
              <w:rPr>
                <w:sz w:val="24"/>
              </w:rPr>
            </w:pPr>
            <w:r>
              <w:rPr>
                <w:sz w:val="24"/>
              </w:rPr>
              <w:t>Управление Роспотребнадзора по РС(Я)) (по согласованию);</w:t>
            </w:r>
          </w:p>
          <w:p w14:paraId="27050000">
            <w:pPr>
              <w:pStyle w:val="Style_2"/>
              <w:ind/>
              <w:jc w:val="center"/>
              <w:rPr>
                <w:sz w:val="24"/>
              </w:rPr>
            </w:pPr>
            <w:r>
              <w:rPr>
                <w:sz w:val="24"/>
              </w:rPr>
              <w:t>УФНС России по Республике Саха (Якутия) (по согласованию);</w:t>
            </w:r>
          </w:p>
          <w:p w14:paraId="28050000">
            <w:pPr>
              <w:pStyle w:val="Style_2"/>
              <w:ind/>
              <w:jc w:val="center"/>
              <w:rPr>
                <w:sz w:val="24"/>
              </w:rPr>
            </w:pPr>
            <w:r>
              <w:rPr>
                <w:sz w:val="24"/>
              </w:rPr>
              <w:t>ФБУЗ «Центр гигиены и эпидемиологии в Республике Саха (Якутия)») (по согласованию);</w:t>
            </w:r>
          </w:p>
          <w:p w14:paraId="29050000">
            <w:pPr>
              <w:pStyle w:val="Style_2"/>
              <w:ind/>
              <w:jc w:val="center"/>
              <w:rPr>
                <w:sz w:val="24"/>
              </w:rPr>
            </w:pPr>
            <w:r>
              <w:rPr>
                <w:sz w:val="24"/>
              </w:rPr>
              <w:t>Региональный центр поддержки маркировки «Честный знак» (по согласованию);</w:t>
            </w:r>
          </w:p>
          <w:p w14:paraId="2A050000">
            <w:pPr>
              <w:pStyle w:val="Style_2"/>
              <w:ind/>
              <w:jc w:val="center"/>
              <w:rPr>
                <w:sz w:val="24"/>
              </w:rPr>
            </w:pPr>
            <w:r>
              <w:rPr>
                <w:sz w:val="24"/>
              </w:rPr>
              <w:t>Общественные организации по защите прав потребителей (по согласованию).</w:t>
            </w:r>
          </w:p>
        </w:tc>
        <w:tc>
          <w:tcPr>
            <w:tcW w:type="dxa" w:w="4042"/>
            <w:tcBorders>
              <w:top w:color="000000" w:sz="4" w:val="single"/>
              <w:left w:color="000000" w:sz="4" w:val="single"/>
              <w:bottom w:color="000000" w:sz="4" w:val="single"/>
              <w:right w:color="000000" w:sz="4" w:val="single"/>
            </w:tcBorders>
            <w:vAlign w:val="center"/>
          </w:tcPr>
          <w:p w14:paraId="2B050000">
            <w:pPr>
              <w:pStyle w:val="Style_2"/>
              <w:ind w:firstLine="532"/>
              <w:jc w:val="both"/>
              <w:rPr>
                <w:sz w:val="24"/>
              </w:rPr>
            </w:pPr>
            <w:r>
              <w:rPr>
                <w:sz w:val="24"/>
              </w:rPr>
              <w:t>Повышение эффективности работы муниципалитетов в защите прав потребителей</w:t>
            </w:r>
          </w:p>
          <w:p w14:paraId="2C050000">
            <w:pPr>
              <w:pStyle w:val="Style_2"/>
              <w:ind w:firstLine="532"/>
              <w:jc w:val="both"/>
              <w:rPr>
                <w:sz w:val="24"/>
              </w:rPr>
            </w:pPr>
            <w:r>
              <w:rPr>
                <w:sz w:val="24"/>
              </w:rPr>
              <w:t>Благодаря методической и консультационной поддержке, а также обучению специалистов, органы местного самоуправления смогут более качественно разрабатывать и внедрять локальные программы защиты прав потребителей. Это обеспечит своевременное выявление нарушений, грамотное консультирование граждан и оперативное реагирование на их обращения.</w:t>
            </w:r>
          </w:p>
          <w:p w14:paraId="2D050000">
            <w:pPr>
              <w:pStyle w:val="Style_2"/>
              <w:ind w:firstLine="532"/>
              <w:jc w:val="both"/>
              <w:rPr>
                <w:sz w:val="24"/>
              </w:rPr>
            </w:pPr>
          </w:p>
          <w:p w14:paraId="2E050000">
            <w:pPr>
              <w:pStyle w:val="Style_2"/>
              <w:ind w:firstLine="532"/>
              <w:jc w:val="both"/>
              <w:rPr>
                <w:sz w:val="24"/>
              </w:rPr>
            </w:pPr>
            <w:r>
              <w:rPr>
                <w:sz w:val="24"/>
              </w:rPr>
              <w:t>Снижение числа нарушений на потребительском рынке</w:t>
            </w:r>
          </w:p>
          <w:p w14:paraId="2F050000">
            <w:pPr>
              <w:pStyle w:val="Style_2"/>
              <w:ind w:firstLine="532"/>
              <w:jc w:val="both"/>
              <w:rPr>
                <w:sz w:val="24"/>
              </w:rPr>
            </w:pPr>
            <w:r>
              <w:rPr>
                <w:sz w:val="24"/>
              </w:rPr>
              <w:t>Системная методическая помощь и повышение компетенций сотрудников приведут к улучшению мониторинга соблюдения законодательства со стороны продавцов и исполнителей услуг. Как следствие, сократится количество недобросовестных практик и конфликтных ситуаций в сфере торговли и обслуживания.</w:t>
            </w:r>
          </w:p>
          <w:p w14:paraId="30050000">
            <w:pPr>
              <w:pStyle w:val="Style_2"/>
              <w:ind w:firstLine="532"/>
              <w:jc w:val="both"/>
              <w:rPr>
                <w:sz w:val="24"/>
              </w:rPr>
            </w:pPr>
          </w:p>
          <w:p w14:paraId="31050000">
            <w:pPr>
              <w:pStyle w:val="Style_2"/>
              <w:ind w:firstLine="532"/>
              <w:jc w:val="both"/>
              <w:rPr>
                <w:sz w:val="24"/>
              </w:rPr>
            </w:pPr>
            <w:r>
              <w:rPr>
                <w:sz w:val="24"/>
              </w:rPr>
              <w:t>Укрепление системы досудебного урегулирования споров</w:t>
            </w:r>
          </w:p>
          <w:p w14:paraId="32050000">
            <w:pPr>
              <w:pStyle w:val="Style_2"/>
              <w:ind w:firstLine="532"/>
              <w:jc w:val="both"/>
              <w:rPr>
                <w:sz w:val="24"/>
              </w:rPr>
            </w:pPr>
            <w:r>
              <w:rPr>
                <w:sz w:val="24"/>
              </w:rPr>
              <w:t>Обученные специалисты муниципалитетов смогут эффективнее выступать в роли медиаторов при разрешении конфликтов между потребителями и предпринимателями. Это снизит нагрузку на судебные органы и ускорит восстановление нарушенных прав граждан.</w:t>
            </w:r>
          </w:p>
          <w:p w14:paraId="33050000">
            <w:pPr>
              <w:pStyle w:val="Style_2"/>
              <w:ind w:firstLine="532"/>
              <w:jc w:val="both"/>
              <w:rPr>
                <w:sz w:val="24"/>
              </w:rPr>
            </w:pPr>
          </w:p>
          <w:p w14:paraId="34050000">
            <w:pPr>
              <w:pStyle w:val="Style_2"/>
              <w:ind w:firstLine="532"/>
              <w:jc w:val="both"/>
              <w:rPr>
                <w:sz w:val="24"/>
              </w:rPr>
            </w:pPr>
            <w:r>
              <w:rPr>
                <w:sz w:val="24"/>
              </w:rPr>
              <w:t>Рост правовой грамотности и доверия населения к местной власти</w:t>
            </w:r>
          </w:p>
          <w:p w14:paraId="35050000">
            <w:pPr>
              <w:pStyle w:val="Style_2"/>
              <w:ind w:firstLine="532"/>
              <w:jc w:val="both"/>
              <w:rPr>
                <w:sz w:val="24"/>
              </w:rPr>
            </w:pPr>
            <w:r>
              <w:rPr>
                <w:sz w:val="24"/>
              </w:rPr>
              <w:t>За счет совершенствования работы консультационных центров и повышения качества информационных кампаний жители получат доступные инструменты защиты своих прав. Это укрепит доверие граждан к институтам местного самоуправления и повысит социальную стабильность в регионе.</w:t>
            </w:r>
          </w:p>
        </w:tc>
      </w:tr>
    </w:tbl>
    <w:p w14:paraId="36050000">
      <w:pPr>
        <w:pStyle w:val="Style_2"/>
        <w:rPr>
          <w:b w:val="1"/>
        </w:rPr>
      </w:pPr>
    </w:p>
    <w:p w14:paraId="37050000">
      <w:pPr>
        <w:pStyle w:val="Style_2"/>
        <w:rPr>
          <w:b w:val="1"/>
        </w:rPr>
      </w:pPr>
    </w:p>
    <w:p w14:paraId="38050000">
      <w:pPr>
        <w:pStyle w:val="Style_2"/>
        <w:rPr>
          <w:b w:val="1"/>
        </w:rPr>
      </w:pPr>
    </w:p>
    <w:p w14:paraId="39050000">
      <w:pPr>
        <w:pStyle w:val="Style_2"/>
        <w:rPr>
          <w:b w:val="1"/>
        </w:rPr>
      </w:pPr>
    </w:p>
    <w:p w14:paraId="3A050000">
      <w:pPr>
        <w:pStyle w:val="Style_2"/>
        <w:rPr>
          <w:b w:val="1"/>
        </w:rPr>
      </w:pPr>
    </w:p>
    <w:p w14:paraId="3B050000">
      <w:pPr>
        <w:pStyle w:val="Style_3"/>
        <w:numPr>
          <w:ilvl w:val="0"/>
          <w:numId w:val="19"/>
        </w:numPr>
        <w:tabs>
          <w:tab w:leader="none" w:pos="426" w:val="left"/>
        </w:tabs>
        <w:ind w:firstLine="0" w:left="0"/>
        <w:jc w:val="center"/>
      </w:pPr>
      <w:r>
        <w:t>Методика</w:t>
      </w:r>
      <w:r>
        <w:rPr>
          <w:spacing w:val="-6"/>
        </w:rPr>
        <w:t xml:space="preserve"> </w:t>
      </w:r>
      <w:r>
        <w:t>оценки</w:t>
      </w:r>
      <w:r>
        <w:rPr>
          <w:spacing w:val="-6"/>
        </w:rPr>
        <w:t xml:space="preserve"> </w:t>
      </w:r>
      <w:r>
        <w:t>эффективности</w:t>
      </w:r>
      <w:r>
        <w:rPr>
          <w:spacing w:val="-5"/>
        </w:rPr>
        <w:t xml:space="preserve"> </w:t>
      </w:r>
      <w:r>
        <w:rPr>
          <w:spacing w:val="-2"/>
        </w:rPr>
        <w:t>программы</w:t>
      </w:r>
    </w:p>
    <w:p w14:paraId="3C050000">
      <w:pPr>
        <w:pStyle w:val="Style_2"/>
        <w:rPr>
          <w:b w:val="1"/>
        </w:rPr>
      </w:pPr>
    </w:p>
    <w:p w14:paraId="3D050000">
      <w:pPr>
        <w:pStyle w:val="Style_2"/>
        <w:tabs>
          <w:tab w:leader="none" w:pos="1276" w:val="left"/>
        </w:tabs>
        <w:ind w:firstLine="993" w:left="-142"/>
      </w:pPr>
      <w:r>
        <w:t>Эффективность</w:t>
      </w:r>
      <w:r>
        <w:rPr>
          <w:spacing w:val="40"/>
        </w:rPr>
        <w:t xml:space="preserve"> </w:t>
      </w:r>
      <w:r>
        <w:t>программы</w:t>
      </w:r>
      <w:r>
        <w:rPr>
          <w:spacing w:val="40"/>
        </w:rPr>
        <w:t xml:space="preserve"> </w:t>
      </w:r>
      <w:r>
        <w:t>определяется</w:t>
      </w:r>
      <w:r>
        <w:rPr>
          <w:spacing w:val="40"/>
        </w:rPr>
        <w:t xml:space="preserve"> </w:t>
      </w:r>
      <w:r>
        <w:t>на</w:t>
      </w:r>
      <w:r>
        <w:rPr>
          <w:spacing w:val="40"/>
        </w:rPr>
        <w:t xml:space="preserve"> </w:t>
      </w:r>
      <w:r>
        <w:t>основании</w:t>
      </w:r>
      <w:r>
        <w:rPr>
          <w:spacing w:val="40"/>
        </w:rPr>
        <w:t xml:space="preserve"> </w:t>
      </w:r>
      <w:r>
        <w:t>степени</w:t>
      </w:r>
      <w:r>
        <w:rPr>
          <w:spacing w:val="40"/>
        </w:rPr>
        <w:t xml:space="preserve"> </w:t>
      </w:r>
      <w:r>
        <w:t>выполнения</w:t>
      </w:r>
      <w:r>
        <w:rPr>
          <w:spacing w:val="40"/>
        </w:rPr>
        <w:t xml:space="preserve"> </w:t>
      </w:r>
      <w:r>
        <w:t>целевых</w:t>
      </w:r>
      <w:r>
        <w:rPr>
          <w:spacing w:val="40"/>
        </w:rPr>
        <w:t xml:space="preserve"> </w:t>
      </w:r>
      <w:r>
        <w:t>показателей</w:t>
      </w:r>
      <w:r>
        <w:rPr>
          <w:spacing w:val="40"/>
        </w:rPr>
        <w:t xml:space="preserve"> </w:t>
      </w:r>
      <w:r>
        <w:t>и</w:t>
      </w:r>
      <w:r>
        <w:rPr>
          <w:spacing w:val="40"/>
        </w:rPr>
        <w:t xml:space="preserve"> </w:t>
      </w:r>
      <w:r>
        <w:t xml:space="preserve">основных </w:t>
      </w:r>
      <w:r>
        <w:rPr>
          <w:spacing w:val="-2"/>
        </w:rPr>
        <w:t>мероприятий.</w:t>
      </w:r>
    </w:p>
    <w:p w14:paraId="3E050000">
      <w:pPr>
        <w:pStyle w:val="Style_2"/>
        <w:tabs>
          <w:tab w:leader="none" w:pos="851" w:val="left"/>
          <w:tab w:leader="none" w:pos="1134" w:val="left"/>
        </w:tabs>
        <w:ind/>
      </w:pPr>
    </w:p>
    <w:p w14:paraId="3F050000">
      <w:pPr>
        <w:pStyle w:val="Style_3"/>
        <w:tabs>
          <w:tab w:leader="none" w:pos="426" w:val="left"/>
          <w:tab w:leader="none" w:pos="1701" w:val="left"/>
          <w:tab w:leader="none" w:pos="1843" w:val="left"/>
          <w:tab w:leader="none" w:pos="6064" w:val="left"/>
        </w:tabs>
        <w:ind w:right="114"/>
        <w:jc w:val="center"/>
      </w:pPr>
      <w:r>
        <w:t>Степень</w:t>
      </w:r>
      <w:r>
        <w:rPr>
          <w:spacing w:val="-12"/>
        </w:rPr>
        <w:t xml:space="preserve"> </w:t>
      </w:r>
      <w:r>
        <w:t>достижения</w:t>
      </w:r>
      <w:r>
        <w:rPr>
          <w:spacing w:val="-12"/>
        </w:rPr>
        <w:t xml:space="preserve"> </w:t>
      </w:r>
      <w:r>
        <w:t>целевых</w:t>
      </w:r>
      <w:r>
        <w:rPr>
          <w:spacing w:val="-12"/>
        </w:rPr>
        <w:t xml:space="preserve"> </w:t>
      </w:r>
      <w:r>
        <w:t>показателей программы осуществляется по формулам.</w:t>
      </w:r>
    </w:p>
    <w:p w14:paraId="40050000">
      <w:pPr>
        <w:pStyle w:val="Style_2"/>
        <w:rPr>
          <w:b w:val="1"/>
        </w:rPr>
      </w:pPr>
    </w:p>
    <w:p w14:paraId="41050000">
      <w:pPr>
        <w:pStyle w:val="Style_2"/>
        <w:ind w:firstLine="851"/>
        <w:jc w:val="both"/>
      </w:pPr>
      <w:r>
        <w:t>В</w:t>
      </w:r>
      <w:r>
        <w:rPr>
          <w:spacing w:val="-3"/>
        </w:rPr>
        <w:t xml:space="preserve"> </w:t>
      </w:r>
      <w:r>
        <w:t>отношении</w:t>
      </w:r>
      <w:r>
        <w:rPr>
          <w:spacing w:val="-2"/>
        </w:rPr>
        <w:t xml:space="preserve"> </w:t>
      </w:r>
      <w:r>
        <w:t>показателя,</w:t>
      </w:r>
      <w:r>
        <w:rPr>
          <w:spacing w:val="-2"/>
        </w:rPr>
        <w:t xml:space="preserve"> </w:t>
      </w:r>
      <w:r>
        <w:t>большее</w:t>
      </w:r>
      <w:r>
        <w:rPr>
          <w:spacing w:val="-2"/>
        </w:rPr>
        <w:t xml:space="preserve"> </w:t>
      </w:r>
      <w:r>
        <w:t>значение</w:t>
      </w:r>
      <w:r>
        <w:rPr>
          <w:spacing w:val="-2"/>
        </w:rPr>
        <w:t xml:space="preserve"> </w:t>
      </w:r>
      <w:r>
        <w:t>которого</w:t>
      </w:r>
      <w:r>
        <w:rPr>
          <w:spacing w:val="-2"/>
        </w:rPr>
        <w:t xml:space="preserve"> </w:t>
      </w:r>
      <w:r>
        <w:t>отражает</w:t>
      </w:r>
      <w:r>
        <w:rPr>
          <w:spacing w:val="-2"/>
        </w:rPr>
        <w:t xml:space="preserve"> </w:t>
      </w:r>
      <w:r>
        <w:t>большую</w:t>
      </w:r>
      <w:r>
        <w:rPr>
          <w:spacing w:val="-3"/>
        </w:rPr>
        <w:t xml:space="preserve"> </w:t>
      </w:r>
      <w:r>
        <w:t>эффективность,</w:t>
      </w:r>
      <w:r>
        <w:rPr>
          <w:spacing w:val="-2"/>
        </w:rPr>
        <w:t xml:space="preserve"> </w:t>
      </w:r>
      <w:r>
        <w:t>-</w:t>
      </w:r>
      <w:r>
        <w:rPr>
          <w:spacing w:val="-2"/>
        </w:rPr>
        <w:t xml:space="preserve"> </w:t>
      </w:r>
      <w:r>
        <w:t>по</w:t>
      </w:r>
      <w:r>
        <w:rPr>
          <w:spacing w:val="-2"/>
        </w:rPr>
        <w:t xml:space="preserve"> формуле:</w:t>
      </w:r>
    </w:p>
    <w:p w14:paraId="42050000">
      <w:pPr>
        <w:ind/>
        <w:jc w:val="center"/>
        <w:rPr>
          <w:sz w:val="18"/>
        </w:rPr>
      </w:pPr>
      <w:r>
        <w:rPr>
          <w:sz w:val="28"/>
        </w:rPr>
        <w:t>Э</w:t>
      </w:r>
      <w:r>
        <w:rPr>
          <w:sz w:val="18"/>
        </w:rPr>
        <w:t>п</w:t>
      </w:r>
      <w:r>
        <w:rPr>
          <w:spacing w:val="23"/>
          <w:sz w:val="18"/>
        </w:rPr>
        <w:t xml:space="preserve"> </w:t>
      </w:r>
      <w:r>
        <w:rPr>
          <w:sz w:val="28"/>
        </w:rPr>
        <w:t xml:space="preserve">= </w:t>
      </w:r>
      <w:r>
        <w:rPr>
          <w:spacing w:val="-2"/>
          <w:sz w:val="28"/>
        </w:rPr>
        <w:t>И</w:t>
      </w:r>
      <w:r>
        <w:rPr>
          <w:spacing w:val="-2"/>
          <w:sz w:val="18"/>
        </w:rPr>
        <w:t>дп</w:t>
      </w:r>
      <w:r>
        <w:rPr>
          <w:spacing w:val="-2"/>
          <w:sz w:val="28"/>
        </w:rPr>
        <w:t>/И</w:t>
      </w:r>
      <w:r>
        <w:rPr>
          <w:spacing w:val="-2"/>
          <w:sz w:val="18"/>
        </w:rPr>
        <w:t>цп</w:t>
      </w:r>
    </w:p>
    <w:p w14:paraId="43050000">
      <w:pPr>
        <w:pStyle w:val="Style_2"/>
        <w:ind w:firstLine="851"/>
        <w:jc w:val="both"/>
      </w:pPr>
      <w:r>
        <w:rPr>
          <w:spacing w:val="-5"/>
        </w:rPr>
        <w:t>г</w:t>
      </w:r>
      <w:r>
        <w:rPr>
          <w:spacing w:val="-5"/>
        </w:rPr>
        <w:t>де</w:t>
      </w:r>
    </w:p>
    <w:p w14:paraId="44050000">
      <w:pPr>
        <w:pStyle w:val="Style_2"/>
        <w:ind w:firstLine="851"/>
        <w:jc w:val="both"/>
      </w:pPr>
      <w:r>
        <w:t>Э</w:t>
      </w:r>
      <w:r>
        <w:rPr>
          <w:vertAlign w:val="subscript"/>
        </w:rPr>
        <w:t>п</w:t>
      </w:r>
      <w:r>
        <w:rPr>
          <w:spacing w:val="-4"/>
        </w:rPr>
        <w:t xml:space="preserve"> </w:t>
      </w:r>
      <w:r>
        <w:t>-</w:t>
      </w:r>
      <w:r>
        <w:rPr>
          <w:spacing w:val="-3"/>
        </w:rPr>
        <w:t xml:space="preserve"> </w:t>
      </w:r>
      <w:r>
        <w:t>эффективность</w:t>
      </w:r>
      <w:r>
        <w:rPr>
          <w:spacing w:val="-3"/>
        </w:rPr>
        <w:t xml:space="preserve"> </w:t>
      </w:r>
      <w:r>
        <w:t>хода</w:t>
      </w:r>
      <w:r>
        <w:rPr>
          <w:spacing w:val="-3"/>
        </w:rPr>
        <w:t xml:space="preserve"> </w:t>
      </w:r>
      <w:r>
        <w:t>реализации</w:t>
      </w:r>
      <w:r>
        <w:rPr>
          <w:spacing w:val="-4"/>
        </w:rPr>
        <w:t xml:space="preserve"> </w:t>
      </w:r>
      <w:r>
        <w:t>целевого</w:t>
      </w:r>
      <w:r>
        <w:rPr>
          <w:spacing w:val="-3"/>
        </w:rPr>
        <w:t xml:space="preserve"> </w:t>
      </w:r>
      <w:r>
        <w:t>показателя</w:t>
      </w:r>
      <w:r>
        <w:rPr>
          <w:spacing w:val="-3"/>
        </w:rPr>
        <w:t xml:space="preserve"> </w:t>
      </w:r>
      <w:r>
        <w:rPr>
          <w:spacing w:val="-2"/>
        </w:rPr>
        <w:t>программы;</w:t>
      </w:r>
    </w:p>
    <w:p w14:paraId="45050000">
      <w:pPr>
        <w:pStyle w:val="Style_2"/>
        <w:ind w:firstLine="851"/>
        <w:jc w:val="both"/>
      </w:pPr>
      <w:r>
        <w:t>И</w:t>
      </w:r>
      <w:r>
        <w:rPr>
          <w:vertAlign w:val="subscript"/>
        </w:rPr>
        <w:t>дп</w:t>
      </w:r>
      <w:r>
        <w:rPr>
          <w:spacing w:val="-4"/>
        </w:rPr>
        <w:t xml:space="preserve"> </w:t>
      </w:r>
      <w:r>
        <w:t>-</w:t>
      </w:r>
      <w:r>
        <w:rPr>
          <w:spacing w:val="-4"/>
        </w:rPr>
        <w:t xml:space="preserve"> </w:t>
      </w:r>
      <w:r>
        <w:t>фактическое</w:t>
      </w:r>
      <w:r>
        <w:rPr>
          <w:spacing w:val="-4"/>
        </w:rPr>
        <w:t xml:space="preserve"> </w:t>
      </w:r>
      <w:r>
        <w:t>значение</w:t>
      </w:r>
      <w:r>
        <w:rPr>
          <w:spacing w:val="-4"/>
        </w:rPr>
        <w:t xml:space="preserve"> </w:t>
      </w:r>
      <w:r>
        <w:t>показателя,</w:t>
      </w:r>
      <w:r>
        <w:rPr>
          <w:spacing w:val="-4"/>
        </w:rPr>
        <w:t xml:space="preserve"> </w:t>
      </w:r>
      <w:r>
        <w:t>достигнутого</w:t>
      </w:r>
      <w:r>
        <w:rPr>
          <w:spacing w:val="-4"/>
        </w:rPr>
        <w:t xml:space="preserve"> </w:t>
      </w:r>
      <w:r>
        <w:t>в</w:t>
      </w:r>
      <w:r>
        <w:rPr>
          <w:spacing w:val="-5"/>
        </w:rPr>
        <w:t xml:space="preserve"> </w:t>
      </w:r>
      <w:r>
        <w:t>ходе</w:t>
      </w:r>
      <w:r>
        <w:rPr>
          <w:spacing w:val="-4"/>
        </w:rPr>
        <w:t xml:space="preserve"> </w:t>
      </w:r>
      <w:r>
        <w:t>реализации</w:t>
      </w:r>
      <w:r>
        <w:rPr>
          <w:spacing w:val="-5"/>
        </w:rPr>
        <w:t xml:space="preserve"> </w:t>
      </w:r>
      <w:r>
        <w:t xml:space="preserve">программы; </w:t>
      </w:r>
    </w:p>
    <w:p w14:paraId="46050000">
      <w:pPr>
        <w:pStyle w:val="Style_2"/>
        <w:ind w:firstLine="851"/>
        <w:jc w:val="both"/>
      </w:pPr>
      <w:r>
        <w:t>И</w:t>
      </w:r>
      <w:r>
        <w:rPr>
          <w:vertAlign w:val="subscript"/>
        </w:rPr>
        <w:t>цп</w:t>
      </w:r>
      <w:r>
        <w:t xml:space="preserve"> - целевое значение показателя, утвержденного программой.</w:t>
      </w:r>
    </w:p>
    <w:p w14:paraId="47050000">
      <w:pPr>
        <w:pStyle w:val="Style_2"/>
        <w:ind w:firstLine="851"/>
        <w:jc w:val="both"/>
      </w:pPr>
      <w:r>
        <w:t>Если эффективность целевого показателя программы составляет более 1, при расчете суммарной эффективности, эффективность по данному показателю принимается за 1.</w:t>
      </w:r>
    </w:p>
    <w:p w14:paraId="48050000">
      <w:pPr>
        <w:pStyle w:val="Style_2"/>
        <w:ind w:firstLine="851"/>
        <w:jc w:val="both"/>
      </w:pPr>
      <w:r>
        <w:t>В</w:t>
      </w:r>
      <w:r>
        <w:rPr>
          <w:spacing w:val="-3"/>
        </w:rPr>
        <w:t xml:space="preserve"> </w:t>
      </w:r>
      <w:r>
        <w:t>отношении</w:t>
      </w:r>
      <w:r>
        <w:rPr>
          <w:spacing w:val="-2"/>
        </w:rPr>
        <w:t xml:space="preserve"> </w:t>
      </w:r>
      <w:r>
        <w:t>показателя,</w:t>
      </w:r>
      <w:r>
        <w:rPr>
          <w:spacing w:val="-2"/>
        </w:rPr>
        <w:t xml:space="preserve"> </w:t>
      </w:r>
      <w:r>
        <w:t>меньшее</w:t>
      </w:r>
      <w:r>
        <w:rPr>
          <w:spacing w:val="-2"/>
        </w:rPr>
        <w:t xml:space="preserve"> </w:t>
      </w:r>
      <w:r>
        <w:t>значение</w:t>
      </w:r>
      <w:r>
        <w:rPr>
          <w:spacing w:val="-2"/>
        </w:rPr>
        <w:t xml:space="preserve"> </w:t>
      </w:r>
      <w:r>
        <w:t>которого</w:t>
      </w:r>
      <w:r>
        <w:rPr>
          <w:spacing w:val="-2"/>
        </w:rPr>
        <w:t xml:space="preserve"> </w:t>
      </w:r>
      <w:r>
        <w:t>отражает</w:t>
      </w:r>
      <w:r>
        <w:rPr>
          <w:spacing w:val="-2"/>
        </w:rPr>
        <w:t xml:space="preserve"> </w:t>
      </w:r>
      <w:r>
        <w:t>большую</w:t>
      </w:r>
      <w:r>
        <w:rPr>
          <w:spacing w:val="-3"/>
        </w:rPr>
        <w:t xml:space="preserve"> </w:t>
      </w:r>
      <w:r>
        <w:t>эффективность,</w:t>
      </w:r>
      <w:r>
        <w:rPr>
          <w:spacing w:val="-2"/>
        </w:rPr>
        <w:t xml:space="preserve"> </w:t>
      </w:r>
      <w:r>
        <w:t>-</w:t>
      </w:r>
      <w:r>
        <w:rPr>
          <w:spacing w:val="-2"/>
        </w:rPr>
        <w:t xml:space="preserve"> </w:t>
      </w:r>
      <w:r>
        <w:t>по</w:t>
      </w:r>
      <w:r>
        <w:rPr>
          <w:spacing w:val="-2"/>
        </w:rPr>
        <w:t xml:space="preserve"> формуле:</w:t>
      </w:r>
    </w:p>
    <w:p w14:paraId="49050000">
      <w:pPr>
        <w:ind w:firstLine="851"/>
        <w:jc w:val="center"/>
        <w:rPr>
          <w:sz w:val="18"/>
        </w:rPr>
      </w:pPr>
      <w:r>
        <w:rPr>
          <w:sz w:val="28"/>
        </w:rPr>
        <w:t>Э</w:t>
      </w:r>
      <w:r>
        <w:rPr>
          <w:sz w:val="18"/>
        </w:rPr>
        <w:t>п</w:t>
      </w:r>
      <w:r>
        <w:rPr>
          <w:spacing w:val="22"/>
          <w:sz w:val="18"/>
        </w:rPr>
        <w:t xml:space="preserve"> </w:t>
      </w:r>
      <w:r>
        <w:rPr>
          <w:sz w:val="28"/>
        </w:rPr>
        <w:t>= И</w:t>
      </w:r>
      <w:r>
        <w:rPr>
          <w:sz w:val="18"/>
        </w:rPr>
        <w:t>цп</w:t>
      </w:r>
      <w:r>
        <w:rPr>
          <w:spacing w:val="25"/>
          <w:sz w:val="18"/>
        </w:rPr>
        <w:t xml:space="preserve"> </w:t>
      </w:r>
      <w:r>
        <w:rPr>
          <w:spacing w:val="-4"/>
          <w:sz w:val="28"/>
        </w:rPr>
        <w:t>/И</w:t>
      </w:r>
      <w:r>
        <w:rPr>
          <w:spacing w:val="-4"/>
          <w:sz w:val="18"/>
        </w:rPr>
        <w:t>дп</w:t>
      </w:r>
    </w:p>
    <w:p w14:paraId="4A050000">
      <w:pPr>
        <w:pStyle w:val="Style_2"/>
        <w:ind w:firstLine="851"/>
        <w:jc w:val="both"/>
      </w:pPr>
      <w:r>
        <w:rPr>
          <w:spacing w:val="-5"/>
        </w:rPr>
        <w:t>где</w:t>
      </w:r>
    </w:p>
    <w:p w14:paraId="4B050000">
      <w:pPr>
        <w:pStyle w:val="Style_2"/>
        <w:ind w:firstLine="851"/>
        <w:jc w:val="both"/>
      </w:pPr>
      <w:r>
        <w:t>Э</w:t>
      </w:r>
      <w:r>
        <w:rPr>
          <w:vertAlign w:val="subscript"/>
        </w:rPr>
        <w:t>п</w:t>
      </w:r>
      <w:r>
        <w:rPr>
          <w:spacing w:val="-5"/>
        </w:rPr>
        <w:t xml:space="preserve"> </w:t>
      </w:r>
      <w:r>
        <w:t>-</w:t>
      </w:r>
      <w:r>
        <w:rPr>
          <w:spacing w:val="-5"/>
        </w:rPr>
        <w:t xml:space="preserve"> </w:t>
      </w:r>
      <w:r>
        <w:t>эффективность</w:t>
      </w:r>
      <w:r>
        <w:rPr>
          <w:spacing w:val="-6"/>
        </w:rPr>
        <w:t xml:space="preserve"> </w:t>
      </w:r>
      <w:r>
        <w:t>хода</w:t>
      </w:r>
      <w:r>
        <w:rPr>
          <w:spacing w:val="-5"/>
        </w:rPr>
        <w:t xml:space="preserve"> </w:t>
      </w:r>
      <w:r>
        <w:t>реализации</w:t>
      </w:r>
      <w:r>
        <w:rPr>
          <w:spacing w:val="-6"/>
        </w:rPr>
        <w:t xml:space="preserve"> </w:t>
      </w:r>
      <w:r>
        <w:t>целевого</w:t>
      </w:r>
      <w:r>
        <w:rPr>
          <w:spacing w:val="-5"/>
        </w:rPr>
        <w:t xml:space="preserve"> </w:t>
      </w:r>
      <w:r>
        <w:t>показателя</w:t>
      </w:r>
      <w:r>
        <w:rPr>
          <w:spacing w:val="-5"/>
        </w:rPr>
        <w:t xml:space="preserve"> </w:t>
      </w:r>
      <w:r>
        <w:t xml:space="preserve">программы; </w:t>
      </w:r>
    </w:p>
    <w:p w14:paraId="4C050000">
      <w:pPr>
        <w:pStyle w:val="Style_2"/>
        <w:ind w:firstLine="851"/>
        <w:jc w:val="both"/>
      </w:pPr>
      <w:r>
        <w:t>И</w:t>
      </w:r>
      <w:r>
        <w:rPr>
          <w:vertAlign w:val="subscript"/>
        </w:rPr>
        <w:t>цп</w:t>
      </w:r>
      <w:r>
        <w:t xml:space="preserve"> - целевое значение показателя, утвержденного программой;</w:t>
      </w:r>
    </w:p>
    <w:p w14:paraId="4D050000">
      <w:pPr>
        <w:pStyle w:val="Style_2"/>
        <w:ind w:firstLine="851"/>
        <w:jc w:val="both"/>
      </w:pPr>
      <w:r>
        <w:t>И</w:t>
      </w:r>
      <w:r>
        <w:rPr>
          <w:vertAlign w:val="subscript"/>
        </w:rPr>
        <w:t>дп</w:t>
      </w:r>
      <w:r>
        <w:rPr>
          <w:spacing w:val="-2"/>
        </w:rPr>
        <w:t xml:space="preserve"> </w:t>
      </w:r>
      <w:r>
        <w:t>-</w:t>
      </w:r>
      <w:r>
        <w:rPr>
          <w:spacing w:val="-1"/>
        </w:rPr>
        <w:t xml:space="preserve"> </w:t>
      </w:r>
      <w:r>
        <w:t>фактическое</w:t>
      </w:r>
      <w:r>
        <w:rPr>
          <w:spacing w:val="-1"/>
        </w:rPr>
        <w:t xml:space="preserve"> </w:t>
      </w:r>
      <w:r>
        <w:t>значение</w:t>
      </w:r>
      <w:r>
        <w:rPr>
          <w:spacing w:val="-1"/>
        </w:rPr>
        <w:t xml:space="preserve"> </w:t>
      </w:r>
      <w:r>
        <w:t>показателя,</w:t>
      </w:r>
      <w:r>
        <w:rPr>
          <w:spacing w:val="-2"/>
        </w:rPr>
        <w:t xml:space="preserve"> </w:t>
      </w:r>
      <w:r>
        <w:t>достигнутого</w:t>
      </w:r>
      <w:r>
        <w:rPr>
          <w:spacing w:val="-1"/>
        </w:rPr>
        <w:t xml:space="preserve"> </w:t>
      </w:r>
      <w:r>
        <w:t>в</w:t>
      </w:r>
      <w:r>
        <w:rPr>
          <w:spacing w:val="-2"/>
        </w:rPr>
        <w:t xml:space="preserve"> </w:t>
      </w:r>
      <w:r>
        <w:t>ходе</w:t>
      </w:r>
      <w:r>
        <w:rPr>
          <w:spacing w:val="-1"/>
        </w:rPr>
        <w:t xml:space="preserve"> </w:t>
      </w:r>
      <w:r>
        <w:t>реализации</w:t>
      </w:r>
      <w:r>
        <w:rPr>
          <w:spacing w:val="-2"/>
        </w:rPr>
        <w:t xml:space="preserve"> программы.</w:t>
      </w:r>
    </w:p>
    <w:p w14:paraId="4E050000">
      <w:pPr>
        <w:pStyle w:val="Style_2"/>
        <w:ind w:firstLine="851"/>
        <w:jc w:val="both"/>
      </w:pPr>
      <w:r>
        <w:t>Если эффективность целевого показателя программы составляет более 1, при расчете суммарной эффективности, эффективность по данному показателю принимается за 1.</w:t>
      </w:r>
    </w:p>
    <w:p w14:paraId="4F050000">
      <w:pPr>
        <w:pStyle w:val="Style_2"/>
        <w:ind w:firstLine="851"/>
        <w:jc w:val="both"/>
      </w:pPr>
      <w:r>
        <w:t>В</w:t>
      </w:r>
      <w:r>
        <w:rPr>
          <w:spacing w:val="31"/>
        </w:rPr>
        <w:t xml:space="preserve"> </w:t>
      </w:r>
      <w:r>
        <w:t>отношении</w:t>
      </w:r>
      <w:r>
        <w:rPr>
          <w:spacing w:val="31"/>
        </w:rPr>
        <w:t xml:space="preserve"> </w:t>
      </w:r>
      <w:r>
        <w:t>показателя,</w:t>
      </w:r>
      <w:r>
        <w:rPr>
          <w:spacing w:val="31"/>
        </w:rPr>
        <w:t xml:space="preserve"> </w:t>
      </w:r>
      <w:r>
        <w:t>исполнение</w:t>
      </w:r>
      <w:r>
        <w:rPr>
          <w:spacing w:val="31"/>
        </w:rPr>
        <w:t xml:space="preserve"> </w:t>
      </w:r>
      <w:r>
        <w:t>которого</w:t>
      </w:r>
      <w:r>
        <w:rPr>
          <w:spacing w:val="31"/>
        </w:rPr>
        <w:t xml:space="preserve"> </w:t>
      </w:r>
      <w:r>
        <w:t>оценивается</w:t>
      </w:r>
      <w:r>
        <w:rPr>
          <w:spacing w:val="31"/>
        </w:rPr>
        <w:t xml:space="preserve"> </w:t>
      </w:r>
      <w:r>
        <w:t>как</w:t>
      </w:r>
      <w:r>
        <w:rPr>
          <w:spacing w:val="31"/>
        </w:rPr>
        <w:t xml:space="preserve"> </w:t>
      </w:r>
      <w:r>
        <w:t>наступление</w:t>
      </w:r>
      <w:r>
        <w:rPr>
          <w:spacing w:val="31"/>
        </w:rPr>
        <w:t xml:space="preserve"> </w:t>
      </w:r>
      <w:r>
        <w:t>или</w:t>
      </w:r>
      <w:r>
        <w:rPr>
          <w:spacing w:val="31"/>
        </w:rPr>
        <w:t xml:space="preserve"> </w:t>
      </w:r>
      <w:r>
        <w:t>не</w:t>
      </w:r>
      <w:r>
        <w:rPr>
          <w:spacing w:val="31"/>
        </w:rPr>
        <w:t xml:space="preserve"> </w:t>
      </w:r>
      <w:r>
        <w:t>наступление</w:t>
      </w:r>
      <w:r>
        <w:rPr>
          <w:spacing w:val="31"/>
        </w:rPr>
        <w:t xml:space="preserve"> </w:t>
      </w:r>
      <w:r>
        <w:t>события,</w:t>
      </w:r>
      <w:r>
        <w:rPr>
          <w:spacing w:val="31"/>
        </w:rPr>
        <w:t xml:space="preserve"> </w:t>
      </w:r>
      <w:r>
        <w:t>за</w:t>
      </w:r>
      <w:r>
        <w:rPr>
          <w:spacing w:val="31"/>
        </w:rPr>
        <w:t xml:space="preserve"> </w:t>
      </w:r>
      <w:r>
        <w:t>1 принимается наступление события, за 0 - не наступление события.</w:t>
      </w:r>
    </w:p>
    <w:p w14:paraId="50050000">
      <w:pPr>
        <w:pStyle w:val="Style_2"/>
        <w:ind w:firstLine="851"/>
        <w:jc w:val="both"/>
      </w:pPr>
    </w:p>
    <w:p w14:paraId="51050000">
      <w:pPr>
        <w:pStyle w:val="Style_2"/>
        <w:ind w:firstLine="851"/>
        <w:jc w:val="both"/>
      </w:pPr>
    </w:p>
    <w:p w14:paraId="52050000">
      <w:pPr>
        <w:pStyle w:val="Style_2"/>
        <w:ind w:firstLine="851"/>
        <w:jc w:val="both"/>
        <w:rPr>
          <w:b w:val="1"/>
        </w:rPr>
      </w:pPr>
      <w:r>
        <w:rPr>
          <w:b w:val="1"/>
        </w:rPr>
        <w:t>Суммарная</w:t>
      </w:r>
      <w:r>
        <w:rPr>
          <w:b w:val="1"/>
          <w:spacing w:val="-3"/>
        </w:rPr>
        <w:t xml:space="preserve"> </w:t>
      </w:r>
      <w:r>
        <w:rPr>
          <w:b w:val="1"/>
        </w:rPr>
        <w:t>оценка</w:t>
      </w:r>
      <w:r>
        <w:rPr>
          <w:b w:val="1"/>
          <w:spacing w:val="-3"/>
        </w:rPr>
        <w:t xml:space="preserve"> </w:t>
      </w:r>
      <w:r>
        <w:rPr>
          <w:b w:val="1"/>
        </w:rPr>
        <w:t>степени</w:t>
      </w:r>
      <w:r>
        <w:rPr>
          <w:b w:val="1"/>
          <w:spacing w:val="-3"/>
        </w:rPr>
        <w:t xml:space="preserve"> </w:t>
      </w:r>
      <w:r>
        <w:rPr>
          <w:b w:val="1"/>
        </w:rPr>
        <w:t>достижения</w:t>
      </w:r>
      <w:r>
        <w:rPr>
          <w:b w:val="1"/>
          <w:spacing w:val="-3"/>
        </w:rPr>
        <w:t xml:space="preserve"> </w:t>
      </w:r>
      <w:r>
        <w:rPr>
          <w:b w:val="1"/>
        </w:rPr>
        <w:t>целевых</w:t>
      </w:r>
      <w:r>
        <w:rPr>
          <w:b w:val="1"/>
          <w:spacing w:val="-2"/>
        </w:rPr>
        <w:t xml:space="preserve"> </w:t>
      </w:r>
      <w:r>
        <w:rPr>
          <w:b w:val="1"/>
        </w:rPr>
        <w:t>показателей</w:t>
      </w:r>
      <w:r>
        <w:rPr>
          <w:b w:val="1"/>
          <w:spacing w:val="-4"/>
        </w:rPr>
        <w:t xml:space="preserve"> </w:t>
      </w:r>
      <w:r>
        <w:rPr>
          <w:b w:val="1"/>
        </w:rPr>
        <w:t>программы</w:t>
      </w:r>
      <w:r>
        <w:rPr>
          <w:b w:val="1"/>
          <w:spacing w:val="-2"/>
        </w:rPr>
        <w:t xml:space="preserve"> </w:t>
      </w:r>
      <w:r>
        <w:rPr>
          <w:b w:val="1"/>
        </w:rPr>
        <w:t>определяется</w:t>
      </w:r>
      <w:r>
        <w:rPr>
          <w:b w:val="1"/>
          <w:spacing w:val="-3"/>
        </w:rPr>
        <w:t xml:space="preserve"> </w:t>
      </w:r>
      <w:r>
        <w:rPr>
          <w:b w:val="1"/>
        </w:rPr>
        <w:t>по</w:t>
      </w:r>
      <w:r>
        <w:rPr>
          <w:b w:val="1"/>
          <w:spacing w:val="-2"/>
        </w:rPr>
        <w:t xml:space="preserve"> формуле:</w:t>
      </w:r>
    </w:p>
    <w:p w14:paraId="53050000">
      <w:pPr>
        <w:pStyle w:val="Style_2"/>
        <w:ind w:firstLine="851"/>
        <w:jc w:val="both"/>
        <w:rPr>
          <w:b w:val="1"/>
        </w:rPr>
      </w:pPr>
    </w:p>
    <w:p w14:paraId="54050000">
      <w:pPr>
        <w:pStyle w:val="Style_2"/>
        <w:ind w:firstLine="851"/>
        <w:jc w:val="both"/>
        <w:rPr>
          <w:b w:val="1"/>
        </w:rPr>
      </w:pPr>
    </w:p>
    <w:p w14:paraId="55050000">
      <w:pPr>
        <w:pStyle w:val="Style_2"/>
        <w:ind w:firstLine="851"/>
        <w:jc w:val="both"/>
        <w:rPr>
          <w:b w:val="1"/>
        </w:rPr>
      </w:pPr>
      <w:r>
        <w:t>Э</w:t>
      </w:r>
      <w:r>
        <w:rPr>
          <w:vertAlign w:val="subscript"/>
        </w:rPr>
        <w:t>о</w:t>
      </w:r>
      <w:r>
        <w:rPr>
          <w:spacing w:val="-14"/>
        </w:rPr>
        <w:t xml:space="preserve"> </w:t>
      </w:r>
      <w:r>
        <w:rPr>
          <w:spacing w:val="-10"/>
        </w:rPr>
        <w:t>=</w:t>
      </w:r>
    </w:p>
    <w:p w14:paraId="56050000">
      <w:pPr>
        <w:ind w:left="222"/>
        <w:rPr>
          <w:i w:val="1"/>
          <w:sz w:val="19"/>
        </w:rPr>
      </w:pPr>
      <w:r>
        <w:br w:type="column"/>
      </w:r>
      <w:r>
        <w:rPr>
          <w:i w:val="1"/>
          <w:spacing w:val="-10"/>
          <w:sz w:val="19"/>
        </w:rPr>
        <w:t>n</w:t>
      </w:r>
    </w:p>
    <w:p w14:paraId="57050000">
      <w:pPr>
        <w:ind w:left="99"/>
        <w:rPr>
          <w:sz w:val="19"/>
        </w:rPr>
      </w:pPr>
      <w:r>
        <w:rPr>
          <w:b w:val="1"/>
          <w:spacing w:val="8"/>
          <w:sz w:val="50"/>
        </w:rPr>
        <w:t>∑</w:t>
      </w:r>
      <w:r>
        <w:rPr>
          <w:spacing w:val="8"/>
          <w:sz w:val="28"/>
        </w:rPr>
        <w:t>Э</w:t>
      </w:r>
      <w:r>
        <w:rPr>
          <w:spacing w:val="8"/>
          <w:sz w:val="19"/>
        </w:rPr>
        <w:t>П</w:t>
      </w:r>
      <w:r>
        <w:rPr>
          <w:spacing w:val="8"/>
          <w:sz w:val="19"/>
        </w:rPr>
        <w:t>i</w:t>
      </w:r>
    </w:p>
    <w:p w14:paraId="58050000">
      <w:pPr>
        <w:ind w:left="117"/>
        <w:rPr>
          <w:sz w:val="19"/>
        </w:rPr>
      </w:pPr>
      <w:r>
        <w:rPr>
          <w:i w:val="1"/>
          <w:sz w:val="19"/>
        </w:rPr>
        <w:t>i</w:t>
      </w:r>
      <w:r>
        <w:rPr>
          <w:i w:val="1"/>
          <w:spacing w:val="-14"/>
          <w:sz w:val="19"/>
        </w:rPr>
        <w:t xml:space="preserve"> </w:t>
      </w:r>
      <w:r>
        <w:rPr>
          <w:sz w:val="19"/>
        </w:rPr>
        <w:t>=</w:t>
      </w:r>
      <w:r>
        <w:rPr>
          <w:spacing w:val="-16"/>
          <w:sz w:val="19"/>
        </w:rPr>
        <w:t xml:space="preserve"> </w:t>
      </w:r>
      <w:r>
        <w:rPr>
          <w:spacing w:val="-10"/>
          <w:sz w:val="19"/>
        </w:rPr>
        <w:t>1</w:t>
      </w:r>
    </w:p>
    <w:p w14:paraId="59050000">
      <w:pPr>
        <w:ind w:left="397"/>
        <w:rPr>
          <w:i w:val="1"/>
          <w:sz w:val="28"/>
        </w:rPr>
      </w:pPr>
      <w:r>
        <w:rPr>
          <w:i w:val="1"/>
          <w:spacing w:val="-10"/>
          <w:sz w:val="28"/>
        </w:rPr>
        <w:t>n</w:t>
      </w:r>
    </w:p>
    <w:p w14:paraId="5A050000">
      <w:pPr>
        <w:pStyle w:val="Style_2"/>
        <w:ind w:firstLine="851"/>
      </w:pPr>
      <w:r>
        <w:rPr>
          <w:spacing w:val="-5"/>
        </w:rPr>
        <w:t>где</w:t>
      </w:r>
    </w:p>
    <w:p w14:paraId="5B050000">
      <w:pPr>
        <w:pStyle w:val="Style_2"/>
        <w:ind w:firstLine="851" w:right="4363"/>
      </w:pPr>
      <w:r>
        <w:t>Э</w:t>
      </w:r>
      <w:r>
        <w:rPr>
          <w:vertAlign w:val="subscript"/>
        </w:rPr>
        <w:t>о</w:t>
      </w:r>
      <w:r>
        <w:rPr>
          <w:spacing w:val="-5"/>
        </w:rPr>
        <w:t xml:space="preserve"> </w:t>
      </w:r>
      <w:r>
        <w:t>-</w:t>
      </w:r>
      <w:r>
        <w:rPr>
          <w:spacing w:val="-5"/>
        </w:rPr>
        <w:t xml:space="preserve"> </w:t>
      </w:r>
      <w:r>
        <w:t>суммарная</w:t>
      </w:r>
      <w:r>
        <w:rPr>
          <w:spacing w:val="-5"/>
        </w:rPr>
        <w:t xml:space="preserve"> </w:t>
      </w:r>
      <w:r>
        <w:t>оценка</w:t>
      </w:r>
      <w:r>
        <w:rPr>
          <w:spacing w:val="-5"/>
        </w:rPr>
        <w:t xml:space="preserve"> </w:t>
      </w:r>
      <w:r>
        <w:t>степени</w:t>
      </w:r>
      <w:r>
        <w:rPr>
          <w:spacing w:val="-6"/>
        </w:rPr>
        <w:t xml:space="preserve"> </w:t>
      </w:r>
      <w:r>
        <w:t>достижения</w:t>
      </w:r>
      <w:r>
        <w:rPr>
          <w:spacing w:val="-5"/>
        </w:rPr>
        <w:t xml:space="preserve"> </w:t>
      </w:r>
      <w:r>
        <w:t>целевых</w:t>
      </w:r>
      <w:r>
        <w:rPr>
          <w:spacing w:val="-5"/>
        </w:rPr>
        <w:t xml:space="preserve"> </w:t>
      </w:r>
      <w:r>
        <w:t>показателей</w:t>
      </w:r>
      <w:r>
        <w:rPr>
          <w:spacing w:val="-6"/>
        </w:rPr>
        <w:t xml:space="preserve"> </w:t>
      </w:r>
      <w:r>
        <w:t xml:space="preserve">программы; </w:t>
      </w:r>
    </w:p>
    <w:p w14:paraId="5C050000">
      <w:pPr>
        <w:pStyle w:val="Style_2"/>
        <w:ind w:firstLine="851" w:right="4363"/>
      </w:pPr>
      <w:r>
        <w:t>Э</w:t>
      </w:r>
      <w:r>
        <w:rPr>
          <w:vertAlign w:val="subscript"/>
        </w:rPr>
        <w:t>п</w:t>
      </w:r>
      <w:r>
        <w:t xml:space="preserve"> - эффективность хода реализации целевого показателя программы;</w:t>
      </w:r>
    </w:p>
    <w:p w14:paraId="5D050000">
      <w:pPr>
        <w:pStyle w:val="Style_2"/>
        <w:ind w:firstLine="851"/>
      </w:pPr>
      <w:r>
        <w:t>i</w:t>
      </w:r>
      <w:r>
        <w:rPr>
          <w:spacing w:val="-1"/>
        </w:rPr>
        <w:t xml:space="preserve"> </w:t>
      </w:r>
      <w:r>
        <w:t>- номер</w:t>
      </w:r>
      <w:r>
        <w:rPr>
          <w:spacing w:val="-1"/>
        </w:rPr>
        <w:t xml:space="preserve"> </w:t>
      </w:r>
      <w:r>
        <w:t xml:space="preserve">показателя </w:t>
      </w:r>
      <w:r>
        <w:rPr>
          <w:spacing w:val="-2"/>
        </w:rPr>
        <w:t>программы;</w:t>
      </w:r>
    </w:p>
    <w:p w14:paraId="5E050000">
      <w:pPr>
        <w:pStyle w:val="Style_2"/>
        <w:ind w:firstLine="851"/>
      </w:pPr>
      <w:r>
        <w:t>n</w:t>
      </w:r>
      <w:r>
        <w:rPr>
          <w:spacing w:val="-1"/>
        </w:rPr>
        <w:t xml:space="preserve"> </w:t>
      </w:r>
      <w:r>
        <w:t>-</w:t>
      </w:r>
      <w:r>
        <w:rPr>
          <w:spacing w:val="-1"/>
        </w:rPr>
        <w:t xml:space="preserve"> </w:t>
      </w:r>
      <w:r>
        <w:t>количество</w:t>
      </w:r>
      <w:r>
        <w:rPr>
          <w:spacing w:val="-1"/>
        </w:rPr>
        <w:t xml:space="preserve"> </w:t>
      </w:r>
      <w:r>
        <w:t>целевых</w:t>
      </w:r>
      <w:r>
        <w:rPr>
          <w:spacing w:val="-1"/>
        </w:rPr>
        <w:t xml:space="preserve"> </w:t>
      </w:r>
      <w:r>
        <w:t>показателей</w:t>
      </w:r>
      <w:r>
        <w:rPr>
          <w:spacing w:val="-1"/>
        </w:rPr>
        <w:t xml:space="preserve"> </w:t>
      </w:r>
      <w:r>
        <w:rPr>
          <w:spacing w:val="-2"/>
        </w:rPr>
        <w:t>программы.</w:t>
      </w:r>
    </w:p>
    <w:p w14:paraId="5F050000">
      <w:pPr>
        <w:pStyle w:val="Style_2"/>
        <w:ind w:firstLine="851" w:right="110"/>
        <w:jc w:val="both"/>
      </w:pPr>
      <w:r>
        <w:t>Если суммарная оценка степени достижения целевых показателей программы составляет 0,90 и выше, это характеризует высокий уровень эффективности реализации программы по степени достижения целевых показателей.</w:t>
      </w:r>
    </w:p>
    <w:p w14:paraId="60050000">
      <w:pPr>
        <w:pStyle w:val="Style_2"/>
        <w:ind w:firstLine="851" w:right="110"/>
        <w:jc w:val="both"/>
      </w:pPr>
      <w:r>
        <w:t xml:space="preserve">Если суммарная оценка степени достижения целевых показателей программы составляет от 0,65 до 0,90, это характеризует удовлетворительный уровень эффективности реализации программы по степени достижения целевых </w:t>
      </w:r>
      <w:r>
        <w:rPr>
          <w:spacing w:val="-2"/>
        </w:rPr>
        <w:t>показателей.</w:t>
      </w:r>
    </w:p>
    <w:p w14:paraId="61050000">
      <w:pPr>
        <w:pStyle w:val="Style_2"/>
        <w:ind w:firstLine="851" w:right="109"/>
        <w:jc w:val="both"/>
      </w:pPr>
      <w:r>
        <w:t>Если суммарная оценка степени достижения целевых показателей программы составляет менее 0,65, это характеризует низкий уровень эффективности реализации программы по степени достижения целевых показателей.</w:t>
      </w:r>
    </w:p>
    <w:p w14:paraId="62050000">
      <w:pPr>
        <w:pStyle w:val="Style_2"/>
        <w:ind w:firstLine="851" w:right="109"/>
        <w:jc w:val="both"/>
      </w:pPr>
    </w:p>
    <w:p w14:paraId="63050000">
      <w:pPr>
        <w:pStyle w:val="Style_2"/>
        <w:ind w:firstLine="851" w:right="109"/>
        <w:jc w:val="both"/>
        <w:rPr>
          <w:b w:val="1"/>
        </w:rPr>
      </w:pPr>
      <w:r>
        <w:rPr>
          <w:b w:val="1"/>
        </w:rPr>
        <w:t>Степень реализации основных мероприятий оценивается</w:t>
      </w:r>
      <w:r>
        <w:rPr>
          <w:b w:val="1"/>
          <w:spacing w:val="-7"/>
        </w:rPr>
        <w:t xml:space="preserve"> </w:t>
      </w:r>
      <w:r>
        <w:rPr>
          <w:b w:val="1"/>
        </w:rPr>
        <w:t>как</w:t>
      </w:r>
      <w:r>
        <w:rPr>
          <w:b w:val="1"/>
          <w:spacing w:val="-8"/>
        </w:rPr>
        <w:t xml:space="preserve"> </w:t>
      </w:r>
      <w:r>
        <w:rPr>
          <w:b w:val="1"/>
        </w:rPr>
        <w:t>доля</w:t>
      </w:r>
      <w:r>
        <w:rPr>
          <w:b w:val="1"/>
          <w:spacing w:val="-7"/>
        </w:rPr>
        <w:t xml:space="preserve"> </w:t>
      </w:r>
      <w:r>
        <w:rPr>
          <w:b w:val="1"/>
        </w:rPr>
        <w:t>основных</w:t>
      </w:r>
      <w:r>
        <w:rPr>
          <w:b w:val="1"/>
          <w:spacing w:val="-7"/>
        </w:rPr>
        <w:t xml:space="preserve"> </w:t>
      </w:r>
      <w:r>
        <w:rPr>
          <w:b w:val="1"/>
        </w:rPr>
        <w:t>мероприятий,</w:t>
      </w:r>
      <w:r>
        <w:rPr>
          <w:b w:val="1"/>
          <w:spacing w:val="-7"/>
        </w:rPr>
        <w:t xml:space="preserve"> </w:t>
      </w:r>
    </w:p>
    <w:p w14:paraId="64050000">
      <w:pPr>
        <w:pStyle w:val="Style_3"/>
        <w:ind w:right="114"/>
        <w:jc w:val="center"/>
      </w:pPr>
      <w:r>
        <w:t>в</w:t>
      </w:r>
      <w:r>
        <w:t>ыполненных</w:t>
      </w:r>
      <w:r>
        <w:t xml:space="preserve"> </w:t>
      </w:r>
      <w:r>
        <w:t>в</w:t>
      </w:r>
      <w:r>
        <w:rPr>
          <w:spacing w:val="-4"/>
        </w:rPr>
        <w:t xml:space="preserve"> </w:t>
      </w:r>
      <w:r>
        <w:t>полном</w:t>
      </w:r>
      <w:r>
        <w:rPr>
          <w:spacing w:val="-3"/>
        </w:rPr>
        <w:t xml:space="preserve"> </w:t>
      </w:r>
      <w:r>
        <w:t>объеме,</w:t>
      </w:r>
      <w:r>
        <w:rPr>
          <w:spacing w:val="-3"/>
        </w:rPr>
        <w:t xml:space="preserve"> </w:t>
      </w:r>
      <w:r>
        <w:t>по</w:t>
      </w:r>
      <w:r>
        <w:rPr>
          <w:spacing w:val="-3"/>
        </w:rPr>
        <w:t xml:space="preserve"> </w:t>
      </w:r>
      <w:r>
        <w:t>следующей</w:t>
      </w:r>
      <w:r>
        <w:rPr>
          <w:spacing w:val="-2"/>
        </w:rPr>
        <w:t xml:space="preserve"> формуле:</w:t>
      </w:r>
    </w:p>
    <w:p w14:paraId="65050000">
      <w:pPr>
        <w:pStyle w:val="Style_2"/>
        <w:rPr>
          <w:b w:val="1"/>
        </w:rPr>
      </w:pPr>
    </w:p>
    <w:p w14:paraId="66050000">
      <w:pPr>
        <w:pStyle w:val="Style_2"/>
        <w:ind/>
        <w:jc w:val="center"/>
      </w:pPr>
      <w:r>
        <w:t>СР</w:t>
      </w:r>
      <w:r>
        <w:rPr>
          <w:vertAlign w:val="subscript"/>
        </w:rPr>
        <w:t>ом</w:t>
      </w:r>
      <w:r>
        <w:rPr>
          <w:spacing w:val="-2"/>
        </w:rPr>
        <w:t xml:space="preserve"> </w:t>
      </w:r>
      <w:r>
        <w:t xml:space="preserve">= </w:t>
      </w:r>
      <w:r>
        <w:t>М</w:t>
      </w:r>
      <w:r>
        <w:rPr>
          <w:vertAlign w:val="subscript"/>
        </w:rPr>
        <w:t>в</w:t>
      </w:r>
      <w:r>
        <w:t xml:space="preserve"> / </w:t>
      </w:r>
      <w:r>
        <w:rPr>
          <w:spacing w:val="-5"/>
        </w:rPr>
        <w:t>М,</w:t>
      </w:r>
    </w:p>
    <w:p w14:paraId="67050000">
      <w:pPr>
        <w:pStyle w:val="Style_2"/>
      </w:pPr>
    </w:p>
    <w:p w14:paraId="68050000">
      <w:pPr>
        <w:pStyle w:val="Style_2"/>
        <w:ind w:firstLine="851"/>
        <w:jc w:val="both"/>
      </w:pPr>
      <w:r>
        <w:rPr>
          <w:spacing w:val="-5"/>
        </w:rPr>
        <w:t>где</w:t>
      </w:r>
    </w:p>
    <w:p w14:paraId="69050000">
      <w:pPr>
        <w:pStyle w:val="Style_2"/>
        <w:ind w:firstLine="851"/>
        <w:jc w:val="both"/>
      </w:pPr>
      <w:r>
        <w:t>СР</w:t>
      </w:r>
      <w:r>
        <w:rPr>
          <w:vertAlign w:val="subscript"/>
        </w:rPr>
        <w:t>ом</w:t>
      </w:r>
      <w:r>
        <w:rPr>
          <w:spacing w:val="-5"/>
        </w:rPr>
        <w:t xml:space="preserve"> </w:t>
      </w:r>
      <w:r>
        <w:t>-</w:t>
      </w:r>
      <w:r>
        <w:rPr>
          <w:spacing w:val="-3"/>
        </w:rPr>
        <w:t xml:space="preserve"> </w:t>
      </w:r>
      <w:r>
        <w:t>степень</w:t>
      </w:r>
      <w:r>
        <w:rPr>
          <w:spacing w:val="-4"/>
        </w:rPr>
        <w:t xml:space="preserve"> </w:t>
      </w:r>
      <w:r>
        <w:t>реализации</w:t>
      </w:r>
      <w:r>
        <w:rPr>
          <w:spacing w:val="-4"/>
        </w:rPr>
        <w:t xml:space="preserve"> </w:t>
      </w:r>
      <w:r>
        <w:t>основных</w:t>
      </w:r>
      <w:r>
        <w:rPr>
          <w:spacing w:val="-3"/>
        </w:rPr>
        <w:t xml:space="preserve"> </w:t>
      </w:r>
      <w:r>
        <w:rPr>
          <w:spacing w:val="-2"/>
        </w:rPr>
        <w:t>мероприятий;</w:t>
      </w:r>
    </w:p>
    <w:p w14:paraId="6A050000">
      <w:pPr>
        <w:pStyle w:val="Style_2"/>
        <w:ind w:firstLine="851"/>
        <w:jc w:val="both"/>
      </w:pPr>
      <w:r>
        <w:t>М</w:t>
      </w:r>
      <w:r>
        <w:rPr>
          <w:vertAlign w:val="subscript"/>
        </w:rPr>
        <w:t>в</w:t>
      </w:r>
      <w:r>
        <w:rPr>
          <w:spacing w:val="78"/>
        </w:rPr>
        <w:t xml:space="preserve"> </w:t>
      </w:r>
      <w:r>
        <w:t>-</w:t>
      </w:r>
      <w:r>
        <w:rPr>
          <w:spacing w:val="78"/>
        </w:rPr>
        <w:t xml:space="preserve"> </w:t>
      </w:r>
      <w:r>
        <w:t>количество</w:t>
      </w:r>
      <w:r>
        <w:rPr>
          <w:spacing w:val="78"/>
        </w:rPr>
        <w:t xml:space="preserve"> </w:t>
      </w:r>
      <w:r>
        <w:t>основных</w:t>
      </w:r>
      <w:r>
        <w:rPr>
          <w:spacing w:val="78"/>
        </w:rPr>
        <w:t xml:space="preserve"> </w:t>
      </w:r>
      <w:r>
        <w:t>мероприятий,</w:t>
      </w:r>
      <w:r>
        <w:rPr>
          <w:spacing w:val="78"/>
        </w:rPr>
        <w:t xml:space="preserve"> </w:t>
      </w:r>
      <w:r>
        <w:t>выполненных</w:t>
      </w:r>
      <w:r>
        <w:rPr>
          <w:spacing w:val="78"/>
        </w:rPr>
        <w:t xml:space="preserve"> </w:t>
      </w:r>
      <w:r>
        <w:t>в</w:t>
      </w:r>
      <w:r>
        <w:rPr>
          <w:spacing w:val="78"/>
        </w:rPr>
        <w:t xml:space="preserve"> </w:t>
      </w:r>
      <w:r>
        <w:t>полном</w:t>
      </w:r>
      <w:r>
        <w:rPr>
          <w:spacing w:val="78"/>
        </w:rPr>
        <w:t xml:space="preserve"> </w:t>
      </w:r>
      <w:r>
        <w:t>объеме,</w:t>
      </w:r>
      <w:r>
        <w:rPr>
          <w:spacing w:val="78"/>
        </w:rPr>
        <w:t xml:space="preserve"> </w:t>
      </w:r>
      <w:r>
        <w:t>из</w:t>
      </w:r>
      <w:r>
        <w:rPr>
          <w:spacing w:val="78"/>
        </w:rPr>
        <w:t xml:space="preserve"> </w:t>
      </w:r>
      <w:r>
        <w:t>числа</w:t>
      </w:r>
      <w:r>
        <w:rPr>
          <w:spacing w:val="78"/>
        </w:rPr>
        <w:t xml:space="preserve"> </w:t>
      </w:r>
      <w:r>
        <w:t>основных</w:t>
      </w:r>
      <w:r>
        <w:rPr>
          <w:spacing w:val="78"/>
        </w:rPr>
        <w:t xml:space="preserve"> </w:t>
      </w:r>
      <w:r>
        <w:t>мероприятий, запланированных к реализации в отчетном году;</w:t>
      </w:r>
    </w:p>
    <w:p w14:paraId="6B050000">
      <w:pPr>
        <w:pStyle w:val="Style_2"/>
        <w:ind w:firstLine="851"/>
        <w:jc w:val="both"/>
      </w:pPr>
      <w:r>
        <w:t>М</w:t>
      </w:r>
      <w:r>
        <w:rPr>
          <w:spacing w:val="-6"/>
        </w:rPr>
        <w:t xml:space="preserve"> </w:t>
      </w:r>
      <w:r>
        <w:t>-</w:t>
      </w:r>
      <w:r>
        <w:rPr>
          <w:spacing w:val="-3"/>
        </w:rPr>
        <w:t xml:space="preserve"> </w:t>
      </w:r>
      <w:r>
        <w:t>общее</w:t>
      </w:r>
      <w:r>
        <w:rPr>
          <w:spacing w:val="-3"/>
        </w:rPr>
        <w:t xml:space="preserve"> </w:t>
      </w:r>
      <w:r>
        <w:t>количество</w:t>
      </w:r>
      <w:r>
        <w:rPr>
          <w:spacing w:val="-2"/>
        </w:rPr>
        <w:t xml:space="preserve"> </w:t>
      </w:r>
      <w:r>
        <w:t>основных</w:t>
      </w:r>
      <w:r>
        <w:rPr>
          <w:spacing w:val="-3"/>
        </w:rPr>
        <w:t xml:space="preserve"> </w:t>
      </w:r>
      <w:r>
        <w:t>мероприятий,</w:t>
      </w:r>
      <w:r>
        <w:rPr>
          <w:spacing w:val="-3"/>
        </w:rPr>
        <w:t xml:space="preserve"> </w:t>
      </w:r>
      <w:r>
        <w:t>запланированных</w:t>
      </w:r>
      <w:r>
        <w:rPr>
          <w:spacing w:val="-3"/>
        </w:rPr>
        <w:t xml:space="preserve"> </w:t>
      </w:r>
      <w:r>
        <w:t>к</w:t>
      </w:r>
      <w:r>
        <w:rPr>
          <w:spacing w:val="-2"/>
        </w:rPr>
        <w:t xml:space="preserve"> </w:t>
      </w:r>
      <w:r>
        <w:t>реализации</w:t>
      </w:r>
      <w:r>
        <w:rPr>
          <w:spacing w:val="-3"/>
        </w:rPr>
        <w:t xml:space="preserve"> </w:t>
      </w:r>
      <w:r>
        <w:t>в</w:t>
      </w:r>
      <w:r>
        <w:rPr>
          <w:spacing w:val="-4"/>
        </w:rPr>
        <w:t xml:space="preserve"> </w:t>
      </w:r>
      <w:r>
        <w:t>отчетном</w:t>
      </w:r>
      <w:r>
        <w:rPr>
          <w:spacing w:val="-3"/>
        </w:rPr>
        <w:t xml:space="preserve"> </w:t>
      </w:r>
      <w:r>
        <w:rPr>
          <w:spacing w:val="-2"/>
        </w:rPr>
        <w:t>году.</w:t>
      </w:r>
    </w:p>
    <w:p w14:paraId="6C050000">
      <w:pPr>
        <w:pStyle w:val="Style_2"/>
        <w:tabs>
          <w:tab w:leader="none" w:pos="3025" w:val="left"/>
          <w:tab w:leader="none" w:pos="4865" w:val="left"/>
          <w:tab w:leader="none" w:pos="6428" w:val="left"/>
          <w:tab w:leader="none" w:pos="7724" w:val="left"/>
          <w:tab w:leader="none" w:pos="9502" w:val="left"/>
          <w:tab w:leader="none" w:pos="10000" w:val="left"/>
          <w:tab w:leader="none" w:pos="11482" w:val="left"/>
          <w:tab w:leader="none" w:pos="12861" w:val="left"/>
          <w:tab w:leader="none" w:pos="13309" w:val="left"/>
          <w:tab w:leader="none" w:pos="15012" w:val="left"/>
        </w:tabs>
        <w:ind w:firstLine="851"/>
        <w:jc w:val="both"/>
      </w:pPr>
      <w:r>
        <w:t xml:space="preserve">Основное мероприятие считается выполненным в полном объеме при достижении следующих результатов: </w:t>
      </w:r>
      <w:r>
        <w:rPr>
          <w:spacing w:val="-2"/>
        </w:rPr>
        <w:t>основное</w:t>
      </w:r>
      <w:r>
        <w:t xml:space="preserve"> </w:t>
      </w:r>
      <w:r>
        <w:rPr>
          <w:spacing w:val="-2"/>
        </w:rPr>
        <w:t>мероприятие,</w:t>
      </w:r>
      <w:r>
        <w:t xml:space="preserve"> </w:t>
      </w:r>
      <w:r>
        <w:rPr>
          <w:spacing w:val="-2"/>
        </w:rPr>
        <w:t>результаты</w:t>
      </w:r>
      <w:r>
        <w:t xml:space="preserve"> </w:t>
      </w:r>
      <w:r>
        <w:rPr>
          <w:spacing w:val="-2"/>
        </w:rPr>
        <w:t>которого</w:t>
      </w:r>
      <w:r>
        <w:t xml:space="preserve"> </w:t>
      </w:r>
      <w:r>
        <w:rPr>
          <w:spacing w:val="-2"/>
        </w:rPr>
        <w:t>оцениваются</w:t>
      </w:r>
      <w:r>
        <w:t xml:space="preserve"> </w:t>
      </w:r>
      <w:r>
        <w:rPr>
          <w:spacing w:val="-5"/>
        </w:rPr>
        <w:t>на</w:t>
      </w:r>
      <w:r>
        <w:t xml:space="preserve"> </w:t>
      </w:r>
      <w:r>
        <w:rPr>
          <w:spacing w:val="-2"/>
        </w:rPr>
        <w:t>основании</w:t>
      </w:r>
      <w:r>
        <w:t xml:space="preserve"> </w:t>
      </w:r>
      <w:r>
        <w:rPr>
          <w:spacing w:val="-2"/>
        </w:rPr>
        <w:t>числовых</w:t>
      </w:r>
      <w:r>
        <w:t xml:space="preserve"> </w:t>
      </w:r>
      <w:r>
        <w:rPr>
          <w:spacing w:val="-5"/>
        </w:rPr>
        <w:t>(в</w:t>
      </w:r>
      <w:r>
        <w:t xml:space="preserve"> </w:t>
      </w:r>
      <w:r>
        <w:rPr>
          <w:spacing w:val="-2"/>
        </w:rPr>
        <w:t>абсолютных</w:t>
      </w:r>
      <w:r>
        <w:t xml:space="preserve"> </w:t>
      </w:r>
      <w:r>
        <w:rPr>
          <w:spacing w:val="-5"/>
        </w:rPr>
        <w:t>или</w:t>
      </w:r>
      <w:r>
        <w:t xml:space="preserve"> </w:t>
      </w:r>
      <w:r>
        <w:t>относительных величинах) значений показателей (индикаторов), считается выполненным в полном объеме, если фактически</w:t>
      </w:r>
      <w:r>
        <w:rPr>
          <w:spacing w:val="-15"/>
        </w:rPr>
        <w:t xml:space="preserve"> </w:t>
      </w:r>
      <w:r>
        <w:t>достигнутое</w:t>
      </w:r>
      <w:r>
        <w:rPr>
          <w:spacing w:val="-15"/>
        </w:rPr>
        <w:t xml:space="preserve"> </w:t>
      </w:r>
      <w:r>
        <w:t>значение</w:t>
      </w:r>
      <w:r>
        <w:rPr>
          <w:spacing w:val="-15"/>
        </w:rPr>
        <w:t xml:space="preserve"> </w:t>
      </w:r>
      <w:r>
        <w:t>показателя</w:t>
      </w:r>
      <w:r>
        <w:rPr>
          <w:spacing w:val="-15"/>
        </w:rPr>
        <w:t xml:space="preserve"> </w:t>
      </w:r>
      <w:r>
        <w:t>(индикатора)</w:t>
      </w:r>
      <w:r>
        <w:rPr>
          <w:spacing w:val="-15"/>
        </w:rPr>
        <w:t xml:space="preserve"> </w:t>
      </w:r>
      <w:r>
        <w:t>составляет</w:t>
      </w:r>
      <w:r>
        <w:rPr>
          <w:spacing w:val="-15"/>
        </w:rPr>
        <w:t xml:space="preserve"> </w:t>
      </w:r>
      <w:r>
        <w:t>85</w:t>
      </w:r>
      <w:r>
        <w:rPr>
          <w:spacing w:val="-15"/>
        </w:rPr>
        <w:t xml:space="preserve"> </w:t>
      </w:r>
      <w:r>
        <w:t>и</w:t>
      </w:r>
      <w:r>
        <w:rPr>
          <w:spacing w:val="-15"/>
        </w:rPr>
        <w:t xml:space="preserve"> </w:t>
      </w:r>
      <w:r>
        <w:t>выше</w:t>
      </w:r>
      <w:r>
        <w:rPr>
          <w:spacing w:val="-15"/>
        </w:rPr>
        <w:t xml:space="preserve"> </w:t>
      </w:r>
      <w:r>
        <w:t>процентов</w:t>
      </w:r>
      <w:r>
        <w:rPr>
          <w:spacing w:val="-15"/>
        </w:rPr>
        <w:t xml:space="preserve"> </w:t>
      </w:r>
      <w:r>
        <w:t>от</w:t>
      </w:r>
      <w:r>
        <w:rPr>
          <w:spacing w:val="-15"/>
        </w:rPr>
        <w:t xml:space="preserve"> </w:t>
      </w:r>
      <w:r>
        <w:t>запланированного.</w:t>
      </w:r>
      <w:r>
        <w:rPr>
          <w:spacing w:val="-15"/>
        </w:rPr>
        <w:t xml:space="preserve"> </w:t>
      </w:r>
      <w:r>
        <w:t>В</w:t>
      </w:r>
      <w:r>
        <w:rPr>
          <w:spacing w:val="-15"/>
        </w:rPr>
        <w:t xml:space="preserve"> </w:t>
      </w:r>
      <w:r>
        <w:t>том случае, когда для описания результатов реализации основного мероприятия используется несколько показателей (индикаторов),</w:t>
      </w:r>
      <w:r>
        <w:rPr>
          <w:spacing w:val="-10"/>
        </w:rPr>
        <w:t xml:space="preserve"> </w:t>
      </w:r>
      <w:r>
        <w:t>для</w:t>
      </w:r>
      <w:r>
        <w:rPr>
          <w:spacing w:val="-10"/>
        </w:rPr>
        <w:t xml:space="preserve"> </w:t>
      </w:r>
      <w:r>
        <w:t>оценки</w:t>
      </w:r>
      <w:r>
        <w:rPr>
          <w:spacing w:val="-10"/>
        </w:rPr>
        <w:t xml:space="preserve"> </w:t>
      </w:r>
      <w:r>
        <w:t>степени</w:t>
      </w:r>
      <w:r>
        <w:rPr>
          <w:spacing w:val="-10"/>
        </w:rPr>
        <w:t xml:space="preserve"> </w:t>
      </w:r>
      <w:r>
        <w:t>реализации</w:t>
      </w:r>
      <w:r>
        <w:rPr>
          <w:spacing w:val="-10"/>
        </w:rPr>
        <w:t xml:space="preserve"> </w:t>
      </w:r>
      <w:r>
        <w:t>основного</w:t>
      </w:r>
      <w:r>
        <w:rPr>
          <w:spacing w:val="-10"/>
        </w:rPr>
        <w:t xml:space="preserve"> </w:t>
      </w:r>
      <w:r>
        <w:t>мероприятия</w:t>
      </w:r>
      <w:r>
        <w:rPr>
          <w:spacing w:val="-11"/>
        </w:rPr>
        <w:t xml:space="preserve"> </w:t>
      </w:r>
      <w:r>
        <w:t>используется</w:t>
      </w:r>
      <w:r>
        <w:rPr>
          <w:spacing w:val="-10"/>
        </w:rPr>
        <w:t xml:space="preserve"> </w:t>
      </w:r>
      <w:r>
        <w:t>среднее</w:t>
      </w:r>
      <w:r>
        <w:rPr>
          <w:spacing w:val="-10"/>
        </w:rPr>
        <w:t xml:space="preserve"> </w:t>
      </w:r>
      <w:r>
        <w:t>арифметическое</w:t>
      </w:r>
      <w:r>
        <w:rPr>
          <w:spacing w:val="-11"/>
        </w:rPr>
        <w:t xml:space="preserve"> </w:t>
      </w:r>
      <w:r>
        <w:t>значение отношений фактических значений показателей к запланированным значениям;</w:t>
      </w:r>
    </w:p>
    <w:p w14:paraId="6D050000">
      <w:pPr>
        <w:pStyle w:val="Style_2"/>
        <w:ind w:firstLine="851"/>
        <w:jc w:val="both"/>
      </w:pPr>
      <w:r>
        <w:t>по</w:t>
      </w:r>
      <w:r>
        <w:t xml:space="preserve"> иным основным мероприятиям результаты реализации оцениваются как наступление или </w:t>
      </w:r>
      <w:r>
        <w:t>не наступление</w:t>
      </w:r>
      <w:r>
        <w:t xml:space="preserve"> контрольного события (событий) и (или) достижение качественного результата.</w:t>
      </w:r>
    </w:p>
    <w:p w14:paraId="6E050000">
      <w:pPr>
        <w:pStyle w:val="Style_2"/>
        <w:ind w:firstLine="851"/>
        <w:jc w:val="both"/>
      </w:pPr>
      <w:r>
        <w:t>Если</w:t>
      </w:r>
      <w:r>
        <w:rPr>
          <w:spacing w:val="40"/>
        </w:rPr>
        <w:t xml:space="preserve"> </w:t>
      </w:r>
      <w:r>
        <w:t>суммарная</w:t>
      </w:r>
      <w:r>
        <w:rPr>
          <w:spacing w:val="40"/>
        </w:rPr>
        <w:t xml:space="preserve"> </w:t>
      </w:r>
      <w:r>
        <w:t>оценка</w:t>
      </w:r>
      <w:r>
        <w:rPr>
          <w:spacing w:val="40"/>
        </w:rPr>
        <w:t xml:space="preserve"> </w:t>
      </w:r>
      <w:r>
        <w:t>степени</w:t>
      </w:r>
      <w:r>
        <w:rPr>
          <w:spacing w:val="40"/>
        </w:rPr>
        <w:t xml:space="preserve"> </w:t>
      </w:r>
      <w:r>
        <w:t>реализации</w:t>
      </w:r>
      <w:r>
        <w:rPr>
          <w:spacing w:val="40"/>
        </w:rPr>
        <w:t xml:space="preserve"> </w:t>
      </w:r>
      <w:r>
        <w:t>основных</w:t>
      </w:r>
      <w:r>
        <w:rPr>
          <w:spacing w:val="40"/>
        </w:rPr>
        <w:t xml:space="preserve"> </w:t>
      </w:r>
      <w:r>
        <w:t>мероприятий</w:t>
      </w:r>
      <w:r>
        <w:rPr>
          <w:spacing w:val="40"/>
        </w:rPr>
        <w:t xml:space="preserve"> </w:t>
      </w:r>
      <w:r>
        <w:t>программы</w:t>
      </w:r>
      <w:r>
        <w:rPr>
          <w:spacing w:val="40"/>
        </w:rPr>
        <w:t xml:space="preserve"> </w:t>
      </w:r>
      <w:r>
        <w:t>составляет</w:t>
      </w:r>
      <w:r>
        <w:rPr>
          <w:spacing w:val="40"/>
        </w:rPr>
        <w:t xml:space="preserve"> </w:t>
      </w:r>
      <w:r>
        <w:t>0,85</w:t>
      </w:r>
      <w:r>
        <w:rPr>
          <w:spacing w:val="40"/>
        </w:rPr>
        <w:t xml:space="preserve"> </w:t>
      </w:r>
      <w:r>
        <w:t>и</w:t>
      </w:r>
      <w:r>
        <w:rPr>
          <w:spacing w:val="40"/>
        </w:rPr>
        <w:t xml:space="preserve"> </w:t>
      </w:r>
      <w:r>
        <w:t>выше,</w:t>
      </w:r>
      <w:r>
        <w:rPr>
          <w:spacing w:val="40"/>
        </w:rPr>
        <w:t xml:space="preserve"> </w:t>
      </w:r>
      <w:r>
        <w:t>это</w:t>
      </w:r>
      <w:r>
        <w:rPr>
          <w:spacing w:val="80"/>
        </w:rPr>
        <w:t xml:space="preserve"> </w:t>
      </w:r>
      <w:r>
        <w:t>характеризует</w:t>
      </w:r>
      <w:r>
        <w:rPr>
          <w:spacing w:val="-5"/>
        </w:rPr>
        <w:t xml:space="preserve"> </w:t>
      </w:r>
      <w:r>
        <w:t>высокий</w:t>
      </w:r>
      <w:r>
        <w:rPr>
          <w:spacing w:val="-5"/>
        </w:rPr>
        <w:t xml:space="preserve"> </w:t>
      </w:r>
      <w:r>
        <w:t>уровень</w:t>
      </w:r>
      <w:r>
        <w:rPr>
          <w:spacing w:val="-5"/>
        </w:rPr>
        <w:t xml:space="preserve"> </w:t>
      </w:r>
      <w:r>
        <w:t>эффективности</w:t>
      </w:r>
      <w:r>
        <w:rPr>
          <w:spacing w:val="-5"/>
        </w:rPr>
        <w:t xml:space="preserve"> </w:t>
      </w:r>
      <w:r>
        <w:t>реализации</w:t>
      </w:r>
      <w:r>
        <w:rPr>
          <w:spacing w:val="-5"/>
        </w:rPr>
        <w:t xml:space="preserve"> </w:t>
      </w:r>
      <w:r>
        <w:t>программы</w:t>
      </w:r>
      <w:r>
        <w:rPr>
          <w:spacing w:val="-5"/>
        </w:rPr>
        <w:t xml:space="preserve"> </w:t>
      </w:r>
      <w:r>
        <w:t>по</w:t>
      </w:r>
      <w:r>
        <w:rPr>
          <w:spacing w:val="-5"/>
        </w:rPr>
        <w:t xml:space="preserve"> </w:t>
      </w:r>
      <w:r>
        <w:t>степени</w:t>
      </w:r>
      <w:r>
        <w:rPr>
          <w:spacing w:val="-5"/>
        </w:rPr>
        <w:t xml:space="preserve"> </w:t>
      </w:r>
      <w:r>
        <w:t>реализации</w:t>
      </w:r>
      <w:r>
        <w:rPr>
          <w:spacing w:val="-5"/>
        </w:rPr>
        <w:t xml:space="preserve"> </w:t>
      </w:r>
      <w:r>
        <w:t>основных</w:t>
      </w:r>
      <w:r>
        <w:rPr>
          <w:spacing w:val="-5"/>
        </w:rPr>
        <w:t xml:space="preserve"> </w:t>
      </w:r>
      <w:r>
        <w:t>мероприятий. Если</w:t>
      </w:r>
      <w:r>
        <w:rPr>
          <w:spacing w:val="40"/>
        </w:rPr>
        <w:t xml:space="preserve"> </w:t>
      </w:r>
      <w:r>
        <w:t>суммарная</w:t>
      </w:r>
      <w:r>
        <w:rPr>
          <w:spacing w:val="40"/>
        </w:rPr>
        <w:t xml:space="preserve"> </w:t>
      </w:r>
      <w:r>
        <w:t>оценка</w:t>
      </w:r>
      <w:r>
        <w:rPr>
          <w:spacing w:val="40"/>
        </w:rPr>
        <w:t xml:space="preserve"> </w:t>
      </w:r>
      <w:r>
        <w:t>степени</w:t>
      </w:r>
      <w:r>
        <w:rPr>
          <w:spacing w:val="40"/>
        </w:rPr>
        <w:t xml:space="preserve"> </w:t>
      </w:r>
      <w:r>
        <w:t>реализации</w:t>
      </w:r>
      <w:r>
        <w:rPr>
          <w:spacing w:val="40"/>
        </w:rPr>
        <w:t xml:space="preserve"> </w:t>
      </w:r>
      <w:r>
        <w:t>основных</w:t>
      </w:r>
      <w:r>
        <w:rPr>
          <w:spacing w:val="40"/>
        </w:rPr>
        <w:t xml:space="preserve"> </w:t>
      </w:r>
      <w:r>
        <w:t>мероприятий</w:t>
      </w:r>
      <w:r>
        <w:rPr>
          <w:spacing w:val="40"/>
        </w:rPr>
        <w:t xml:space="preserve"> </w:t>
      </w:r>
      <w:r>
        <w:t>программы</w:t>
      </w:r>
      <w:r>
        <w:rPr>
          <w:spacing w:val="40"/>
        </w:rPr>
        <w:t xml:space="preserve"> </w:t>
      </w:r>
      <w:r>
        <w:t>составляет</w:t>
      </w:r>
      <w:r>
        <w:rPr>
          <w:spacing w:val="40"/>
        </w:rPr>
        <w:t xml:space="preserve"> </w:t>
      </w:r>
      <w:r>
        <w:t>от</w:t>
      </w:r>
      <w:r>
        <w:rPr>
          <w:spacing w:val="40"/>
        </w:rPr>
        <w:t xml:space="preserve"> </w:t>
      </w:r>
      <w:r>
        <w:t>0,65</w:t>
      </w:r>
      <w:r>
        <w:rPr>
          <w:spacing w:val="40"/>
        </w:rPr>
        <w:t xml:space="preserve"> </w:t>
      </w:r>
      <w:r>
        <w:t>до</w:t>
      </w:r>
      <w:r>
        <w:rPr>
          <w:spacing w:val="40"/>
        </w:rPr>
        <w:t xml:space="preserve"> </w:t>
      </w:r>
      <w:r>
        <w:t>0,85,</w:t>
      </w:r>
      <w:r>
        <w:rPr>
          <w:spacing w:val="40"/>
        </w:rPr>
        <w:t xml:space="preserve"> </w:t>
      </w:r>
      <w:r>
        <w:t>это</w:t>
      </w:r>
      <w:r>
        <w:t xml:space="preserve"> </w:t>
      </w:r>
      <w:r>
        <w:t xml:space="preserve">характеризует удовлетворительный уровень эффективности реализации программы по степени реализации основных </w:t>
      </w:r>
      <w:r>
        <w:rPr>
          <w:spacing w:val="-2"/>
        </w:rPr>
        <w:t>мероприятий.</w:t>
      </w:r>
    </w:p>
    <w:p w14:paraId="6F050000">
      <w:pPr>
        <w:pStyle w:val="Style_2"/>
        <w:ind w:firstLine="851"/>
        <w:jc w:val="both"/>
      </w:pPr>
      <w:r>
        <w:t>Если</w:t>
      </w:r>
      <w:r>
        <w:rPr>
          <w:spacing w:val="80"/>
        </w:rPr>
        <w:t xml:space="preserve"> </w:t>
      </w:r>
      <w:r>
        <w:t>суммарная</w:t>
      </w:r>
      <w:r>
        <w:rPr>
          <w:spacing w:val="80"/>
        </w:rPr>
        <w:t xml:space="preserve"> </w:t>
      </w:r>
      <w:r>
        <w:t>оценка</w:t>
      </w:r>
      <w:r>
        <w:rPr>
          <w:spacing w:val="80"/>
        </w:rPr>
        <w:t xml:space="preserve"> </w:t>
      </w:r>
      <w:r>
        <w:t>степени</w:t>
      </w:r>
      <w:r>
        <w:rPr>
          <w:spacing w:val="80"/>
        </w:rPr>
        <w:t xml:space="preserve"> </w:t>
      </w:r>
      <w:r>
        <w:t>реализации</w:t>
      </w:r>
      <w:r>
        <w:rPr>
          <w:spacing w:val="80"/>
        </w:rPr>
        <w:t xml:space="preserve"> </w:t>
      </w:r>
      <w:r>
        <w:t>основных</w:t>
      </w:r>
      <w:r>
        <w:rPr>
          <w:spacing w:val="80"/>
        </w:rPr>
        <w:t xml:space="preserve"> </w:t>
      </w:r>
      <w:r>
        <w:t>мероприятий</w:t>
      </w:r>
      <w:r>
        <w:rPr>
          <w:spacing w:val="80"/>
        </w:rPr>
        <w:t xml:space="preserve"> </w:t>
      </w:r>
      <w:r>
        <w:t>программы</w:t>
      </w:r>
      <w:r>
        <w:rPr>
          <w:spacing w:val="80"/>
        </w:rPr>
        <w:t xml:space="preserve"> </w:t>
      </w:r>
      <w:r>
        <w:t>составляет</w:t>
      </w:r>
      <w:r>
        <w:rPr>
          <w:spacing w:val="80"/>
        </w:rPr>
        <w:t xml:space="preserve"> </w:t>
      </w:r>
      <w:r>
        <w:t>менее</w:t>
      </w:r>
      <w:r>
        <w:rPr>
          <w:spacing w:val="80"/>
        </w:rPr>
        <w:t xml:space="preserve"> </w:t>
      </w:r>
      <w:r>
        <w:t>0,65,</w:t>
      </w:r>
      <w:r>
        <w:rPr>
          <w:spacing w:val="80"/>
        </w:rPr>
        <w:t xml:space="preserve"> </w:t>
      </w:r>
      <w:r>
        <w:t>это характеризует низкий уровень эффективности реализации программы по степени реализации основных мероприятий.</w:t>
      </w:r>
    </w:p>
    <w:p w14:paraId="70050000">
      <w:pPr>
        <w:pStyle w:val="Style_2"/>
        <w:ind w:firstLine="851"/>
        <w:jc w:val="both"/>
      </w:pPr>
    </w:p>
    <w:p w14:paraId="71050000">
      <w:pPr>
        <w:pStyle w:val="Style_3"/>
        <w:tabs>
          <w:tab w:leader="none" w:pos="426" w:val="left"/>
          <w:tab w:leader="none" w:pos="14742" w:val="left"/>
        </w:tabs>
        <w:ind w:right="-28"/>
        <w:jc w:val="center"/>
      </w:pPr>
      <w:r>
        <w:t>Уровень</w:t>
      </w:r>
      <w:r>
        <w:rPr>
          <w:spacing w:val="-17"/>
        </w:rPr>
        <w:t xml:space="preserve"> </w:t>
      </w:r>
      <w:r>
        <w:t>реализации</w:t>
      </w:r>
      <w:r>
        <w:rPr>
          <w:spacing w:val="-17"/>
        </w:rPr>
        <w:t xml:space="preserve"> </w:t>
      </w:r>
      <w:r>
        <w:rPr>
          <w:color w:val="26282F"/>
        </w:rPr>
        <w:t xml:space="preserve">программы </w:t>
      </w:r>
      <w:r>
        <w:t>в целом оценивается по формуле:</w:t>
      </w:r>
    </w:p>
    <w:p w14:paraId="72050000">
      <w:pPr>
        <w:pStyle w:val="Style_2"/>
        <w:tabs>
          <w:tab w:leader="none" w:pos="14742" w:val="left"/>
        </w:tabs>
        <w:ind w:right="-28"/>
        <w:jc w:val="center"/>
        <w:rPr>
          <w:b w:val="1"/>
        </w:rPr>
      </w:pPr>
    </w:p>
    <w:p w14:paraId="73050000">
      <w:pPr>
        <w:pStyle w:val="Style_2"/>
        <w:ind/>
        <w:jc w:val="center"/>
      </w:pPr>
      <w:r>
        <w:t>УР</w:t>
      </w:r>
      <w:r>
        <w:rPr>
          <w:vertAlign w:val="subscript"/>
        </w:rPr>
        <w:t>пр</w:t>
      </w:r>
      <w:r>
        <w:rPr>
          <w:spacing w:val="-1"/>
        </w:rPr>
        <w:t xml:space="preserve"> </w:t>
      </w:r>
      <w:r>
        <w:t>= Э</w:t>
      </w:r>
      <w:r>
        <w:rPr>
          <w:vertAlign w:val="subscript"/>
        </w:rPr>
        <w:t>0</w:t>
      </w:r>
      <w:r>
        <w:t xml:space="preserve"> * 0,6</w:t>
      </w:r>
      <w:r>
        <w:rPr>
          <w:spacing w:val="-1"/>
        </w:rPr>
        <w:t xml:space="preserve"> </w:t>
      </w:r>
      <w:r>
        <w:t xml:space="preserve">+ </w:t>
      </w:r>
      <w:r>
        <w:t>СР</w:t>
      </w:r>
      <w:r>
        <w:rPr>
          <w:vertAlign w:val="subscript"/>
        </w:rPr>
        <w:t>ом</w:t>
      </w:r>
      <w:r>
        <w:rPr>
          <w:spacing w:val="-1"/>
        </w:rPr>
        <w:t xml:space="preserve"> </w:t>
      </w:r>
      <w:r>
        <w:t xml:space="preserve">* </w:t>
      </w:r>
      <w:r>
        <w:rPr>
          <w:spacing w:val="-5"/>
        </w:rPr>
        <w:t>0,4</w:t>
      </w:r>
    </w:p>
    <w:p w14:paraId="74050000">
      <w:pPr>
        <w:pStyle w:val="Style_2"/>
      </w:pPr>
    </w:p>
    <w:p w14:paraId="75050000">
      <w:pPr>
        <w:pStyle w:val="Style_2"/>
        <w:ind w:firstLine="851" w:right="-28"/>
      </w:pPr>
      <w:r>
        <w:t xml:space="preserve">Уровень реализации программы в отчетном году признается высоким - если </w:t>
      </w:r>
      <w:r>
        <w:t>УР</w:t>
      </w:r>
      <w:r>
        <w:rPr>
          <w:vertAlign w:val="subscript"/>
        </w:rPr>
        <w:t>пр</w:t>
      </w:r>
      <w:r>
        <w:t xml:space="preserve"> составляет 0,90 и выше.</w:t>
      </w:r>
      <w:r>
        <w:rPr>
          <w:spacing w:val="40"/>
        </w:rPr>
        <w:t xml:space="preserve"> </w:t>
      </w:r>
      <w:r>
        <w:t>Уровень</w:t>
      </w:r>
      <w:r>
        <w:rPr>
          <w:spacing w:val="-9"/>
        </w:rPr>
        <w:t xml:space="preserve"> </w:t>
      </w:r>
      <w:r>
        <w:t>реализации</w:t>
      </w:r>
      <w:r>
        <w:rPr>
          <w:spacing w:val="-9"/>
        </w:rPr>
        <w:t xml:space="preserve"> </w:t>
      </w:r>
      <w:r>
        <w:t>программы</w:t>
      </w:r>
      <w:r>
        <w:rPr>
          <w:spacing w:val="-9"/>
        </w:rPr>
        <w:t xml:space="preserve"> </w:t>
      </w:r>
      <w:r>
        <w:t>в</w:t>
      </w:r>
      <w:r>
        <w:rPr>
          <w:spacing w:val="-9"/>
        </w:rPr>
        <w:t xml:space="preserve"> </w:t>
      </w:r>
      <w:r>
        <w:t>отчетном</w:t>
      </w:r>
      <w:r>
        <w:rPr>
          <w:spacing w:val="-9"/>
        </w:rPr>
        <w:t xml:space="preserve"> </w:t>
      </w:r>
      <w:r>
        <w:t>году</w:t>
      </w:r>
      <w:r>
        <w:rPr>
          <w:spacing w:val="-9"/>
        </w:rPr>
        <w:t xml:space="preserve"> </w:t>
      </w:r>
      <w:r>
        <w:t>признается</w:t>
      </w:r>
      <w:r>
        <w:rPr>
          <w:spacing w:val="-9"/>
        </w:rPr>
        <w:t xml:space="preserve"> </w:t>
      </w:r>
      <w:r>
        <w:t>удовлетворительным</w:t>
      </w:r>
      <w:r>
        <w:rPr>
          <w:spacing w:val="-9"/>
        </w:rPr>
        <w:t xml:space="preserve"> </w:t>
      </w:r>
      <w:r>
        <w:t>-</w:t>
      </w:r>
      <w:r>
        <w:rPr>
          <w:spacing w:val="-9"/>
        </w:rPr>
        <w:t xml:space="preserve"> </w:t>
      </w:r>
      <w:r>
        <w:t>если</w:t>
      </w:r>
      <w:r>
        <w:rPr>
          <w:spacing w:val="-9"/>
        </w:rPr>
        <w:t xml:space="preserve"> </w:t>
      </w:r>
      <w:r>
        <w:t>УР</w:t>
      </w:r>
      <w:r>
        <w:rPr>
          <w:vertAlign w:val="subscript"/>
        </w:rPr>
        <w:t>пр</w:t>
      </w:r>
      <w:r>
        <w:rPr>
          <w:spacing w:val="-9"/>
        </w:rPr>
        <w:t xml:space="preserve"> </w:t>
      </w:r>
      <w:r>
        <w:t>составляет</w:t>
      </w:r>
      <w:r>
        <w:rPr>
          <w:spacing w:val="-9"/>
        </w:rPr>
        <w:t xml:space="preserve"> </w:t>
      </w:r>
      <w:r>
        <w:t>от</w:t>
      </w:r>
      <w:r>
        <w:rPr>
          <w:spacing w:val="-9"/>
        </w:rPr>
        <w:t xml:space="preserve"> </w:t>
      </w:r>
      <w:r>
        <w:t>0,65</w:t>
      </w:r>
      <w:r>
        <w:rPr>
          <w:spacing w:val="-9"/>
        </w:rPr>
        <w:t xml:space="preserve"> </w:t>
      </w:r>
      <w:r>
        <w:t>до</w:t>
      </w:r>
    </w:p>
    <w:p w14:paraId="76050000">
      <w:pPr>
        <w:pStyle w:val="Style_2"/>
        <w:ind w:firstLine="851" w:right="-28"/>
        <w:rPr>
          <w:b w:val="1"/>
        </w:rPr>
      </w:pPr>
      <w:r>
        <w:t>Уровень</w:t>
      </w:r>
      <w:r>
        <w:rPr>
          <w:spacing w:val="-3"/>
        </w:rPr>
        <w:t xml:space="preserve"> </w:t>
      </w:r>
      <w:r>
        <w:t>реализации</w:t>
      </w:r>
      <w:r>
        <w:rPr>
          <w:spacing w:val="-3"/>
        </w:rPr>
        <w:t xml:space="preserve"> </w:t>
      </w:r>
      <w:r>
        <w:t>программы</w:t>
      </w:r>
      <w:r>
        <w:rPr>
          <w:spacing w:val="-2"/>
        </w:rPr>
        <w:t xml:space="preserve"> </w:t>
      </w:r>
      <w:r>
        <w:t>в</w:t>
      </w:r>
      <w:r>
        <w:rPr>
          <w:spacing w:val="-2"/>
        </w:rPr>
        <w:t xml:space="preserve"> </w:t>
      </w:r>
      <w:r>
        <w:t>отчетном</w:t>
      </w:r>
      <w:r>
        <w:rPr>
          <w:spacing w:val="-2"/>
        </w:rPr>
        <w:t xml:space="preserve"> </w:t>
      </w:r>
      <w:r>
        <w:t>году</w:t>
      </w:r>
      <w:r>
        <w:rPr>
          <w:spacing w:val="-2"/>
        </w:rPr>
        <w:t xml:space="preserve"> </w:t>
      </w:r>
      <w:r>
        <w:t>признается</w:t>
      </w:r>
      <w:r>
        <w:rPr>
          <w:spacing w:val="-1"/>
        </w:rPr>
        <w:t xml:space="preserve"> </w:t>
      </w:r>
      <w:r>
        <w:t>низким</w:t>
      </w:r>
      <w:r>
        <w:rPr>
          <w:spacing w:val="-2"/>
        </w:rPr>
        <w:t xml:space="preserve"> </w:t>
      </w:r>
      <w:r>
        <w:t>-</w:t>
      </w:r>
      <w:r>
        <w:rPr>
          <w:spacing w:val="-2"/>
        </w:rPr>
        <w:t xml:space="preserve"> </w:t>
      </w:r>
      <w:r>
        <w:t>если</w:t>
      </w:r>
      <w:r>
        <w:rPr>
          <w:spacing w:val="-2"/>
        </w:rPr>
        <w:t xml:space="preserve"> </w:t>
      </w:r>
      <w:r>
        <w:t>УР</w:t>
      </w:r>
      <w:r>
        <w:rPr>
          <w:vertAlign w:val="subscript"/>
        </w:rPr>
        <w:t>пр</w:t>
      </w:r>
      <w:r>
        <w:rPr>
          <w:spacing w:val="-2"/>
        </w:rPr>
        <w:t xml:space="preserve"> </w:t>
      </w:r>
      <w:r>
        <w:t>составляет</w:t>
      </w:r>
      <w:r>
        <w:rPr>
          <w:spacing w:val="-2"/>
        </w:rPr>
        <w:t xml:space="preserve"> </w:t>
      </w:r>
      <w:r>
        <w:t>менее</w:t>
      </w:r>
      <w:r>
        <w:rPr>
          <w:spacing w:val="-1"/>
        </w:rPr>
        <w:t xml:space="preserve"> </w:t>
      </w:r>
      <w:r>
        <w:rPr>
          <w:spacing w:val="-2"/>
        </w:rPr>
        <w:t>0,65.</w:t>
      </w:r>
    </w:p>
    <w:sectPr>
      <w:headerReference r:id="rId4" w:type="default"/>
      <w:pgSz w:h="11910" w:orient="landscape" w:w="16840"/>
      <w:pgMar w:bottom="280" w:footer="720" w:gutter="0" w:header="720" w:left="1701" w:right="822" w:top="106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w:fldChar w:fldCharType="begin"/>
    </w:r>
    <w:r>
      <w:instrText xml:space="preserve">PAGE </w:instrText>
    </w:r>
    <w:r>
      <w:fldChar w:fldCharType="separate"/>
    </w:r>
    <w:r>
      <w:t xml:space="preserve"> </w:t>
    </w:r>
    <w: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pPr>
    <w:r>
      <w:fldChar w:fldCharType="begin"/>
    </w:r>
    <w:r>
      <w:instrText xml:space="preserve">PAGE </w:instrText>
    </w:r>
    <w:r>
      <w:fldChar w:fldCharType="separate"/>
    </w:r>
    <w:r>
      <w:t xml:space="preserve"> </w:t>
    </w:r>
    <w:r>
      <w:fldChar w:fldCharType="end"/>
    </w:r>
  </w:p>
  <w:p w14:paraId="04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pPr>
    <w:r>
      <w:fldChar w:fldCharType="begin"/>
    </w:r>
    <w:r>
      <w:instrText xml:space="preserve">PAGE </w:instrText>
    </w:r>
    <w:r>
      <w:fldChar w:fldCharType="separate"/>
    </w:r>
    <w:r>
      <w:t xml:space="preserve"> </w:t>
    </w:r>
    <w:r>
      <w:fldChar w:fldCharType="end"/>
    </w:r>
  </w:p>
  <w:p w14:paraId="06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pPr>
    <w:r>
      <w:fldChar w:fldCharType="begin"/>
    </w:r>
    <w:r>
      <w:instrText xml:space="preserve">PAGE </w:instrText>
    </w:r>
    <w:r>
      <w:fldChar w:fldCharType="separate"/>
    </w:r>
    <w:r>
      <w:t xml:space="preserve"> </w:t>
    </w:r>
    <w:r>
      <w:fldChar w:fldCharType="end"/>
    </w:r>
  </w:p>
  <w:p w14:paraId="08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707" w:left="1"/>
      </w:pPr>
      <w:rPr>
        <w:rFonts w:ascii="Times New Roman" w:hAnsi="Times New Roman"/>
        <w:b w:val="0"/>
        <w:i w:val="0"/>
        <w:spacing w:val="0"/>
        <w:sz w:val="28"/>
      </w:rPr>
    </w:lvl>
    <w:lvl w:ilvl="1">
      <w:start w:val="1"/>
      <w:numFmt w:val="upperRoman"/>
      <w:lvlText w:val="%2."/>
      <w:lvlJc w:val="left"/>
      <w:pPr>
        <w:ind w:hanging="514" w:left="5051"/>
        <w:jc w:val="right"/>
      </w:pPr>
      <w:rPr>
        <w:spacing w:val="0"/>
      </w:rPr>
    </w:lvl>
    <w:lvl w:ilvl="2">
      <w:start w:val="1"/>
      <w:numFmt w:val="upperRoman"/>
      <w:lvlText w:val="%3."/>
      <w:lvlJc w:val="left"/>
      <w:pPr>
        <w:ind w:hanging="249" w:left="5596"/>
        <w:jc w:val="right"/>
      </w:pPr>
      <w:rPr>
        <w:rFonts w:ascii="Times New Roman" w:hAnsi="Times New Roman"/>
        <w:b w:val="1"/>
        <w:i w:val="0"/>
        <w:spacing w:val="0"/>
        <w:sz w:val="28"/>
      </w:rPr>
    </w:lvl>
    <w:lvl w:ilvl="3">
      <w:numFmt w:val="bullet"/>
      <w:lvlText w:val="•"/>
      <w:lvlJc w:val="left"/>
      <w:pPr>
        <w:ind w:hanging="249" w:left="8082"/>
      </w:pPr>
    </w:lvl>
    <w:lvl w:ilvl="4">
      <w:numFmt w:val="bullet"/>
      <w:lvlText w:val="•"/>
      <w:lvlJc w:val="left"/>
      <w:pPr>
        <w:ind w:hanging="249" w:left="8285"/>
      </w:pPr>
    </w:lvl>
    <w:lvl w:ilvl="5">
      <w:numFmt w:val="bullet"/>
      <w:lvlText w:val="•"/>
      <w:lvlJc w:val="left"/>
      <w:pPr>
        <w:ind w:hanging="249" w:left="8487"/>
      </w:pPr>
    </w:lvl>
    <w:lvl w:ilvl="6">
      <w:numFmt w:val="bullet"/>
      <w:lvlText w:val="•"/>
      <w:lvlJc w:val="left"/>
      <w:pPr>
        <w:ind w:hanging="249" w:left="8690"/>
      </w:pPr>
    </w:lvl>
    <w:lvl w:ilvl="7">
      <w:numFmt w:val="bullet"/>
      <w:lvlText w:val="•"/>
      <w:lvlJc w:val="left"/>
      <w:pPr>
        <w:ind w:hanging="249" w:left="8892"/>
      </w:pPr>
    </w:lvl>
    <w:lvl w:ilvl="8">
      <w:numFmt w:val="bullet"/>
      <w:lvlText w:val="•"/>
      <w:lvlJc w:val="left"/>
      <w:pPr>
        <w:ind w:hanging="249" w:left="9095"/>
      </w:pPr>
    </w:lvl>
  </w:abstractNum>
  <w:abstractNum w:abstractNumId="1">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2">
    <w:lvl w:ilvl="0">
      <w:start w:val="1"/>
      <w:numFmt w:val="bullet"/>
      <w:lvlText w:val=""/>
      <w:lvlJc w:val="left"/>
      <w:pPr>
        <w:ind w:hanging="360" w:left="1571"/>
      </w:pPr>
      <w:rPr>
        <w:rFonts w:ascii="Symbol" w:hAnsi="Symbol"/>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3">
    <w:lvl w:ilvl="0">
      <w:start w:val="1"/>
      <w:numFmt w:val="decimal"/>
      <w:lvlText w:val="%1."/>
      <w:lvlJc w:val="left"/>
      <w:pPr>
        <w:ind w:hanging="360" w:left="1211"/>
      </w:pPr>
    </w:lvl>
    <w:lvl w:ilvl="1">
      <w:start w:val="1"/>
      <w:numFmt w:val="lowerLetter"/>
      <w:lvlText w:val="%2."/>
      <w:lvlJc w:val="left"/>
      <w:pPr>
        <w:ind w:hanging="360" w:left="1931"/>
      </w:pPr>
    </w:lvl>
    <w:lvl w:ilvl="2">
      <w:start w:val="1"/>
      <w:numFmt w:val="lowerRoman"/>
      <w:lvlText w:val="%3."/>
      <w:lvlJc w:val="right"/>
      <w:pPr>
        <w:ind w:hanging="180" w:left="2651"/>
      </w:pPr>
    </w:lvl>
    <w:lvl w:ilvl="3">
      <w:start w:val="1"/>
      <w:numFmt w:val="decimal"/>
      <w:lvlText w:val="%4."/>
      <w:lvlJc w:val="left"/>
      <w:pPr>
        <w:ind w:hanging="360" w:left="3371"/>
      </w:pPr>
    </w:lvl>
    <w:lvl w:ilvl="4">
      <w:start w:val="1"/>
      <w:numFmt w:val="lowerLetter"/>
      <w:lvlText w:val="%5."/>
      <w:lvlJc w:val="left"/>
      <w:pPr>
        <w:ind w:hanging="360" w:left="4091"/>
      </w:pPr>
    </w:lvl>
    <w:lvl w:ilvl="5">
      <w:start w:val="1"/>
      <w:numFmt w:val="lowerRoman"/>
      <w:lvlText w:val="%6."/>
      <w:lvlJc w:val="right"/>
      <w:pPr>
        <w:ind w:hanging="180" w:left="4811"/>
      </w:pPr>
    </w:lvl>
    <w:lvl w:ilvl="6">
      <w:start w:val="1"/>
      <w:numFmt w:val="decimal"/>
      <w:lvlText w:val="%7."/>
      <w:lvlJc w:val="left"/>
      <w:pPr>
        <w:ind w:hanging="360" w:left="5531"/>
      </w:pPr>
    </w:lvl>
    <w:lvl w:ilvl="7">
      <w:start w:val="1"/>
      <w:numFmt w:val="lowerLetter"/>
      <w:lvlText w:val="%8."/>
      <w:lvlJc w:val="left"/>
      <w:pPr>
        <w:ind w:hanging="360" w:left="6251"/>
      </w:pPr>
    </w:lvl>
    <w:lvl w:ilvl="8">
      <w:start w:val="1"/>
      <w:numFmt w:val="lowerRoman"/>
      <w:lvlText w:val="%9."/>
      <w:lvlJc w:val="right"/>
      <w:pPr>
        <w:ind w:hanging="180" w:left="6971"/>
      </w:pPr>
    </w:lvl>
  </w:abstractNum>
  <w:abstractNum w:abstractNumId="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7">
    <w:lvl w:ilvl="0">
      <w:start w:val="1"/>
      <w:numFmt w:val="bullet"/>
      <w:lvlText w:val=""/>
      <w:lvlJc w:val="left"/>
      <w:pPr>
        <w:ind w:hanging="360" w:left="1571"/>
      </w:pPr>
      <w:rPr>
        <w:rFonts w:ascii="Symbol" w:hAnsi="Symbol"/>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9">
    <w:lvl w:ilvl="0">
      <w:start w:val="1"/>
      <w:numFmt w:val="bullet"/>
      <w:lvlText w:val=""/>
      <w:lvlJc w:val="left"/>
      <w:pPr>
        <w:tabs>
          <w:tab w:leader="none" w:pos="720" w:val="left"/>
        </w:tabs>
        <w:ind w:hanging="360" w:left="720"/>
      </w:pPr>
      <w:rPr>
        <w:rFonts w:ascii="Symbol" w:hAnsi="Symbol"/>
        <w:sz w:val="20"/>
      </w:rPr>
    </w:lvl>
    <w:lvl w:ilvl="1">
      <w:start w:val="4"/>
      <w:numFmt w:val="decimal"/>
      <w:lvlText w:val="%2."/>
      <w:lvlJc w:val="left"/>
      <w:pPr>
        <w:ind w:hanging="360" w:left="1440"/>
      </w:p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
    <w:lvl w:ilvl="0">
      <w:start w:val="1"/>
      <w:numFmt w:val="decimal"/>
      <w:lvlText w:val="%1."/>
      <w:lvlJc w:val="left"/>
      <w:pPr>
        <w:ind w:hanging="360" w:left="1211"/>
      </w:pPr>
    </w:lvl>
    <w:lvl w:ilvl="1">
      <w:start w:val="1"/>
      <w:numFmt w:val="lowerLetter"/>
      <w:lvlText w:val="%2."/>
      <w:lvlJc w:val="left"/>
      <w:pPr>
        <w:ind w:hanging="360" w:left="1931"/>
      </w:pPr>
    </w:lvl>
    <w:lvl w:ilvl="2">
      <w:start w:val="1"/>
      <w:numFmt w:val="lowerRoman"/>
      <w:lvlText w:val="%3."/>
      <w:lvlJc w:val="right"/>
      <w:pPr>
        <w:ind w:hanging="180" w:left="2651"/>
      </w:pPr>
    </w:lvl>
    <w:lvl w:ilvl="3">
      <w:start w:val="1"/>
      <w:numFmt w:val="decimal"/>
      <w:lvlText w:val="%4."/>
      <w:lvlJc w:val="left"/>
      <w:pPr>
        <w:ind w:hanging="360" w:left="3371"/>
      </w:pPr>
    </w:lvl>
    <w:lvl w:ilvl="4">
      <w:start w:val="1"/>
      <w:numFmt w:val="lowerLetter"/>
      <w:lvlText w:val="%5."/>
      <w:lvlJc w:val="left"/>
      <w:pPr>
        <w:ind w:hanging="360" w:left="4091"/>
      </w:pPr>
    </w:lvl>
    <w:lvl w:ilvl="5">
      <w:start w:val="1"/>
      <w:numFmt w:val="lowerRoman"/>
      <w:lvlText w:val="%6."/>
      <w:lvlJc w:val="right"/>
      <w:pPr>
        <w:ind w:hanging="180" w:left="4811"/>
      </w:pPr>
    </w:lvl>
    <w:lvl w:ilvl="6">
      <w:start w:val="1"/>
      <w:numFmt w:val="decimal"/>
      <w:lvlText w:val="%7."/>
      <w:lvlJc w:val="left"/>
      <w:pPr>
        <w:ind w:hanging="360" w:left="5531"/>
      </w:pPr>
    </w:lvl>
    <w:lvl w:ilvl="7">
      <w:start w:val="1"/>
      <w:numFmt w:val="lowerLetter"/>
      <w:lvlText w:val="%8."/>
      <w:lvlJc w:val="left"/>
      <w:pPr>
        <w:ind w:hanging="360" w:left="6251"/>
      </w:pPr>
    </w:lvl>
    <w:lvl w:ilvl="8">
      <w:start w:val="1"/>
      <w:numFmt w:val="lowerRoman"/>
      <w:lvlText w:val="%9."/>
      <w:lvlJc w:val="right"/>
      <w:pPr>
        <w:ind w:hanging="180" w:left="6971"/>
      </w:pPr>
    </w:lvl>
  </w:abstractNum>
  <w:abstractNum w:abstractNumId="12">
    <w:lvl w:ilvl="0">
      <w:start w:val="1"/>
      <w:numFmt w:val="decimal"/>
      <w:lvlText w:val="%1."/>
      <w:lvlJc w:val="left"/>
      <w:pPr>
        <w:tabs>
          <w:tab w:leader="none" w:pos="720" w:val="left"/>
        </w:tabs>
        <w:ind w:hanging="360" w:left="720"/>
      </w:pPr>
    </w:lvl>
    <w:lvl w:ilvl="1">
      <w:start w:val="3"/>
      <w:numFmt w:val="upperRoman"/>
      <w:lvlText w:val="%2."/>
      <w:lvlJc w:val="left"/>
      <w:pPr>
        <w:ind w:hanging="720" w:left="180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4">
    <w:lvl w:ilvl="0">
      <w:start w:val="1"/>
      <w:numFmt w:val="decimal"/>
      <w:lvlText w:val="%1."/>
      <w:lvlJc w:val="left"/>
      <w:pPr>
        <w:ind w:hanging="360" w:left="1571"/>
      </w:pPr>
    </w:lvl>
    <w:lvl w:ilvl="1">
      <w:start w:val="1"/>
      <w:numFmt w:val="lowerLetter"/>
      <w:lvlText w:val="%2."/>
      <w:lvlJc w:val="left"/>
      <w:pPr>
        <w:ind w:hanging="360" w:left="2291"/>
      </w:pPr>
    </w:lvl>
    <w:lvl w:ilvl="2">
      <w:start w:val="1"/>
      <w:numFmt w:val="lowerRoman"/>
      <w:lvlText w:val="%3."/>
      <w:lvlJc w:val="right"/>
      <w:pPr>
        <w:ind w:hanging="180" w:left="3011"/>
      </w:pPr>
    </w:lvl>
    <w:lvl w:ilvl="3">
      <w:start w:val="1"/>
      <w:numFmt w:val="decimal"/>
      <w:lvlText w:val="%4."/>
      <w:lvlJc w:val="left"/>
      <w:pPr>
        <w:ind w:hanging="360" w:left="3731"/>
      </w:pPr>
    </w:lvl>
    <w:lvl w:ilvl="4">
      <w:start w:val="1"/>
      <w:numFmt w:val="lowerLetter"/>
      <w:lvlText w:val="%5."/>
      <w:lvlJc w:val="left"/>
      <w:pPr>
        <w:ind w:hanging="360" w:left="4451"/>
      </w:pPr>
    </w:lvl>
    <w:lvl w:ilvl="5">
      <w:start w:val="1"/>
      <w:numFmt w:val="lowerRoman"/>
      <w:lvlText w:val="%6."/>
      <w:lvlJc w:val="right"/>
      <w:pPr>
        <w:ind w:hanging="180" w:left="5171"/>
      </w:pPr>
    </w:lvl>
    <w:lvl w:ilvl="6">
      <w:start w:val="1"/>
      <w:numFmt w:val="decimal"/>
      <w:lvlText w:val="%7."/>
      <w:lvlJc w:val="left"/>
      <w:pPr>
        <w:ind w:hanging="360" w:left="5891"/>
      </w:pPr>
    </w:lvl>
    <w:lvl w:ilvl="7">
      <w:start w:val="1"/>
      <w:numFmt w:val="lowerLetter"/>
      <w:lvlText w:val="%8."/>
      <w:lvlJc w:val="left"/>
      <w:pPr>
        <w:ind w:hanging="360" w:left="6611"/>
      </w:pPr>
    </w:lvl>
    <w:lvl w:ilvl="8">
      <w:start w:val="1"/>
      <w:numFmt w:val="lowerRoman"/>
      <w:lvlText w:val="%9."/>
      <w:lvlJc w:val="right"/>
      <w:pPr>
        <w:ind w:hanging="180" w:left="7331"/>
      </w:pPr>
    </w:lvl>
  </w:abstractNum>
  <w:abstractNum w:abstractNumId="15">
    <w:lvl w:ilvl="0">
      <w:start w:val="5"/>
      <w:numFmt w:val="bullet"/>
      <w:lvlText w:val="-"/>
      <w:lvlJc w:val="left"/>
      <w:pPr>
        <w:ind w:hanging="360" w:left="1211"/>
      </w:pPr>
      <w:rPr>
        <w:rFonts w:ascii="Times New Roman" w:hAnsi="Times New Roman"/>
      </w:rPr>
    </w:lvl>
    <w:lvl w:ilvl="1">
      <w:start w:val="1"/>
      <w:numFmt w:val="bullet"/>
      <w:lvlText w:val="o"/>
      <w:lvlJc w:val="left"/>
      <w:pPr>
        <w:ind w:hanging="360" w:left="1931"/>
      </w:pPr>
      <w:rPr>
        <w:rFonts w:ascii="Courier New" w:hAnsi="Courier New"/>
      </w:rPr>
    </w:lvl>
    <w:lvl w:ilvl="2">
      <w:start w:val="1"/>
      <w:numFmt w:val="bullet"/>
      <w:lvlText w:val=""/>
      <w:lvlJc w:val="left"/>
      <w:pPr>
        <w:ind w:hanging="360" w:left="2651"/>
      </w:pPr>
      <w:rPr>
        <w:rFonts w:ascii="Wingdings" w:hAnsi="Wingdings"/>
      </w:rPr>
    </w:lvl>
    <w:lvl w:ilvl="3">
      <w:start w:val="1"/>
      <w:numFmt w:val="bullet"/>
      <w:lvlText w:val=""/>
      <w:lvlJc w:val="left"/>
      <w:pPr>
        <w:ind w:hanging="360" w:left="3371"/>
      </w:pPr>
      <w:rPr>
        <w:rFonts w:ascii="Symbol" w:hAnsi="Symbol"/>
      </w:rPr>
    </w:lvl>
    <w:lvl w:ilvl="4">
      <w:start w:val="1"/>
      <w:numFmt w:val="bullet"/>
      <w:lvlText w:val="o"/>
      <w:lvlJc w:val="left"/>
      <w:pPr>
        <w:ind w:hanging="360" w:left="4091"/>
      </w:pPr>
      <w:rPr>
        <w:rFonts w:ascii="Courier New" w:hAnsi="Courier New"/>
      </w:rPr>
    </w:lvl>
    <w:lvl w:ilvl="5">
      <w:start w:val="1"/>
      <w:numFmt w:val="bullet"/>
      <w:lvlText w:val=""/>
      <w:lvlJc w:val="left"/>
      <w:pPr>
        <w:ind w:hanging="360" w:left="4811"/>
      </w:pPr>
      <w:rPr>
        <w:rFonts w:ascii="Wingdings" w:hAnsi="Wingdings"/>
      </w:rPr>
    </w:lvl>
    <w:lvl w:ilvl="6">
      <w:start w:val="1"/>
      <w:numFmt w:val="bullet"/>
      <w:lvlText w:val=""/>
      <w:lvlJc w:val="left"/>
      <w:pPr>
        <w:ind w:hanging="360" w:left="5531"/>
      </w:pPr>
      <w:rPr>
        <w:rFonts w:ascii="Symbol" w:hAnsi="Symbol"/>
      </w:rPr>
    </w:lvl>
    <w:lvl w:ilvl="7">
      <w:start w:val="1"/>
      <w:numFmt w:val="bullet"/>
      <w:lvlText w:val="o"/>
      <w:lvlJc w:val="left"/>
      <w:pPr>
        <w:ind w:hanging="360" w:left="6251"/>
      </w:pPr>
      <w:rPr>
        <w:rFonts w:ascii="Courier New" w:hAnsi="Courier New"/>
      </w:rPr>
    </w:lvl>
    <w:lvl w:ilvl="8">
      <w:start w:val="1"/>
      <w:numFmt w:val="bullet"/>
      <w:lvlText w:val=""/>
      <w:lvlJc w:val="left"/>
      <w:pPr>
        <w:ind w:hanging="360" w:left="6971"/>
      </w:pPr>
      <w:rPr>
        <w:rFonts w:ascii="Wingdings" w:hAnsi="Wingdings"/>
      </w:rPr>
    </w:lvl>
  </w:abstractNum>
  <w:abstractNum w:abstractNumId="16">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8">
    <w:lvl w:ilvl="0">
      <w:start w:val="7"/>
      <w:numFmt w:val="upperRoman"/>
      <w:lvlText w:val="%1."/>
      <w:lvlJc w:val="left"/>
      <w:pPr>
        <w:ind w:hanging="720" w:left="1080"/>
      </w:pPr>
    </w:lvl>
    <w:lvl w:ilvl="1">
      <w:start w:val="1"/>
      <w:numFmt w:val="lowerLetter"/>
      <w:lvlText w:val="%2."/>
      <w:lvlJc w:val="left"/>
      <w:pPr>
        <w:ind w:hanging="360" w:left="1440"/>
      </w:pPr>
    </w:lvl>
    <w:lvl w:ilvl="2">
      <w:start w:val="1"/>
      <w:numFmt w:val="lowerLetter"/>
      <w:lvlText w:val="%3."/>
      <w:lvlJc w:val="lef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rPr>
      <w:rFonts w:ascii="Times New Roman" w:hAnsi="Times New Roman"/>
    </w:rPr>
  </w:style>
  <w:style w:default="1" w:styleId="Style_10_ch" w:type="character">
    <w:name w:val="Normal"/>
    <w:link w:val="Style_10"/>
    <w:rPr>
      <w:rFonts w:ascii="Times New Roman" w:hAnsi="Times New Roman"/>
    </w:rPr>
  </w:style>
  <w:style w:styleId="Style_11" w:type="paragraph">
    <w:name w:val="toc 2"/>
    <w:next w:val="Style_10"/>
    <w:link w:val="Style_11_ch"/>
    <w:uiPriority w:val="39"/>
    <w:pPr>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toc 4"/>
    <w:next w:val="Style_10"/>
    <w:link w:val="Style_12_ch"/>
    <w:uiPriority w:val="39"/>
    <w:pPr>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10"/>
    <w:link w:val="Style_13_ch"/>
    <w:uiPriority w:val="39"/>
    <w:pPr>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10"/>
    <w:link w:val="Style_14_ch"/>
    <w:uiPriority w:val="39"/>
    <w:pPr>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2" w:type="paragraph">
    <w:name w:val="Body Text"/>
    <w:basedOn w:val="Style_10"/>
    <w:link w:val="Style_2_ch"/>
    <w:rPr>
      <w:sz w:val="28"/>
    </w:rPr>
  </w:style>
  <w:style w:styleId="Style_2_ch" w:type="character">
    <w:name w:val="Body Text"/>
    <w:basedOn w:val="Style_10_ch"/>
    <w:link w:val="Style_2"/>
    <w:rPr>
      <w:sz w:val="28"/>
    </w:rPr>
  </w:style>
  <w:style w:styleId="Style_15" w:type="paragraph">
    <w:name w:val="Endnote"/>
    <w:link w:val="Style_15_ch"/>
    <w:pPr>
      <w:ind w:firstLine="851" w:left="0"/>
      <w:jc w:val="both"/>
    </w:pPr>
    <w:rPr>
      <w:rFonts w:ascii="XO Thames" w:hAnsi="XO Thames"/>
      <w:sz w:val="22"/>
    </w:rPr>
  </w:style>
  <w:style w:styleId="Style_15_ch" w:type="character">
    <w:name w:val="Endnote"/>
    <w:link w:val="Style_15"/>
    <w:rPr>
      <w:rFonts w:ascii="XO Thames" w:hAnsi="XO Thames"/>
      <w:sz w:val="22"/>
    </w:rPr>
  </w:style>
  <w:style w:styleId="Style_16" w:type="paragraph">
    <w:name w:val="heading 3"/>
    <w:next w:val="Style_10"/>
    <w:link w:val="Style_16_ch"/>
    <w:uiPriority w:val="9"/>
    <w:qFormat/>
    <w:pPr>
      <w:spacing w:after="120" w:before="120"/>
      <w:ind/>
      <w:jc w:val="both"/>
      <w:outlineLvl w:val="2"/>
    </w:pPr>
    <w:rPr>
      <w:rFonts w:ascii="XO Thames" w:hAnsi="XO Thames"/>
      <w:b w:val="1"/>
      <w:sz w:val="26"/>
    </w:rPr>
  </w:style>
  <w:style w:styleId="Style_16_ch" w:type="character">
    <w:name w:val="heading 3"/>
    <w:link w:val="Style_16"/>
    <w:rPr>
      <w:rFonts w:ascii="XO Thames" w:hAnsi="XO Thames"/>
      <w:b w:val="1"/>
      <w:sz w:val="26"/>
    </w:rPr>
  </w:style>
  <w:style w:styleId="Style_17" w:type="paragraph">
    <w:name w:val="toc 3"/>
    <w:next w:val="Style_10"/>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Текст выноски Знак1"/>
    <w:basedOn w:val="Style_19"/>
    <w:link w:val="Style_18_ch"/>
    <w:rPr>
      <w:rFonts w:ascii="Segoe UI" w:hAnsi="Segoe UI"/>
      <w:sz w:val="18"/>
    </w:rPr>
  </w:style>
  <w:style w:styleId="Style_18_ch" w:type="character">
    <w:name w:val="Текст выноски Знак1"/>
    <w:basedOn w:val="Style_19_ch"/>
    <w:link w:val="Style_18"/>
    <w:rPr>
      <w:rFonts w:ascii="Segoe UI" w:hAnsi="Segoe UI"/>
      <w:sz w:val="18"/>
    </w:rPr>
  </w:style>
  <w:style w:styleId="Style_20" w:type="paragraph">
    <w:name w:val="Основной текст (2) + 12 pt"/>
    <w:basedOn w:val="Style_21"/>
    <w:link w:val="Style_20_ch"/>
    <w:rPr>
      <w:rFonts w:ascii="Times New Roman" w:hAnsi="Times New Roman"/>
      <w:color w:val="000000"/>
      <w:spacing w:val="0"/>
      <w:sz w:val="24"/>
      <w:highlight w:val="white"/>
    </w:rPr>
  </w:style>
  <w:style w:styleId="Style_20_ch" w:type="character">
    <w:name w:val="Основной текст (2) + 12 pt"/>
    <w:basedOn w:val="Style_21_ch"/>
    <w:link w:val="Style_20"/>
    <w:rPr>
      <w:rFonts w:ascii="Times New Roman" w:hAnsi="Times New Roman"/>
      <w:color w:val="000000"/>
      <w:spacing w:val="0"/>
      <w:sz w:val="24"/>
      <w:highlight w:val="white"/>
    </w:rPr>
  </w:style>
  <w:style w:styleId="Style_4" w:type="paragraph">
    <w:name w:val="List Paragraph"/>
    <w:basedOn w:val="Style_10"/>
    <w:link w:val="Style_4_ch"/>
    <w:pPr>
      <w:ind w:firstLine="709" w:left="1135"/>
    </w:pPr>
  </w:style>
  <w:style w:styleId="Style_4_ch" w:type="character">
    <w:name w:val="List Paragraph"/>
    <w:basedOn w:val="Style_10_ch"/>
    <w:link w:val="Style_4"/>
  </w:style>
  <w:style w:styleId="Style_22" w:type="paragraph">
    <w:name w:val="Balloon Text"/>
    <w:basedOn w:val="Style_10"/>
    <w:link w:val="Style_22_ch"/>
    <w:pPr>
      <w:widowControl w:val="1"/>
      <w:ind/>
    </w:pPr>
    <w:rPr>
      <w:rFonts w:ascii="Segoe UI" w:hAnsi="Segoe UI"/>
      <w:sz w:val="18"/>
    </w:rPr>
  </w:style>
  <w:style w:styleId="Style_22_ch" w:type="character">
    <w:name w:val="Balloon Text"/>
    <w:basedOn w:val="Style_10_ch"/>
    <w:link w:val="Style_22"/>
    <w:rPr>
      <w:rFonts w:ascii="Segoe UI" w:hAnsi="Segoe UI"/>
      <w:sz w:val="18"/>
    </w:rPr>
  </w:style>
  <w:style w:styleId="Style_23" w:type="paragraph">
    <w:name w:val="heading 5"/>
    <w:next w:val="Style_10"/>
    <w:link w:val="Style_23_ch"/>
    <w:uiPriority w:val="9"/>
    <w:qFormat/>
    <w:pPr>
      <w:spacing w:after="120" w:before="120"/>
      <w:ind/>
      <w:jc w:val="both"/>
      <w:outlineLvl w:val="4"/>
    </w:pPr>
    <w:rPr>
      <w:rFonts w:ascii="XO Thames" w:hAnsi="XO Thames"/>
      <w:b w:val="1"/>
      <w:sz w:val="22"/>
    </w:rPr>
  </w:style>
  <w:style w:styleId="Style_23_ch" w:type="character">
    <w:name w:val="heading 5"/>
    <w:link w:val="Style_23"/>
    <w:rPr>
      <w:rFonts w:ascii="XO Thames" w:hAnsi="XO Thames"/>
      <w:b w:val="1"/>
      <w:sz w:val="22"/>
    </w:rPr>
  </w:style>
  <w:style w:styleId="Style_3" w:type="paragraph">
    <w:name w:val="heading 1"/>
    <w:basedOn w:val="Style_10"/>
    <w:link w:val="Style_3_ch"/>
    <w:uiPriority w:val="9"/>
    <w:qFormat/>
    <w:pPr>
      <w:ind/>
      <w:outlineLvl w:val="0"/>
    </w:pPr>
    <w:rPr>
      <w:b w:val="1"/>
      <w:sz w:val="28"/>
    </w:rPr>
  </w:style>
  <w:style w:styleId="Style_3_ch" w:type="character">
    <w:name w:val="heading 1"/>
    <w:basedOn w:val="Style_10_ch"/>
    <w:link w:val="Style_3"/>
    <w:rPr>
      <w:b w:val="1"/>
      <w:sz w:val="28"/>
    </w:rPr>
  </w:style>
  <w:style w:styleId="Style_1" w:type="paragraph">
    <w:name w:val="header"/>
    <w:basedOn w:val="Style_10"/>
    <w:link w:val="Style_1_ch"/>
    <w:pPr>
      <w:widowControl w:val="1"/>
      <w:tabs>
        <w:tab w:leader="none" w:pos="4677" w:val="center"/>
        <w:tab w:leader="none" w:pos="9355" w:val="right"/>
      </w:tabs>
      <w:ind/>
    </w:pPr>
    <w:rPr>
      <w:rFonts w:asciiTheme="minorAscii" w:hAnsiTheme="minorHAnsi"/>
    </w:rPr>
  </w:style>
  <w:style w:styleId="Style_1_ch" w:type="character">
    <w:name w:val="header"/>
    <w:basedOn w:val="Style_10_ch"/>
    <w:link w:val="Style_1"/>
    <w:rPr>
      <w:rFonts w:asciiTheme="minorAscii" w:hAnsiTheme="minorHAnsi"/>
    </w:rPr>
  </w:style>
  <w:style w:styleId="Style_24" w:type="paragraph">
    <w:name w:val="Hyperlink"/>
    <w:link w:val="Style_24_ch"/>
    <w:rPr>
      <w:color w:val="0000FF"/>
      <w:u w:val="single"/>
    </w:rPr>
  </w:style>
  <w:style w:styleId="Style_24_ch" w:type="character">
    <w:name w:val="Hyperlink"/>
    <w:link w:val="Style_24"/>
    <w:rPr>
      <w:color w:val="0000FF"/>
      <w:u w:val="single"/>
    </w:rPr>
  </w:style>
  <w:style w:styleId="Style_25" w:type="paragraph">
    <w:name w:val="Footnote"/>
    <w:link w:val="Style_25_ch"/>
    <w:pPr>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10"/>
    <w:link w:val="Style_26_ch"/>
    <w:uiPriority w:val="39"/>
    <w:pPr>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spacing w:line="240" w:lineRule="auto"/>
      <w:ind/>
      <w:jc w:val="both"/>
    </w:pPr>
    <w:rPr>
      <w:rFonts w:ascii="XO Thames" w:hAnsi="XO Thames"/>
      <w:sz w:val="28"/>
    </w:rPr>
  </w:style>
  <w:style w:styleId="Style_27_ch" w:type="character">
    <w:name w:val="Header and Footer"/>
    <w:link w:val="Style_27"/>
    <w:rPr>
      <w:rFonts w:ascii="XO Thames" w:hAnsi="XO Thames"/>
      <w:sz w:val="28"/>
    </w:rPr>
  </w:style>
  <w:style w:styleId="Style_28" w:type="paragraph">
    <w:name w:val="toc 9"/>
    <w:next w:val="Style_10"/>
    <w:link w:val="Style_28_ch"/>
    <w:uiPriority w:val="39"/>
    <w:pPr>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6" w:type="paragraph">
    <w:name w:val="Table Paragraph"/>
    <w:basedOn w:val="Style_10"/>
    <w:link w:val="Style_6_ch"/>
  </w:style>
  <w:style w:styleId="Style_6_ch" w:type="character">
    <w:name w:val="Table Paragraph"/>
    <w:basedOn w:val="Style_10_ch"/>
    <w:link w:val="Style_6"/>
  </w:style>
  <w:style w:styleId="Style_29" w:type="paragraph">
    <w:name w:val="toc 8"/>
    <w:next w:val="Style_10"/>
    <w:link w:val="Style_29_ch"/>
    <w:uiPriority w:val="39"/>
    <w:pPr>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21" w:type="paragraph">
    <w:name w:val="Основной текст (2)"/>
    <w:basedOn w:val="Style_10"/>
    <w:link w:val="Style_21_ch"/>
    <w:pPr>
      <w:spacing w:line="211" w:lineRule="exact"/>
      <w:ind/>
      <w:jc w:val="both"/>
    </w:pPr>
    <w:rPr>
      <w:sz w:val="26"/>
    </w:rPr>
  </w:style>
  <w:style w:styleId="Style_21_ch" w:type="character">
    <w:name w:val="Основной текст (2)"/>
    <w:basedOn w:val="Style_10_ch"/>
    <w:link w:val="Style_21"/>
    <w:rPr>
      <w:sz w:val="26"/>
    </w:rPr>
  </w:style>
  <w:style w:styleId="Style_30" w:type="paragraph">
    <w:name w:val="Знак Знак Знак Знак"/>
    <w:basedOn w:val="Style_10"/>
    <w:link w:val="Style_30_ch"/>
    <w:pPr>
      <w:widowControl w:val="1"/>
      <w:spacing w:after="160" w:line="240" w:lineRule="exact"/>
      <w:ind/>
    </w:pPr>
    <w:rPr>
      <w:rFonts w:ascii="Verdana" w:hAnsi="Verdana"/>
      <w:sz w:val="20"/>
    </w:rPr>
  </w:style>
  <w:style w:styleId="Style_30_ch" w:type="character">
    <w:name w:val="Знак Знак Знак Знак"/>
    <w:basedOn w:val="Style_10_ch"/>
    <w:link w:val="Style_30"/>
    <w:rPr>
      <w:rFonts w:ascii="Verdana" w:hAnsi="Verdana"/>
      <w:sz w:val="20"/>
    </w:rPr>
  </w:style>
  <w:style w:styleId="Style_7" w:type="paragraph">
    <w:name w:val="Normal (Web)"/>
    <w:basedOn w:val="Style_10"/>
    <w:link w:val="Style_7_ch"/>
    <w:pPr>
      <w:widowControl w:val="1"/>
      <w:spacing w:afterAutospacing="on" w:beforeAutospacing="on"/>
      <w:ind/>
    </w:pPr>
    <w:rPr>
      <w:sz w:val="24"/>
    </w:rPr>
  </w:style>
  <w:style w:styleId="Style_7_ch" w:type="character">
    <w:name w:val="Normal (Web)"/>
    <w:basedOn w:val="Style_10_ch"/>
    <w:link w:val="Style_7"/>
    <w:rPr>
      <w:sz w:val="24"/>
    </w:rPr>
  </w:style>
  <w:style w:styleId="Style_31" w:type="paragraph">
    <w:name w:val="toc 5"/>
    <w:next w:val="Style_10"/>
    <w:link w:val="Style_31_ch"/>
    <w:uiPriority w:val="39"/>
    <w:pPr>
      <w:ind w:firstLine="0" w:left="800"/>
      <w:jc w:val="left"/>
    </w:pPr>
    <w:rPr>
      <w:rFonts w:ascii="XO Thames" w:hAnsi="XO Thames"/>
      <w:sz w:val="28"/>
    </w:rPr>
  </w:style>
  <w:style w:styleId="Style_31_ch" w:type="character">
    <w:name w:val="toc 5"/>
    <w:link w:val="Style_31"/>
    <w:rPr>
      <w:rFonts w:ascii="XO Thames" w:hAnsi="XO Thames"/>
      <w:sz w:val="28"/>
    </w:rPr>
  </w:style>
  <w:style w:styleId="Style_32" w:type="paragraph">
    <w:name w:val="Strong"/>
    <w:basedOn w:val="Style_19"/>
    <w:link w:val="Style_32_ch"/>
    <w:rPr>
      <w:b w:val="1"/>
    </w:rPr>
  </w:style>
  <w:style w:styleId="Style_32_ch" w:type="character">
    <w:name w:val="Strong"/>
    <w:basedOn w:val="Style_19_ch"/>
    <w:link w:val="Style_32"/>
    <w:rPr>
      <w:b w:val="1"/>
    </w:rPr>
  </w:style>
  <w:style w:styleId="Style_33" w:type="paragraph">
    <w:name w:val="Subtitle"/>
    <w:next w:val="Style_10"/>
    <w:link w:val="Style_33_ch"/>
    <w:uiPriority w:val="11"/>
    <w:qFormat/>
    <w:pPr>
      <w:ind/>
      <w:jc w:val="both"/>
    </w:pPr>
    <w:rPr>
      <w:rFonts w:ascii="XO Thames" w:hAnsi="XO Thames"/>
      <w:i w:val="1"/>
      <w:sz w:val="24"/>
    </w:rPr>
  </w:style>
  <w:style w:styleId="Style_33_ch" w:type="character">
    <w:name w:val="Subtitle"/>
    <w:link w:val="Style_33"/>
    <w:rPr>
      <w:rFonts w:ascii="XO Thames" w:hAnsi="XO Thames"/>
      <w:i w:val="1"/>
      <w:sz w:val="24"/>
    </w:rPr>
  </w:style>
  <w:style w:styleId="Style_34" w:type="paragraph">
    <w:name w:val="No Spacing"/>
    <w:link w:val="Style_34_ch"/>
    <w:pPr>
      <w:widowControl w:val="1"/>
      <w:ind/>
    </w:pPr>
  </w:style>
  <w:style w:styleId="Style_34_ch" w:type="character">
    <w:name w:val="No Spacing"/>
    <w:link w:val="Style_34"/>
  </w:style>
  <w:style w:styleId="Style_35" w:type="paragraph">
    <w:name w:val="Title"/>
    <w:next w:val="Style_10"/>
    <w:link w:val="Style_35_ch"/>
    <w:uiPriority w:val="10"/>
    <w:qFormat/>
    <w:pPr>
      <w:spacing w:after="567" w:before="567"/>
      <w:ind/>
      <w:jc w:val="center"/>
    </w:pPr>
    <w:rPr>
      <w:rFonts w:ascii="XO Thames" w:hAnsi="XO Thames"/>
      <w:b w:val="1"/>
      <w:caps w:val="1"/>
      <w:sz w:val="40"/>
    </w:rPr>
  </w:style>
  <w:style w:styleId="Style_35_ch" w:type="character">
    <w:name w:val="Title"/>
    <w:link w:val="Style_35"/>
    <w:rPr>
      <w:rFonts w:ascii="XO Thames" w:hAnsi="XO Thames"/>
      <w:b w:val="1"/>
      <w:caps w:val="1"/>
      <w:sz w:val="40"/>
    </w:rPr>
  </w:style>
  <w:style w:styleId="Style_36" w:type="paragraph">
    <w:name w:val="heading 4"/>
    <w:next w:val="Style_10"/>
    <w:link w:val="Style_36_ch"/>
    <w:uiPriority w:val="9"/>
    <w:qFormat/>
    <w:pPr>
      <w:spacing w:after="120" w:before="120"/>
      <w:ind/>
      <w:jc w:val="both"/>
      <w:outlineLvl w:val="3"/>
    </w:pPr>
    <w:rPr>
      <w:rFonts w:ascii="XO Thames" w:hAnsi="XO Thames"/>
      <w:b w:val="1"/>
      <w:sz w:val="24"/>
    </w:rPr>
  </w:style>
  <w:style w:styleId="Style_36_ch" w:type="character">
    <w:name w:val="heading 4"/>
    <w:link w:val="Style_36"/>
    <w:rPr>
      <w:rFonts w:ascii="XO Thames" w:hAnsi="XO Thames"/>
      <w:b w:val="1"/>
      <w:sz w:val="24"/>
    </w:rPr>
  </w:style>
  <w:style w:styleId="Style_37" w:type="paragraph">
    <w:name w:val="footer"/>
    <w:basedOn w:val="Style_10"/>
    <w:link w:val="Style_37_ch"/>
    <w:pPr>
      <w:widowControl w:val="1"/>
      <w:tabs>
        <w:tab w:leader="none" w:pos="4677" w:val="center"/>
        <w:tab w:leader="none" w:pos="9355" w:val="right"/>
      </w:tabs>
      <w:ind/>
    </w:pPr>
    <w:rPr>
      <w:rFonts w:asciiTheme="minorAscii" w:hAnsiTheme="minorHAnsi"/>
    </w:rPr>
  </w:style>
  <w:style w:styleId="Style_37_ch" w:type="character">
    <w:name w:val="footer"/>
    <w:basedOn w:val="Style_10_ch"/>
    <w:link w:val="Style_37"/>
    <w:rPr>
      <w:rFonts w:asciiTheme="minorAscii" w:hAnsiTheme="minorHAnsi"/>
    </w:rPr>
  </w:style>
  <w:style w:styleId="Style_38" w:type="paragraph">
    <w:name w:val="Основной текст (2) + 11 pt"/>
    <w:basedOn w:val="Style_21"/>
    <w:link w:val="Style_38_ch"/>
    <w:rPr>
      <w:rFonts w:ascii="Times New Roman" w:hAnsi="Times New Roman"/>
      <w:color w:val="000000"/>
      <w:spacing w:val="0"/>
      <w:sz w:val="22"/>
      <w:highlight w:val="white"/>
    </w:rPr>
  </w:style>
  <w:style w:styleId="Style_38_ch" w:type="character">
    <w:name w:val="Основной текст (2) + 11 pt"/>
    <w:basedOn w:val="Style_21_ch"/>
    <w:link w:val="Style_38"/>
    <w:rPr>
      <w:rFonts w:ascii="Times New Roman" w:hAnsi="Times New Roman"/>
      <w:color w:val="000000"/>
      <w:spacing w:val="0"/>
      <w:sz w:val="22"/>
      <w:highlight w:val="white"/>
    </w:rPr>
  </w:style>
  <w:style w:styleId="Style_39" w:type="paragraph">
    <w:name w:val="heading 2"/>
    <w:next w:val="Style_10"/>
    <w:link w:val="Style_39_ch"/>
    <w:uiPriority w:val="9"/>
    <w:qFormat/>
    <w:pPr>
      <w:spacing w:after="120" w:before="120"/>
      <w:ind/>
      <w:jc w:val="both"/>
      <w:outlineLvl w:val="1"/>
    </w:pPr>
    <w:rPr>
      <w:rFonts w:ascii="XO Thames" w:hAnsi="XO Thames"/>
      <w:b w:val="1"/>
      <w:sz w:val="28"/>
    </w:rPr>
  </w:style>
  <w:style w:styleId="Style_39_ch" w:type="character">
    <w:name w:val="heading 2"/>
    <w:link w:val="Style_39"/>
    <w:rPr>
      <w:rFonts w:ascii="XO Thames" w:hAnsi="XO Thames"/>
      <w:b w:val="1"/>
      <w:sz w:val="28"/>
    </w:rPr>
  </w:style>
  <w:style w:styleId="Style_40" w:type="paragraph">
    <w:name w:val="Основной текст (2) + 10 pt"/>
    <w:basedOn w:val="Style_21"/>
    <w:link w:val="Style_40_ch"/>
    <w:rPr>
      <w:rFonts w:ascii="Times New Roman" w:hAnsi="Times New Roman"/>
      <w:color w:val="000000"/>
      <w:spacing w:val="0"/>
      <w:sz w:val="20"/>
      <w:highlight w:val="white"/>
    </w:rPr>
  </w:style>
  <w:style w:styleId="Style_40_ch" w:type="character">
    <w:name w:val="Основной текст (2) + 10 pt"/>
    <w:basedOn w:val="Style_21_ch"/>
    <w:link w:val="Style_40"/>
    <w:rPr>
      <w:rFonts w:ascii="Times New Roman" w:hAnsi="Times New Roman"/>
      <w:color w:val="000000"/>
      <w:spacing w:val="0"/>
      <w:sz w:val="20"/>
      <w:highlight w:val="white"/>
    </w:rPr>
  </w:style>
  <w:style w:styleId="Style_19" w:type="paragraph">
    <w:name w:val="Default Paragraph Font"/>
    <w:link w:val="Style_19_ch"/>
  </w:style>
  <w:style w:styleId="Style_19_ch" w:type="character">
    <w:name w:val="Default Paragraph Font"/>
    <w:link w:val="Style_19"/>
  </w:style>
  <w:style w:styleId="Style_5" w:type="table">
    <w:name w:val="Table Normal"/>
    <w:tblPr>
      <w:tblInd w:type="dxa" w:w="0"/>
      <w:tblCellMar>
        <w:top w:type="dxa" w:w="0"/>
        <w:left w:type="dxa" w:w="0"/>
        <w:bottom w:type="dxa" w:w="0"/>
        <w:right w:type="dxa" w:w="0"/>
      </w:tblCellMar>
    </w:tblPr>
  </w:style>
  <w:style w:default="1" w:styleId="Style_9" w:type="table">
    <w:name w:val="Normal Table"/>
    <w:tblPr>
      <w:tblInd w:type="dxa" w:w="0"/>
      <w:tblCellMar>
        <w:top w:type="dxa" w:w="0"/>
        <w:left w:type="dxa" w:w="108"/>
        <w:bottom w:type="dxa" w:w="0"/>
        <w:right w:type="dxa" w:w="108"/>
      </w:tblCellMar>
    </w:tblPr>
  </w:style>
  <w:style w:styleId="Style_8" w:type="table">
    <w:name w:val="Table Grid"/>
    <w:basedOn w:val="Style_9"/>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fontTable.xml" Type="http://schemas.openxmlformats.org/officeDocument/2006/relationships/fontTable"/>
  <Relationship Id="rId1" Target="header1.xml" Type="http://schemas.openxmlformats.org/officeDocument/2006/relationships/header"/>
  <Relationship Id="rId12" Target="numbering.xml" Type="http://schemas.openxmlformats.org/officeDocument/2006/relationships/numbering"/>
  <Relationship Id="rId10" Target="webSettings.xml" Type="http://schemas.openxmlformats.org/officeDocument/2006/relationships/webSettings"/>
  <Relationship Id="rId2" Target="header2.xml" Type="http://schemas.openxmlformats.org/officeDocument/2006/relationships/header"/>
  <Relationship Id="rId3" Target="header3.xml" Type="http://schemas.openxmlformats.org/officeDocument/2006/relationships/header"/>
  <Relationship Id="rId8" Target="styles.xml" Type="http://schemas.openxmlformats.org/officeDocument/2006/relationships/styles"/>
  <Relationship Id="rId4" Target="header4.xml" Type="http://schemas.openxmlformats.org/officeDocument/2006/relationships/header"/>
  <Relationship Id="rId11" Target="theme/theme1.xml" Type="http://schemas.openxmlformats.org/officeDocument/2006/relationships/theme"/>
  <Relationship Id="rId9" Target="stylesWithEffects.xml" Type="http://schemas.microsoft.com/office/2007/relationships/stylesWithEffects"/>
  <Relationship Id="rId7" Target="settings.xml" Type="http://schemas.openxmlformats.org/officeDocument/2006/relationships/settings"/>
  <Relationship Id="rId5"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MyOffice-CoreFramework-Linux/34-1238.862.9476.867.1@6a6f965769ddd834e814912714f1fa4bc0274a9d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2026-09-28T05:24:27Z</dcterms:modified>
</cp:coreProperties>
</file>