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ПОЯСНИТЕЛЬНАЯ ЗАПИСКА </w:t>
      </w:r>
    </w:p>
    <w:p w14:paraId="02000000">
      <w:pPr>
        <w:widowControl w:val="0"/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к проекту распоряжения Правительства Республики Саха (Якутия) </w:t>
      </w:r>
    </w:p>
    <w:p w14:paraId="03000000">
      <w:pPr>
        <w:pStyle w:val="Style_1"/>
        <w:spacing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«Об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утверждении</w:t>
      </w:r>
      <w:r>
        <w:rPr>
          <w:rFonts w:ascii="PT Astra Serif" w:hAnsi="PT Astra Serif"/>
          <w:spacing w:val="-8"/>
          <w:sz w:val="28"/>
        </w:rPr>
        <w:t xml:space="preserve"> </w:t>
      </w:r>
      <w:r>
        <w:rPr>
          <w:rFonts w:ascii="PT Astra Serif" w:hAnsi="PT Astra Serif"/>
          <w:sz w:val="28"/>
        </w:rPr>
        <w:t>программы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«Обеспечение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защиты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прав потребителей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3"/>
          <w:sz w:val="28"/>
        </w:rPr>
        <w:t xml:space="preserve"> </w:t>
      </w:r>
      <w:r>
        <w:rPr>
          <w:rFonts w:ascii="PT Astra Serif" w:hAnsi="PT Astra Serif"/>
          <w:sz w:val="28"/>
        </w:rPr>
        <w:t>Республике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Саха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(Якутия)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на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2026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2030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pacing w:val="-2"/>
          <w:sz w:val="28"/>
        </w:rPr>
        <w:t>годы»</w:t>
      </w:r>
    </w:p>
    <w:p w14:paraId="04000000">
      <w:pPr>
        <w:widowControl w:val="0"/>
        <w:ind/>
        <w:jc w:val="center"/>
        <w:rPr>
          <w:rFonts w:ascii="PT Astra Serif" w:hAnsi="PT Astra Serif"/>
        </w:rPr>
      </w:pPr>
    </w:p>
    <w:p w14:paraId="05000000">
      <w:pPr>
        <w:widowControl w:val="0"/>
        <w:spacing w:line="276" w:lineRule="auto"/>
        <w:ind/>
        <w:jc w:val="center"/>
        <w:rPr>
          <w:b w:val="1"/>
          <w:sz w:val="28"/>
        </w:rPr>
      </w:pPr>
    </w:p>
    <w:p w14:paraId="06000000">
      <w:pPr>
        <w:tabs>
          <w:tab w:leader="none" w:pos="993" w:val="left"/>
        </w:tabs>
        <w:spacing w:line="360" w:lineRule="auto"/>
        <w:ind w:firstLine="992"/>
        <w:jc w:val="both"/>
        <w:rPr>
          <w:b w:val="1"/>
          <w:sz w:val="28"/>
        </w:rPr>
      </w:pPr>
      <w:r>
        <w:rPr>
          <w:b w:val="1"/>
          <w:sz w:val="28"/>
        </w:rPr>
        <w:t xml:space="preserve">1. </w:t>
      </w:r>
      <w:r>
        <w:rPr>
          <w:b w:val="1"/>
          <w:sz w:val="28"/>
        </w:rPr>
        <w:t>Правовое обоснование необходимости принятия акта:</w:t>
      </w:r>
    </w:p>
    <w:p w14:paraId="07000000">
      <w:pPr>
        <w:tabs>
          <w:tab w:leader="none" w:pos="993" w:val="left"/>
        </w:tabs>
        <w:spacing w:line="360" w:lineRule="auto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соответствии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со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статьей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42.1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Закона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Российской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Федерации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от 07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февраля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1992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г.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pacing w:val="-4"/>
          <w:sz w:val="28"/>
        </w:rPr>
        <w:t xml:space="preserve"> </w:t>
      </w:r>
      <w:r>
        <w:rPr>
          <w:rFonts w:ascii="PT Astra Serif" w:hAnsi="PT Astra Serif"/>
          <w:sz w:val="28"/>
        </w:rPr>
        <w:t>2300-1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«О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защите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прав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потребителей»,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целях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создания благоприятных условий для реализации потребителями своих прав, а также дальнейшего развития и укрепления системы защиты прав потребителей в Республике Саха (Якутия)</w:t>
      </w:r>
      <w:r>
        <w:rPr>
          <w:rFonts w:ascii="PT Astra Serif" w:hAnsi="PT Astra Serif"/>
          <w:sz w:val="28"/>
        </w:rPr>
        <w:t xml:space="preserve">. </w:t>
      </w:r>
    </w:p>
    <w:p w14:paraId="08000000">
      <w:pPr>
        <w:tabs>
          <w:tab w:leader="none" w:pos="0" w:val="left"/>
        </w:tabs>
        <w:spacing w:line="360" w:lineRule="auto"/>
        <w:ind w:firstLine="992"/>
        <w:jc w:val="both"/>
        <w:rPr>
          <w:b w:val="1"/>
          <w:sz w:val="28"/>
        </w:rPr>
      </w:pPr>
      <w:r>
        <w:rPr>
          <w:b w:val="1"/>
          <w:sz w:val="28"/>
        </w:rPr>
        <w:t xml:space="preserve">2. </w:t>
      </w:r>
      <w:r>
        <w:rPr>
          <w:b w:val="1"/>
          <w:sz w:val="28"/>
        </w:rPr>
        <w:t xml:space="preserve"> Основания для подготовки и принятия акта:</w:t>
      </w:r>
    </w:p>
    <w:p w14:paraId="09000000">
      <w:pPr>
        <w:tabs>
          <w:tab w:leader="none" w:pos="0" w:val="left"/>
        </w:tabs>
        <w:spacing w:line="36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highlight w:val="white"/>
        </w:rPr>
        <w:t> П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highlight w:val="white"/>
        </w:rPr>
        <w:t>редыдущая программа действовала до 2023 года включительно — её утвердили распоряжением Главы Республики Саха (Якутия) № 1067-РГ от 20 декабря 2018 года.</w:t>
      </w:r>
    </w:p>
    <w:p w14:paraId="0A000000">
      <w:pPr>
        <w:tabs>
          <w:tab w:leader="none" w:pos="0" w:val="left"/>
        </w:tabs>
        <w:spacing w:line="360" w:lineRule="auto"/>
        <w:ind w:firstLine="709"/>
        <w:jc w:val="both"/>
        <w:rPr>
          <w:sz w:val="28"/>
        </w:rPr>
      </w:pPr>
      <w:bookmarkStart w:id="1" w:name="_GoBack"/>
      <w:bookmarkEnd w:id="1"/>
      <w:r>
        <w:rPr>
          <w:b w:val="1"/>
          <w:sz w:val="28"/>
        </w:rPr>
        <w:t xml:space="preserve">3. </w:t>
      </w:r>
      <w:r>
        <w:rPr>
          <w:b w:val="1"/>
          <w:sz w:val="28"/>
        </w:rPr>
        <w:t>Цели, задачи и предмет правового регулирования акта:</w:t>
      </w:r>
    </w:p>
    <w:p w14:paraId="0B000000">
      <w:pPr>
        <w:pStyle w:val="Style_2"/>
        <w:tabs>
          <w:tab w:leader="none" w:pos="0" w:val="left"/>
        </w:tabs>
        <w:spacing w:after="0" w:line="360" w:lineRule="auto"/>
        <w:ind w:firstLine="567" w:left="0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Целью проекта является </w:t>
      </w:r>
      <w:r>
        <w:rPr>
          <w:rFonts w:ascii="PT Astra Serif" w:hAnsi="PT Astra Serif"/>
          <w:color w:val="000000"/>
          <w:sz w:val="28"/>
        </w:rPr>
        <w:t xml:space="preserve">создание и укрепление системы защиты прав потребителей в Республике Саха (Якутия), </w:t>
      </w:r>
      <w:r>
        <w:rPr>
          <w:rFonts w:ascii="PT Astra Serif" w:hAnsi="PT Astra Serif"/>
          <w:color w:val="000000"/>
          <w:sz w:val="28"/>
        </w:rPr>
        <w:t>минимизируя</w:t>
      </w:r>
      <w:r>
        <w:rPr>
          <w:rFonts w:ascii="PT Astra Serif" w:hAnsi="PT Astra Serif"/>
          <w:color w:val="000000"/>
          <w:sz w:val="28"/>
        </w:rPr>
        <w:t xml:space="preserve"> риски ущемления законных интересов граждан и обеспечение эффективных механизмов правовой защиты от недобросовестных действий хозяйствующих субъектов. Также п</w:t>
      </w:r>
      <w:r>
        <w:rPr>
          <w:rFonts w:ascii="PT Astra Serif" w:hAnsi="PT Astra Serif"/>
          <w:color w:val="000000"/>
          <w:sz w:val="28"/>
        </w:rPr>
        <w:t>редотвращение правонарушений в сфере защиты прав потребителей и оборота товаров, подлежащих обязательной маркировке средствами идентификации.</w:t>
      </w:r>
    </w:p>
    <w:p w14:paraId="0C000000">
      <w:pPr>
        <w:pStyle w:val="Style_2"/>
        <w:tabs>
          <w:tab w:leader="none" w:pos="0" w:val="left"/>
        </w:tabs>
        <w:spacing w:after="0" w:line="360" w:lineRule="auto"/>
        <w:ind w:firstLine="992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4. </w:t>
      </w:r>
      <w:r>
        <w:rPr>
          <w:rFonts w:ascii="Times New Roman" w:hAnsi="Times New Roman"/>
          <w:b w:val="1"/>
          <w:sz w:val="28"/>
        </w:rPr>
        <w:t>Структура проекта решения</w:t>
      </w:r>
      <w:r>
        <w:rPr>
          <w:rFonts w:ascii="Times New Roman" w:hAnsi="Times New Roman"/>
          <w:i w:val="1"/>
          <w:sz w:val="28"/>
        </w:rPr>
        <w:t>: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проект расп</w:t>
      </w:r>
      <w:r>
        <w:rPr>
          <w:rFonts w:ascii="Times New Roman" w:hAnsi="Times New Roman"/>
          <w:sz w:val="28"/>
        </w:rPr>
        <w:t>оряжения состоит из преамбулы, 3</w:t>
      </w:r>
      <w:r>
        <w:rPr>
          <w:rFonts w:ascii="Times New Roman" w:hAnsi="Times New Roman"/>
          <w:sz w:val="28"/>
        </w:rPr>
        <w:t xml:space="preserve"> пунктов, 1 приложения.  </w:t>
      </w:r>
    </w:p>
    <w:p w14:paraId="0D000000">
      <w:pPr>
        <w:pStyle w:val="Style_2"/>
        <w:tabs>
          <w:tab w:leader="none" w:pos="0" w:val="left"/>
        </w:tabs>
        <w:spacing w:after="0" w:line="360" w:lineRule="auto"/>
        <w:ind w:firstLine="992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5. </w:t>
      </w:r>
      <w:r>
        <w:rPr>
          <w:rFonts w:ascii="Times New Roman" w:hAnsi="Times New Roman"/>
          <w:b w:val="1"/>
          <w:sz w:val="28"/>
        </w:rPr>
        <w:t>Правовые акты, в которые вносятся или предполагается внести изменения:</w:t>
      </w:r>
      <w:r>
        <w:rPr>
          <w:rFonts w:ascii="Times New Roman" w:hAnsi="Times New Roman"/>
          <w:sz w:val="28"/>
        </w:rPr>
        <w:t xml:space="preserve"> </w:t>
      </w:r>
    </w:p>
    <w:p w14:paraId="0E000000">
      <w:pPr>
        <w:spacing w:line="36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не потребует внесения изменений в действующие нормативные </w:t>
      </w:r>
      <w:r>
        <w:rPr>
          <w:rFonts w:ascii="PT Astra Serif" w:hAnsi="PT Astra Serif"/>
          <w:sz w:val="28"/>
        </w:rPr>
        <w:t>правовые акты.</w:t>
      </w:r>
    </w:p>
    <w:p w14:paraId="0F000000">
      <w:pPr>
        <w:spacing w:line="36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Times New Roman" w:hAnsi="Times New Roman"/>
          <w:b w:val="1"/>
          <w:sz w:val="28"/>
        </w:rPr>
        <w:t xml:space="preserve">6. </w:t>
      </w:r>
      <w:r>
        <w:rPr>
          <w:rFonts w:ascii="Times New Roman" w:hAnsi="Times New Roman"/>
          <w:b w:val="1"/>
          <w:sz w:val="28"/>
        </w:rPr>
        <w:t>Прогноз ожидаемых социально-экономических, экологических и иных последствий от реализации решения:</w:t>
      </w:r>
      <w:r>
        <w:rPr>
          <w:rFonts w:ascii="Times New Roman" w:hAnsi="Times New Roman"/>
          <w:sz w:val="28"/>
        </w:rPr>
        <w:t xml:space="preserve"> </w:t>
      </w:r>
    </w:p>
    <w:p w14:paraId="10000000">
      <w:pPr>
        <w:pStyle w:val="Style_2"/>
        <w:tabs>
          <w:tab w:leader="none" w:pos="993" w:val="left"/>
        </w:tabs>
        <w:spacing w:after="0" w:line="360" w:lineRule="auto"/>
        <w:ind w:firstLine="992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Принятие данного проекта обеспечит оптимизацию процессов и ускорения принятия решений.</w:t>
      </w:r>
    </w:p>
    <w:p w14:paraId="11000000">
      <w:pPr>
        <w:pStyle w:val="Style_2"/>
        <w:tabs>
          <w:tab w:leader="none" w:pos="993" w:val="left"/>
        </w:tabs>
        <w:spacing w:after="0" w:line="360" w:lineRule="auto"/>
        <w:ind w:firstLine="992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7. </w:t>
      </w:r>
      <w:r>
        <w:rPr>
          <w:rFonts w:ascii="Times New Roman" w:hAnsi="Times New Roman"/>
          <w:b w:val="1"/>
          <w:sz w:val="28"/>
        </w:rPr>
        <w:t>Источник финансирования: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Проект не влечет дополнительных расходов из средств государственного бюджета Республики Саха (Якутия).</w:t>
      </w:r>
    </w:p>
    <w:p w14:paraId="12000000">
      <w:pPr>
        <w:pStyle w:val="Style_2"/>
        <w:tabs>
          <w:tab w:leader="none" w:pos="993" w:val="left"/>
        </w:tabs>
        <w:spacing w:after="0" w:line="360" w:lineRule="auto"/>
        <w:ind w:firstLine="992" w:left="0"/>
        <w:rPr>
          <w:rFonts w:ascii="Times New Roman" w:hAnsi="Times New Roman"/>
          <w:sz w:val="28"/>
        </w:rPr>
      </w:pPr>
    </w:p>
    <w:p w14:paraId="13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     </w:t>
      </w:r>
    </w:p>
    <w:p w14:paraId="14000000">
      <w:pPr>
        <w:ind/>
        <w:jc w:val="both"/>
        <w:rPr>
          <w:sz w:val="28"/>
        </w:rPr>
      </w:pPr>
    </w:p>
    <w:tbl>
      <w:tblPr>
        <w:tblStyle w:val="Style_3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2127"/>
        <w:gridCol w:w="5811"/>
        <w:gridCol w:w="2268"/>
      </w:tblGrid>
      <w:tr>
        <w:trPr>
          <w:trHeight w:hRule="atLeast" w:val="700"/>
        </w:trPr>
        <w:tc>
          <w:tcPr>
            <w:tcW w:type="dxa" w:w="212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5000000">
            <w:pPr>
              <w:spacing w:after="160" w:line="264" w:lineRule="auto"/>
              <w:ind/>
              <w:rPr>
                <w:sz w:val="28"/>
              </w:rPr>
            </w:pPr>
            <w:bookmarkStart w:id="2" w:name="SIGNERPOST1"/>
            <w:r>
              <w:rPr>
                <w:sz w:val="28"/>
              </w:rPr>
              <w:t>Должность</w:t>
            </w:r>
            <w:bookmarkEnd w:id="2"/>
          </w:p>
        </w:tc>
        <w:tc>
          <w:tcPr>
            <w:tcW w:type="dxa" w:w="581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6000000">
            <w:pPr>
              <w:spacing w:after="160" w:line="264" w:lineRule="auto"/>
              <w:ind/>
              <w:rPr>
                <w:sz w:val="28"/>
              </w:rPr>
            </w:pPr>
            <w:bookmarkStart w:id="3" w:name="SIGNERSTAMP1"/>
            <w:r>
              <w:rPr>
                <w:sz w:val="28"/>
              </w:rPr>
              <w:t>[ШТАМП]</w:t>
            </w:r>
            <w:bookmarkEnd w:id="3"/>
          </w:p>
        </w:tc>
        <w:tc>
          <w:tcPr>
            <w:tcW w:type="dxa" w:w="226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7000000">
            <w:pPr>
              <w:spacing w:after="160" w:line="264" w:lineRule="auto"/>
              <w:ind/>
              <w:jc w:val="center"/>
              <w:rPr>
                <w:sz w:val="28"/>
              </w:rPr>
            </w:pPr>
            <w:bookmarkStart w:id="4" w:name="SIGNERNAME1"/>
            <w:r>
              <w:rPr>
                <w:sz w:val="28"/>
              </w:rPr>
              <w:t>ФИО</w:t>
            </w:r>
            <w:bookmarkEnd w:id="4"/>
          </w:p>
        </w:tc>
      </w:tr>
    </w:tbl>
    <w:p w14:paraId="18000000">
      <w:pPr>
        <w:ind/>
        <w:jc w:val="both"/>
        <w:rPr>
          <w:sz w:val="28"/>
        </w:rPr>
      </w:pPr>
    </w:p>
    <w:p w14:paraId="19000000"/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Default"/>
    <w:link w:val="Style_6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6_ch" w:type="character">
    <w:name w:val="Default"/>
    <w:link w:val="Style_6"/>
    <w:rPr>
      <w:rFonts w:ascii="Times New Roman" w:hAnsi="Times New Roman"/>
      <w:color w:val="000000"/>
      <w:sz w:val="24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2" w:type="paragraph">
    <w:name w:val="List Paragraph"/>
    <w:basedOn w:val="Style_4"/>
    <w:link w:val="Style_2_ch"/>
    <w:pPr>
      <w:spacing w:after="200"/>
      <w:ind w:left="720"/>
      <w:contextualSpacing w:val="1"/>
      <w:jc w:val="both"/>
    </w:pPr>
    <w:rPr>
      <w:rFonts w:asciiTheme="minorAscii" w:hAnsiTheme="minorHAnsi"/>
      <w:color w:val="000000"/>
      <w:sz w:val="22"/>
    </w:rPr>
  </w:style>
  <w:style w:styleId="Style_2_ch" w:type="character">
    <w:name w:val="List Paragraph"/>
    <w:basedOn w:val="Style_4_ch"/>
    <w:link w:val="Style_2"/>
    <w:rPr>
      <w:rFonts w:asciiTheme="minorAscii" w:hAnsiTheme="minorHAnsi"/>
      <w:color w:val="000000"/>
      <w:sz w:val="22"/>
    </w:rPr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" w:type="paragraph">
    <w:name w:val="heading 1"/>
    <w:next w:val="Style_4"/>
    <w:link w:val="Style_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_ch" w:type="character">
    <w:name w:val="heading 1"/>
    <w:link w:val="Style_1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4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4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Balloon Text"/>
    <w:basedOn w:val="Style_4"/>
    <w:link w:val="Style_19_ch"/>
    <w:rPr>
      <w:rFonts w:ascii="Tahoma" w:hAnsi="Tahoma"/>
      <w:sz w:val="16"/>
    </w:rPr>
  </w:style>
  <w:style w:styleId="Style_19_ch" w:type="character">
    <w:name w:val="Balloon Text"/>
    <w:basedOn w:val="Style_4_ch"/>
    <w:link w:val="Style_19"/>
    <w:rPr>
      <w:rFonts w:ascii="Tahoma" w:hAnsi="Tahoma"/>
      <w:sz w:val="16"/>
    </w:rPr>
  </w:style>
  <w:style w:styleId="Style_20" w:type="paragraph">
    <w:name w:val="toc 8"/>
    <w:next w:val="Style_4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5"/>
    <w:next w:val="Style_4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caption"/>
    <w:basedOn w:val="Style_4"/>
    <w:next w:val="Style_4"/>
    <w:link w:val="Style_23_ch"/>
    <w:pPr>
      <w:spacing w:after="200"/>
      <w:ind/>
    </w:pPr>
    <w:rPr>
      <w:rFonts w:ascii="Calibri" w:hAnsi="Calibri"/>
      <w:i w:val="1"/>
      <w:color w:val="1F497D"/>
      <w:sz w:val="18"/>
    </w:rPr>
  </w:style>
  <w:style w:styleId="Style_23_ch" w:type="character">
    <w:name w:val="caption"/>
    <w:basedOn w:val="Style_4_ch"/>
    <w:link w:val="Style_23"/>
    <w:rPr>
      <w:rFonts w:ascii="Calibri" w:hAnsi="Calibri"/>
      <w:i w:val="1"/>
      <w:color w:val="1F497D"/>
      <w:sz w:val="18"/>
    </w:rPr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28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2026-09-28T02:40:54Z</dcterms:modified>
</cp:coreProperties>
</file>