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1000000">
      <w:pPr>
        <w:widowControl w:val="1"/>
        <w:ind/>
        <w:jc w:val="right"/>
        <w:outlineLvl w:val="0"/>
      </w:pPr>
      <w:r>
        <w:rPr>
          <w:sz w:val="24"/>
        </w:rPr>
        <w:t>Приложение № 1</w:t>
      </w:r>
    </w:p>
    <w:p w14:paraId="02000000">
      <w:pPr>
        <w:widowControl w:val="1"/>
        <w:ind/>
        <w:jc w:val="right"/>
      </w:pPr>
      <w:r>
        <w:rPr>
          <w:sz w:val="24"/>
        </w:rPr>
        <w:t>к приказу</w:t>
      </w:r>
    </w:p>
    <w:p w14:paraId="03000000">
      <w:pPr>
        <w:widowControl w:val="1"/>
        <w:ind/>
        <w:jc w:val="right"/>
      </w:pPr>
      <w:r>
        <w:rPr>
          <w:sz w:val="24"/>
        </w:rPr>
        <w:t>Министерства предпринимательства,</w:t>
      </w:r>
    </w:p>
    <w:p w14:paraId="04000000">
      <w:pPr>
        <w:widowControl w:val="1"/>
        <w:ind/>
        <w:jc w:val="right"/>
      </w:pPr>
      <w:r>
        <w:rPr>
          <w:sz w:val="24"/>
        </w:rPr>
        <w:t>торговли и туризма</w:t>
      </w:r>
    </w:p>
    <w:p w14:paraId="05000000">
      <w:pPr>
        <w:widowControl w:val="1"/>
        <w:ind/>
        <w:jc w:val="right"/>
      </w:pPr>
      <w:r>
        <w:rPr>
          <w:sz w:val="24"/>
        </w:rPr>
        <w:t>Республики Саха (Якутия)</w:t>
      </w:r>
    </w:p>
    <w:p w14:paraId="06000000">
      <w:pPr>
        <w:widowControl w:val="1"/>
        <w:ind/>
        <w:jc w:val="right"/>
        <w:rPr>
          <w:sz w:val="24"/>
        </w:rPr>
      </w:pPr>
      <w:r>
        <w:rPr>
          <w:sz w:val="24"/>
        </w:rPr>
        <w:t>от ______________ 2026 г. № _____</w:t>
      </w:r>
    </w:p>
    <w:p w14:paraId="07000000">
      <w:pPr>
        <w:widowControl w:val="0"/>
        <w:ind/>
      </w:pPr>
    </w:p>
    <w:p w14:paraId="08000000">
      <w:pPr>
        <w:widowControl w:val="1"/>
        <w:ind/>
        <w:jc w:val="center"/>
        <w:rPr>
          <w:b w:val="1"/>
          <w:i w:val="0"/>
        </w:rPr>
      </w:pPr>
      <w:r>
        <w:rPr>
          <w:b w:val="1"/>
          <w:i w:val="0"/>
          <w:sz w:val="24"/>
        </w:rPr>
        <w:t>ПОРЯДОК</w:t>
      </w:r>
    </w:p>
    <w:p w14:paraId="09000000">
      <w:pPr>
        <w:widowControl w:val="1"/>
        <w:ind/>
        <w:jc w:val="center"/>
        <w:rPr>
          <w:b w:val="1"/>
          <w:i w:val="0"/>
        </w:rPr>
      </w:pPr>
      <w:r>
        <w:rPr>
          <w:b w:val="1"/>
          <w:i w:val="0"/>
          <w:sz w:val="24"/>
        </w:rPr>
        <w:t>РАЗРАБОТКИ, УТВЕРЖДЕНИЯ, ИЗМЕНЕНИЯ И ДОПОЛНЕНИЯ СХЕМ</w:t>
      </w:r>
    </w:p>
    <w:p w14:paraId="0A000000">
      <w:pPr>
        <w:widowControl w:val="1"/>
        <w:ind/>
        <w:jc w:val="center"/>
        <w:rPr>
          <w:b w:val="1"/>
          <w:i w:val="0"/>
        </w:rPr>
      </w:pPr>
      <w:r>
        <w:rPr>
          <w:b w:val="1"/>
          <w:i w:val="0"/>
          <w:sz w:val="24"/>
        </w:rPr>
        <w:t>РАЗМЕЩЕНИЯ НЕСТАЦИОНАРНЫХ ТОРГОВЫХ ОБЪЕКТОВ ОРГАНАМИ</w:t>
      </w:r>
    </w:p>
    <w:p w14:paraId="0B000000">
      <w:pPr>
        <w:widowControl w:val="1"/>
        <w:ind/>
        <w:jc w:val="center"/>
        <w:outlineLvl w:val="1"/>
        <w:rPr>
          <w:b w:val="1"/>
          <w:i w:val="0"/>
        </w:rPr>
      </w:pPr>
      <w:r>
        <w:rPr>
          <w:b w:val="1"/>
          <w:i w:val="0"/>
          <w:sz w:val="24"/>
        </w:rPr>
        <w:t>МЕСТНОГО САМОУПРАВЛЕНИЯ РЕСПУБЛИКИ САХА (ЯКУТИЯ)</w:t>
      </w:r>
    </w:p>
    <w:p w14:paraId="0C000000">
      <w:pPr>
        <w:widowControl w:val="1"/>
        <w:ind/>
        <w:jc w:val="center"/>
        <w:outlineLvl w:val="1"/>
        <w:rPr>
          <w:b w:val="1"/>
          <w:i w:val="0"/>
        </w:rPr>
      </w:pPr>
    </w:p>
    <w:p w14:paraId="0D000000">
      <w:pPr>
        <w:widowControl w:val="1"/>
        <w:ind/>
        <w:jc w:val="center"/>
        <w:outlineLvl w:val="1"/>
        <w:rPr>
          <w:b w:val="1"/>
          <w:i w:val="0"/>
        </w:rPr>
      </w:pPr>
      <w:r>
        <w:rPr>
          <w:b w:val="1"/>
          <w:i w:val="0"/>
          <w:sz w:val="24"/>
        </w:rPr>
        <w:t>1. Общие положения</w:t>
      </w:r>
    </w:p>
    <w:p w14:paraId="0E000000">
      <w:pPr>
        <w:widowControl w:val="0"/>
        <w:ind/>
      </w:pPr>
    </w:p>
    <w:p w14:paraId="0F000000">
      <w:pPr>
        <w:widowControl w:val="1"/>
        <w:ind w:firstLine="540"/>
        <w:jc w:val="both"/>
      </w:pPr>
      <w:r>
        <w:rPr>
          <w:sz w:val="24"/>
        </w:rPr>
        <w:t xml:space="preserve">1.1. Настоящий Порядок разработки, утверждения, изменения и дополнения схем размещения нестационарных торговых объектов органами местного самоуправления Республики Саха (Якутия) (далее - Порядок) разработан в соответствии со </w:t>
      </w:r>
      <w:r>
        <w:rPr>
          <w:color w:val="0000FF"/>
          <w:sz w:val="24"/>
        </w:rPr>
        <w:fldChar w:fldCharType="begin"/>
      </w:r>
      <w:r>
        <w:rPr>
          <w:color w:val="0000FF"/>
          <w:sz w:val="24"/>
        </w:rPr>
        <w:instrText>HYPERLINK "https://login.consultant.ru/link/?req=doc&amp;base=LAW&amp;n=538708&amp;date=03.08.2026&amp;dst=100117&amp;field=134ОбосновахгосударственногорегулированияторговойдеятельностивРоссийскойФедерации{КонсультантПлюс}" \o "Федеральный закон от 28.12.2009 N 381-ФЗ (ред. от 04.07.2026)"</w:instrText>
      </w:r>
      <w:r>
        <w:rPr>
          <w:color w:val="0000FF"/>
          <w:sz w:val="24"/>
        </w:rPr>
        <w:fldChar w:fldCharType="separate"/>
      </w:r>
      <w:r>
        <w:rPr>
          <w:color w:val="0000FF"/>
          <w:sz w:val="24"/>
        </w:rPr>
        <w:t>статьей 10</w:t>
      </w:r>
      <w:r>
        <w:rPr>
          <w:color w:val="0000FF"/>
          <w:sz w:val="24"/>
        </w:rPr>
        <w:fldChar w:fldCharType="end"/>
      </w:r>
      <w:r>
        <w:rPr>
          <w:sz w:val="24"/>
        </w:rPr>
        <w:t xml:space="preserve"> Федерального закона от 28 декабря 2009 года N 381-ФЗ "Об основах государственного регулирования торговой деятельности в Российской Федерации", </w:t>
      </w:r>
      <w:r>
        <w:rPr>
          <w:color w:val="0000FF"/>
          <w:sz w:val="24"/>
        </w:rPr>
        <w:fldChar w:fldCharType="begin"/>
      </w:r>
      <w:r>
        <w:rPr>
          <w:color w:val="0000FF"/>
          <w:sz w:val="24"/>
        </w:rPr>
        <w:instrText>HYPERLINK "https://login.consultant.ru/link/?req=doc&amp;base=RLAW249&amp;n=109531&amp;date=03.08.2026&amp;dst=100043&amp;field=134ОрегулированииторговойдеятельностивРеспубликеСаха(Якутия)(принят постановлением ГС (Ил Тумэн) РС(Я) от 27.11.2014 З N 308-V) {КонсультантПлюс}" \o "Закон Республики Саха (Якутия) от 27.11.2014 1377-З N 307-V (ред. от 12.03.2026)"</w:instrText>
      </w:r>
      <w:r>
        <w:rPr>
          <w:color w:val="0000FF"/>
          <w:sz w:val="24"/>
        </w:rPr>
        <w:fldChar w:fldCharType="separate"/>
      </w:r>
      <w:r>
        <w:rPr>
          <w:color w:val="0000FF"/>
          <w:sz w:val="24"/>
        </w:rPr>
        <w:t>статьей 6</w:t>
      </w:r>
      <w:r>
        <w:rPr>
          <w:color w:val="0000FF"/>
          <w:sz w:val="24"/>
        </w:rPr>
        <w:fldChar w:fldCharType="end"/>
      </w:r>
      <w:r>
        <w:rPr>
          <w:sz w:val="24"/>
        </w:rPr>
        <w:t xml:space="preserve"> Закона Республики Саха (Якутия) от 27 ноября 2014 года 1377-З N 307-V "О регулировании торговой деятельности в Республике Саха (Якутия)" и </w:t>
      </w:r>
      <w:r>
        <w:rPr>
          <w:color w:val="0000FF"/>
          <w:sz w:val="24"/>
        </w:rPr>
        <w:fldChar w:fldCharType="begin"/>
      </w:r>
      <w:r>
        <w:rPr>
          <w:color w:val="0000FF"/>
          <w:sz w:val="24"/>
        </w:rPr>
        <w:instrText>HYPERLINK "https://login.consultant.ru/link/?req=doc&amp;base=LAW&amp;n=435443&amp;date=03.08.2026" \o "Распоряжение Правительства РФ от 30.01.2021 N 208-р (ред. от 23.12.2022) &lt;О рекомендациях органам исполнительной власти субъектов РФ и органам местного самоуправления по вопросу о новых возможностях для розничного сбыта товаров&gt; {КонсультантПлюс}"</w:instrText>
      </w:r>
      <w:r>
        <w:rPr>
          <w:color w:val="0000FF"/>
          <w:sz w:val="24"/>
        </w:rPr>
        <w:fldChar w:fldCharType="separate"/>
      </w:r>
      <w:r>
        <w:rPr>
          <w:color w:val="0000FF"/>
          <w:sz w:val="24"/>
        </w:rPr>
        <w:t>распоряжением</w:t>
      </w:r>
      <w:r>
        <w:rPr>
          <w:color w:val="0000FF"/>
          <w:sz w:val="24"/>
        </w:rPr>
        <w:fldChar w:fldCharType="end"/>
      </w:r>
      <w:r>
        <w:rPr>
          <w:sz w:val="24"/>
        </w:rPr>
        <w:t xml:space="preserve"> Правительства Российской Федерации от 30 января 2021 года N 208-р "О рекомендациях органам исполнительной власти субъектов РФ и органам местного самоуправления по вопросу о новых возможностях для розничного сбыта товаров" в целях:</w:t>
      </w:r>
    </w:p>
    <w:p w14:paraId="10000000">
      <w:pPr>
        <w:widowControl w:val="1"/>
        <w:spacing w:before="240"/>
        <w:ind w:firstLine="540"/>
        <w:jc w:val="both"/>
      </w:pPr>
      <w:r>
        <w:rPr>
          <w:sz w:val="24"/>
        </w:rPr>
        <w:t>установления единого порядка размещения нестационарных торговых объектов на территориях муниципальных образований в Республике Саха (Якутия);</w:t>
      </w:r>
    </w:p>
    <w:p w14:paraId="11000000">
      <w:pPr>
        <w:widowControl w:val="1"/>
        <w:spacing w:before="240"/>
        <w:ind w:firstLine="540"/>
        <w:jc w:val="both"/>
      </w:pPr>
      <w:r>
        <w:rPr>
          <w:sz w:val="24"/>
        </w:rPr>
        <w:t>создания условий для улучшения организации и качества торгового обслуживания населения и обеспечения доступности товаров для населения;</w:t>
      </w:r>
    </w:p>
    <w:p w14:paraId="12000000">
      <w:pPr>
        <w:widowControl w:val="1"/>
        <w:spacing w:before="240"/>
        <w:ind w:firstLine="540"/>
        <w:jc w:val="both"/>
      </w:pPr>
      <w:r>
        <w:rPr>
          <w:sz w:val="24"/>
        </w:rPr>
        <w:t>формирования здоровой конкурентной среды в сфере торговли;</w:t>
      </w:r>
    </w:p>
    <w:p w14:paraId="13000000">
      <w:pPr>
        <w:widowControl w:val="1"/>
        <w:spacing w:before="240"/>
        <w:ind w:firstLine="540"/>
        <w:jc w:val="both"/>
      </w:pPr>
      <w:r>
        <w:rPr>
          <w:sz w:val="24"/>
        </w:rPr>
        <w:t>восполнения недостающей стационарной торговой сети для достижения нормативов минимальной обеспеченности площадью торговых объектов;</w:t>
      </w:r>
    </w:p>
    <w:p w14:paraId="14000000">
      <w:pPr>
        <w:widowControl w:val="1"/>
        <w:spacing w:before="240"/>
        <w:ind w:firstLine="540"/>
        <w:jc w:val="both"/>
      </w:pPr>
      <w:r>
        <w:rPr>
          <w:sz w:val="24"/>
        </w:rPr>
        <w:t>обеспечения рационального размещения розничной торговой сети и наиболее полного удовлетворения потребности населения в торговом обслуживании;</w:t>
      </w:r>
    </w:p>
    <w:p w14:paraId="15000000">
      <w:pPr>
        <w:widowControl w:val="1"/>
        <w:spacing w:before="240"/>
        <w:ind w:firstLine="540"/>
        <w:jc w:val="both"/>
      </w:pPr>
      <w:r>
        <w:rPr>
          <w:sz w:val="24"/>
        </w:rPr>
        <w:t>соблюдения баланса интересов между населением, субъектами предпринимательской деятельности, осуществляющими торговую деятельность, органами местного самоуправления.</w:t>
      </w:r>
    </w:p>
    <w:p w14:paraId="16000000">
      <w:pPr>
        <w:widowControl w:val="1"/>
        <w:spacing w:before="240"/>
        <w:ind w:firstLine="540"/>
        <w:jc w:val="both"/>
        <w:rPr>
          <w:sz w:val="24"/>
        </w:rPr>
      </w:pPr>
      <w:r>
        <w:rPr>
          <w:rStyle w:val="Style_1_ch"/>
          <w:sz w:val="24"/>
        </w:rPr>
        <w:t xml:space="preserve">1.2. </w:t>
      </w:r>
      <w:r>
        <w:rPr>
          <w:rStyle w:val="Style_1_ch"/>
          <w:sz w:val="24"/>
        </w:rPr>
        <w:t>Порядок определяет основные требования к разработке, утверждению, изменению и дополнению схемы размещения нестационарных торговых объектов (далее - Схема), размещенных и планируемых к ра</w:t>
      </w:r>
      <w:r>
        <w:rPr>
          <w:rStyle w:val="Style_1_ch"/>
          <w:sz w:val="24"/>
        </w:rPr>
        <w:t>змещению на земельных участках, в зданиях, строениях, сооружениях, находящихся в государственной, муниципальной и на земельных участках, находящихся в частной собственности, на территории муниципальных образований Республики Саха (Якутия)</w:t>
      </w:r>
      <w:r>
        <w:rPr>
          <w:rStyle w:val="Style_1_ch"/>
          <w:sz w:val="24"/>
        </w:rPr>
        <w:t>.</w:t>
      </w:r>
    </w:p>
    <w:p w14:paraId="17000000">
      <w:pPr>
        <w:widowControl w:val="1"/>
        <w:spacing w:before="240"/>
        <w:ind w:firstLine="540"/>
        <w:jc w:val="both"/>
      </w:pPr>
      <w:r>
        <w:rPr>
          <w:sz w:val="24"/>
        </w:rPr>
        <w:t>1.3. Включению в Схему подлежат следующие виды нестационарных торговых объектов: павильон, киоск, палатка, автомагазин, автолавка, автофургон, автоприцеп, автоцистерна, сезонная (летняя) площадка (кафе), временная торговая площадка, торговый (вейдинговый) автомат, тонар, передвижной торговый аппарат.</w:t>
      </w:r>
    </w:p>
    <w:p w14:paraId="18000000">
      <w:pPr>
        <w:widowControl w:val="1"/>
        <w:spacing w:before="240"/>
        <w:ind w:firstLine="540"/>
        <w:jc w:val="both"/>
      </w:pPr>
      <w:r>
        <w:rPr>
          <w:sz w:val="24"/>
        </w:rPr>
        <w:t>1.4. Требования, предусмотренные настоящим Порядком, не распространяются на отношения, связанные с размещением нестационарных торговых объектов:</w:t>
      </w:r>
    </w:p>
    <w:p w14:paraId="19000000">
      <w:pPr>
        <w:widowControl w:val="1"/>
        <w:spacing w:before="240"/>
        <w:ind w:firstLine="540"/>
        <w:jc w:val="both"/>
      </w:pPr>
      <w:r>
        <w:rPr>
          <w:sz w:val="24"/>
        </w:rPr>
        <w:t>на территориях розничных рынков, оптово-розничных баз (рынков), ярмарок;</w:t>
      </w:r>
    </w:p>
    <w:p w14:paraId="1A000000">
      <w:pPr>
        <w:widowControl w:val="1"/>
        <w:spacing w:before="240"/>
        <w:ind w:firstLine="540"/>
        <w:jc w:val="both"/>
      </w:pPr>
      <w:r>
        <w:rPr>
          <w:sz w:val="24"/>
        </w:rPr>
        <w:t>при проведении массовых праздничных, общественно-политических, спортивно-массовых и культурно-массовых мероприятий, проводимых по решению органов государственной власти Республики Саха (Якутия) или органов местного самоуправления, либо согласованных с ними в установленном порядке;</w:t>
      </w:r>
    </w:p>
    <w:p w14:paraId="1B000000">
      <w:pPr>
        <w:widowControl w:val="1"/>
        <w:spacing w:before="240"/>
        <w:ind w:firstLine="540"/>
        <w:jc w:val="both"/>
        <w:rPr>
          <w:sz w:val="24"/>
        </w:rPr>
      </w:pPr>
      <w:r>
        <w:rPr>
          <w:rStyle w:val="Style_1_ch"/>
          <w:sz w:val="24"/>
        </w:rPr>
        <w:t xml:space="preserve">вида </w:t>
      </w:r>
      <w:r>
        <w:rPr>
          <w:rStyle w:val="Style_1_ch"/>
          <w:sz w:val="24"/>
        </w:rPr>
        <w:t>торговый (</w:t>
      </w:r>
      <w:r>
        <w:rPr>
          <w:rStyle w:val="Style_1_ch"/>
          <w:sz w:val="24"/>
        </w:rPr>
        <w:t>вендинговый</w:t>
      </w:r>
      <w:r>
        <w:rPr>
          <w:rStyle w:val="Style_1_ch"/>
          <w:sz w:val="24"/>
        </w:rPr>
        <w:t>) автомат по продаже питьевой воды в розлив</w:t>
      </w:r>
      <w:r>
        <w:rPr>
          <w:rStyle w:val="Style_1_ch"/>
          <w:sz w:val="24"/>
        </w:rPr>
        <w:t xml:space="preserve"> на земельных участках, находящихся в частной собственности.</w:t>
      </w:r>
    </w:p>
    <w:p w14:paraId="1C000000">
      <w:pPr>
        <w:widowControl w:val="1"/>
        <w:spacing w:before="240"/>
        <w:ind w:firstLine="540"/>
        <w:jc w:val="both"/>
      </w:pPr>
      <w:r>
        <w:rPr>
          <w:sz w:val="24"/>
        </w:rPr>
        <w:t>1.5. Разработка Схемы осуществляется на принципах:</w:t>
      </w:r>
    </w:p>
    <w:p w14:paraId="1D000000">
      <w:pPr>
        <w:widowControl w:val="1"/>
        <w:spacing w:before="240"/>
        <w:ind w:firstLine="540"/>
        <w:jc w:val="both"/>
      </w:pPr>
      <w:r>
        <w:rPr>
          <w:sz w:val="24"/>
        </w:rPr>
        <w:t>1.5.1. Необходимости обеспечения устойчивого развития территории муниципальных образований республики.</w:t>
      </w:r>
    </w:p>
    <w:p w14:paraId="1E000000">
      <w:pPr>
        <w:widowControl w:val="1"/>
        <w:spacing w:before="240"/>
        <w:ind w:firstLine="540"/>
        <w:jc w:val="both"/>
      </w:pPr>
      <w:r>
        <w:rPr>
          <w:sz w:val="24"/>
        </w:rPr>
        <w:t>1.5.2. Необходимости достижения нормативов минимальной обеспеченности населения площадью торговых объектов с учетом действующей стационарной торговой сети.</w:t>
      </w:r>
    </w:p>
    <w:p w14:paraId="1F000000">
      <w:pPr>
        <w:widowControl w:val="1"/>
        <w:spacing w:before="240"/>
        <w:ind w:firstLine="540"/>
        <w:jc w:val="both"/>
      </w:pPr>
      <w:r>
        <w:rPr>
          <w:sz w:val="24"/>
        </w:rPr>
        <w:t>1.5.3. Необходимости обеспечения населения дополнительными товарами и торговыми услугами в зависимости от спроса в сезонные периоды года.</w:t>
      </w:r>
    </w:p>
    <w:p w14:paraId="20000000">
      <w:pPr>
        <w:widowControl w:val="1"/>
        <w:spacing w:before="240"/>
        <w:ind w:firstLine="540"/>
        <w:jc w:val="both"/>
      </w:pPr>
      <w:r>
        <w:rPr>
          <w:sz w:val="24"/>
        </w:rPr>
        <w:t>1.5.4. Размещения не менее шестидесяти процентов нестационарных торговых объектов, используемых субъектами малого или среднего предпринимательства, осуществляющими торговую деятельность, от общего количества нестационарных торговых объектов, включенных в Схему.</w:t>
      </w:r>
    </w:p>
    <w:p w14:paraId="21000000">
      <w:pPr>
        <w:widowControl w:val="1"/>
        <w:spacing w:before="240"/>
        <w:ind w:firstLine="540"/>
        <w:jc w:val="both"/>
      </w:pPr>
      <w:r>
        <w:rPr>
          <w:sz w:val="24"/>
        </w:rPr>
        <w:t>1.5.5. Содействия развитию торговли товарами российских производителей.</w:t>
      </w:r>
    </w:p>
    <w:p w14:paraId="22000000">
      <w:pPr>
        <w:widowControl w:val="1"/>
        <w:spacing w:before="240"/>
        <w:ind w:firstLine="540"/>
        <w:jc w:val="both"/>
      </w:pPr>
      <w:r>
        <w:rPr>
          <w:sz w:val="24"/>
        </w:rPr>
        <w:t>1.5.6. Недопущения ухудшения условий проживания, отдыха, лечения, труда людей в жилых зданиях и зданиях иного назначения.</w:t>
      </w:r>
    </w:p>
    <w:p w14:paraId="23000000">
      <w:pPr>
        <w:widowControl w:val="1"/>
        <w:spacing w:before="240"/>
        <w:ind w:firstLine="540"/>
        <w:jc w:val="both"/>
      </w:pPr>
      <w:r>
        <w:rPr>
          <w:sz w:val="24"/>
        </w:rPr>
        <w:t>1.5.7. Баланса интересов между населением, субъектами предпринимательской деятельности, осуществляющими торговую деятельность, органами местного самоуправления.</w:t>
      </w:r>
    </w:p>
    <w:p w14:paraId="24000000">
      <w:pPr>
        <w:widowControl w:val="1"/>
        <w:spacing w:before="240"/>
        <w:ind w:firstLine="540"/>
        <w:jc w:val="both"/>
      </w:pPr>
      <w:r>
        <w:rPr>
          <w:sz w:val="24"/>
        </w:rPr>
        <w:t>1.5.8. Обеспечения максимальной доступности торговых объектов для населения, увеличение ассортимента и разнообразия товаров, предлагаемых к реализации юридическими и физическими лицами.</w:t>
      </w:r>
    </w:p>
    <w:p w14:paraId="25000000">
      <w:pPr>
        <w:widowControl w:val="1"/>
        <w:spacing w:before="240"/>
        <w:ind w:firstLine="540"/>
        <w:jc w:val="both"/>
      </w:pPr>
      <w:r>
        <w:rPr>
          <w:sz w:val="24"/>
        </w:rPr>
        <w:t>1.5.9. Содействия открытию юридическими и физическими лицами новых торговых объектов всех форм торговли, обращая внимание на места размещения нестационарных торговых объектов, а также предоставления компенсационных мест для размещения торговых объектов.</w:t>
      </w:r>
    </w:p>
    <w:p w14:paraId="26000000">
      <w:pPr>
        <w:widowControl w:val="1"/>
        <w:spacing w:before="240"/>
        <w:ind w:firstLine="540"/>
        <w:jc w:val="both"/>
        <w:rPr>
          <w:sz w:val="24"/>
        </w:rPr>
      </w:pPr>
      <w:r>
        <w:rPr>
          <w:rStyle w:val="Style_1_ch"/>
          <w:sz w:val="24"/>
        </w:rPr>
        <w:t xml:space="preserve">1.6 </w:t>
      </w:r>
      <w:r>
        <w:rPr>
          <w:rStyle w:val="Style_1_ch"/>
          <w:sz w:val="24"/>
        </w:rPr>
        <w:t>Порядок раз</w:t>
      </w:r>
      <w:r>
        <w:rPr>
          <w:rStyle w:val="Style_1_ch"/>
          <w:sz w:val="24"/>
        </w:rPr>
        <w:t>мещения и использования нестационарных торговых объектов на земельных участках, в зданиях, строениях, сооружениях, находящихся в частной собственности, устанавливается собственниками земельных участков, зданий, строений, сооружений с учетом требований, опр</w:t>
      </w:r>
      <w:r>
        <w:rPr>
          <w:rStyle w:val="Style_1_ch"/>
          <w:sz w:val="24"/>
        </w:rPr>
        <w:t>еделенных законодательством Российской Федерации и законодательством Республики Саха (Якутия).</w:t>
      </w:r>
    </w:p>
    <w:p w14:paraId="27000000">
      <w:pPr>
        <w:widowControl w:val="1"/>
        <w:spacing w:before="240"/>
        <w:ind w:firstLine="540"/>
        <w:jc w:val="both"/>
        <w:rPr>
          <w:sz w:val="24"/>
        </w:rPr>
      </w:pPr>
      <w:r>
        <w:rPr>
          <w:sz w:val="24"/>
        </w:rPr>
        <w:t>1.7 Разработка и утверждение схем размещения нестационарных торговых объектов осуществляется органами местного самоуправления городского округа, городского или сельского поселения, определенными уставами соответствующих муниципальных образований.</w:t>
      </w:r>
    </w:p>
    <w:p w14:paraId="28000000">
      <w:pPr>
        <w:widowControl w:val="1"/>
        <w:spacing w:before="240"/>
        <w:ind w:firstLine="540"/>
        <w:jc w:val="both"/>
        <w:rPr>
          <w:sz w:val="24"/>
        </w:rPr>
      </w:pPr>
      <w:r>
        <w:rPr>
          <w:rStyle w:val="Style_1_ch"/>
          <w:sz w:val="24"/>
        </w:rPr>
        <w:t xml:space="preserve">1.8 </w:t>
      </w:r>
      <w:r>
        <w:rPr>
          <w:rStyle w:val="Style_1_ch"/>
          <w:sz w:val="24"/>
        </w:rPr>
        <w:t>Включение в Схему нестационарных торговых объектов, размещенных на земельных участках, находящихся в час</w:t>
      </w:r>
      <w:r>
        <w:rPr>
          <w:rStyle w:val="Style_1_ch"/>
          <w:sz w:val="24"/>
        </w:rPr>
        <w:t>тной собственности, осуществляется в соответствии с пунктом 4.3.1 настоящего Порядка.</w:t>
      </w:r>
    </w:p>
    <w:p w14:paraId="29000000">
      <w:pPr>
        <w:widowControl w:val="1"/>
        <w:spacing w:before="240"/>
        <w:ind w:firstLine="540"/>
        <w:jc w:val="both"/>
      </w:pPr>
      <w:r>
        <w:rPr>
          <w:sz w:val="24"/>
        </w:rPr>
        <w:t>1.9 Схемы размещения нестационарных торговых объектов на территории административных центров городских округов, городских и сельских поселений разрабатываются в первоочередном порядке.</w:t>
      </w:r>
    </w:p>
    <w:p w14:paraId="2A000000">
      <w:pPr>
        <w:widowControl w:val="0"/>
        <w:ind/>
        <w:rPr>
          <w:b w:val="1"/>
        </w:rPr>
      </w:pPr>
    </w:p>
    <w:p w14:paraId="2B000000">
      <w:pPr>
        <w:widowControl w:val="1"/>
        <w:ind/>
        <w:jc w:val="center"/>
        <w:outlineLvl w:val="1"/>
        <w:rPr>
          <w:b w:val="1"/>
        </w:rPr>
      </w:pPr>
      <w:r>
        <w:rPr>
          <w:b w:val="1"/>
          <w:sz w:val="24"/>
        </w:rPr>
        <w:t>2. Основные понятия</w:t>
      </w:r>
    </w:p>
    <w:p w14:paraId="2C000000">
      <w:pPr>
        <w:widowControl w:val="0"/>
        <w:ind/>
      </w:pPr>
    </w:p>
    <w:p w14:paraId="2D000000">
      <w:pPr>
        <w:widowControl w:val="1"/>
        <w:ind w:firstLine="540"/>
        <w:jc w:val="both"/>
      </w:pPr>
      <w:r>
        <w:rPr>
          <w:sz w:val="24"/>
        </w:rPr>
        <w:t>Для целей настоящего Порядка используются следующие понятия:</w:t>
      </w:r>
    </w:p>
    <w:p w14:paraId="2E000000">
      <w:pPr>
        <w:widowControl w:val="1"/>
        <w:spacing w:before="240"/>
        <w:ind w:firstLine="540"/>
        <w:jc w:val="both"/>
      </w:pPr>
      <w:r>
        <w:rPr>
          <w:sz w:val="24"/>
        </w:rPr>
        <w:t>Схема размещения нестационарных торговых объектов - разработанный и утвержденный органом местного самоуправления, определенным в соответствии с уставом муниципального образования, в порядке, установленном уполномоченным органом исполнительной власти субъекта Российской Федерации, документ, которым определены виды нестационарных торговых объектов, их местоположение и размер площади места размещения, специализация, срок, период размещения, основание предоставления права размещения, а также сведения об использовании нестационарного торгового объекта субъектами малого или среднего предпринимательства (далее - Схема) и самозанятыми гражданами.</w:t>
      </w:r>
    </w:p>
    <w:p w14:paraId="2F000000">
      <w:pPr>
        <w:widowControl w:val="1"/>
        <w:spacing w:before="240"/>
        <w:ind w:firstLine="540"/>
        <w:jc w:val="both"/>
        <w:rPr>
          <w:sz w:val="24"/>
        </w:rPr>
      </w:pPr>
      <w:r>
        <w:rPr>
          <w:rStyle w:val="Style_1_ch"/>
          <w:sz w:val="24"/>
        </w:rPr>
        <w:t>Схема состоит из текстовых и графических материалов с привязкой к местности, выполненных на топографо-геодезической ос</w:t>
      </w:r>
      <w:r>
        <w:rPr>
          <w:rStyle w:val="Style_1_ch"/>
          <w:sz w:val="24"/>
        </w:rPr>
        <w:t>нове М 1:500, которыми определяются места расположения нестационарных торговых объектов на земельных участках,  в зданиях, строениях, сооружениях, находящихся в государственной или муниципальной с</w:t>
      </w:r>
      <w:r>
        <w:rPr>
          <w:rStyle w:val="Style_1_ch"/>
          <w:sz w:val="24"/>
        </w:rPr>
        <w:t>обственности, на з</w:t>
      </w:r>
      <w:r>
        <w:rPr>
          <w:rStyle w:val="Style_1_ch"/>
          <w:sz w:val="24"/>
        </w:rPr>
        <w:t xml:space="preserve">емельных участках, находящихся в частной собственности, </w:t>
      </w:r>
      <w:r>
        <w:rPr>
          <w:rStyle w:val="Style_1_ch"/>
          <w:sz w:val="24"/>
        </w:rPr>
        <w:t xml:space="preserve">разработанных с учетом требований строительных, противопожарных, санитарно-эпидемиологических норм, а также существующих градостроительных ограничений, требований по охране окружающей природной среды и рационального использования территорий, </w:t>
      </w:r>
      <w:r>
        <w:rPr>
          <w:rStyle w:val="Style_1_ch"/>
          <w:sz w:val="24"/>
        </w:rPr>
        <w:t>охраны историко-культурного наследия, земельно-хозяйственного устройства</w:t>
      </w:r>
      <w:r>
        <w:rPr>
          <w:rStyle w:val="Style_1_ch"/>
          <w:sz w:val="24"/>
        </w:rPr>
        <w:t>.</w:t>
      </w:r>
    </w:p>
    <w:p w14:paraId="30000000">
      <w:pPr>
        <w:widowControl w:val="1"/>
        <w:spacing w:before="240"/>
        <w:ind w:firstLine="540"/>
        <w:jc w:val="both"/>
        <w:rPr>
          <w:sz w:val="24"/>
        </w:rPr>
      </w:pPr>
      <w:r>
        <w:rPr>
          <w:rStyle w:val="Style_1_ch"/>
          <w:sz w:val="24"/>
        </w:rPr>
        <w:t>Нестационарный торговый объект - торговый объект, представляющий собой временное со</w:t>
      </w:r>
      <w:r>
        <w:rPr>
          <w:rStyle w:val="Style_1_ch"/>
          <w:sz w:val="24"/>
        </w:rPr>
        <w:t>оружение, временное строение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w:t>
      </w:r>
      <w:r>
        <w:rPr>
          <w:rStyle w:val="Style_1_ch"/>
          <w:sz w:val="24"/>
        </w:rPr>
        <w:t>ужение), либо мобильный торговый объект;</w:t>
      </w:r>
    </w:p>
    <w:p w14:paraId="31000000">
      <w:pPr>
        <w:widowControl w:val="1"/>
        <w:spacing w:before="240"/>
        <w:ind w:firstLine="540"/>
        <w:jc w:val="both"/>
        <w:rPr>
          <w:sz w:val="24"/>
        </w:rPr>
      </w:pPr>
      <w:r>
        <w:rPr>
          <w:rStyle w:val="Style_1_ch"/>
          <w:sz w:val="24"/>
        </w:rPr>
        <w:t xml:space="preserve">Мобильный торговый объект - нестационарный торговый объект, представляющий собой транспортное средство, включая механическое </w:t>
      </w:r>
      <w:r>
        <w:rPr>
          <w:rStyle w:val="Style_1_ch"/>
          <w:sz w:val="24"/>
        </w:rPr>
        <w:t>транспортное средство или транспортное средство, предназначенное для</w:t>
      </w:r>
      <w:r>
        <w:rPr>
          <w:rStyle w:val="Style_1_ch"/>
          <w:sz w:val="24"/>
        </w:rPr>
        <w:t xml:space="preserve"> движения в составе с механическим транспортным средством (в том числе автолавка, автомагазин, автоприцеп, автоцистерна);</w:t>
      </w:r>
    </w:p>
    <w:p w14:paraId="32000000">
      <w:pPr>
        <w:widowControl w:val="1"/>
        <w:spacing w:before="240"/>
        <w:ind w:firstLine="540"/>
        <w:jc w:val="both"/>
      </w:pPr>
      <w:r>
        <w:rPr>
          <w:rStyle w:val="Style_1_ch"/>
          <w:sz w:val="24"/>
        </w:rPr>
        <w:t>павильон - нестационарный торговый объект, имеющий торговы</w:t>
      </w:r>
      <w:r>
        <w:rPr>
          <w:sz w:val="24"/>
        </w:rPr>
        <w:t>й зал, одно или несколько помещений для хранения товарного запаса, и рассчитанный на одно или несколько рабочих мест, предназначенный для обслуживания потребителей внутри торгового объекта, перемещение которого, как правило, невозможно без демонтажа его конструкций;</w:t>
      </w:r>
    </w:p>
    <w:p w14:paraId="33000000">
      <w:pPr>
        <w:widowControl w:val="1"/>
        <w:spacing w:before="240"/>
        <w:ind w:firstLine="540"/>
        <w:jc w:val="both"/>
      </w:pPr>
      <w:r>
        <w:rPr>
          <w:sz w:val="24"/>
        </w:rPr>
        <w:t>киоск - нестационарный торговый объект, представляющий собой временное сооружение, не имеющее торгового зала и помещений для хранения товаров, рассчитанный на одно рабочее место, на площади которого хранится товарный запас, перемещение которого на другое место предусматривается без демонтажа его конструкций;</w:t>
      </w:r>
    </w:p>
    <w:p w14:paraId="34000000">
      <w:pPr>
        <w:widowControl w:val="1"/>
        <w:spacing w:before="240"/>
        <w:ind w:firstLine="540"/>
        <w:jc w:val="both"/>
      </w:pPr>
      <w:r>
        <w:rPr>
          <w:sz w:val="24"/>
        </w:rPr>
        <w:t>палатка - передвижной нестационарный торговый объект, представляющий собой временную, легко возводимую сборно-разборную конструкцию, оснащенную прилавком, не имеющий торгового зала и помещений для хранения товарного запаса, рассчитанный на одно или несколько рабочих мест, на площади которых хранится товарный запас на один день торговли;</w:t>
      </w:r>
    </w:p>
    <w:p w14:paraId="35000000">
      <w:pPr>
        <w:widowControl w:val="1"/>
        <w:spacing w:before="240"/>
        <w:ind w:firstLine="540"/>
        <w:jc w:val="both"/>
      </w:pPr>
      <w:r>
        <w:rPr>
          <w:sz w:val="24"/>
        </w:rPr>
        <w:t>автомагазин, автолавка, автофургон, автоприцеп (автоприцепы промышленного производства - тонары) - передвижной нестационарный торговый объект, представляющий собой автотранспортное средство (автомобили, автоприцепы, полуприцепы), используемое для целей осуществления торговой деятельности и предоставления услуг;</w:t>
      </w:r>
    </w:p>
    <w:p w14:paraId="36000000">
      <w:pPr>
        <w:widowControl w:val="1"/>
        <w:spacing w:before="240"/>
        <w:ind w:firstLine="540"/>
        <w:jc w:val="both"/>
      </w:pPr>
      <w:r>
        <w:rPr>
          <w:sz w:val="24"/>
        </w:rPr>
        <w:t>автоцистерна - передвижной нестационарный торговый объект, представляющий собой изотермическую емкость, установленную на базе автотранспортного средства и предназначенную для продажи жидких продовольственных товаров в розлив;</w:t>
      </w:r>
    </w:p>
    <w:p w14:paraId="37000000">
      <w:pPr>
        <w:widowControl w:val="1"/>
        <w:spacing w:before="240"/>
        <w:ind w:firstLine="540"/>
        <w:jc w:val="both"/>
      </w:pPr>
      <w:r>
        <w:rPr>
          <w:sz w:val="24"/>
        </w:rPr>
        <w:t>временная торговая площадка - нестационарный торговый объект, представляющий собой место, в том числе оборудованное сборно-разборными конструкциями, для осуществления временной, в том числе сезонной торговли, а также в виде стоянки, для грузового транспорта по продаже льда, дров, чернозема, песка и предоставления услуг спецтехники. К временным торговым площадкам относятся бахчевые развалы, елочные базары, площадки по продаже рассады и саженцев, а также другие подобные площадки;</w:t>
      </w:r>
    </w:p>
    <w:p w14:paraId="38000000">
      <w:pPr>
        <w:widowControl w:val="1"/>
        <w:spacing w:before="240"/>
        <w:ind w:firstLine="540"/>
        <w:jc w:val="both"/>
      </w:pPr>
      <w:r>
        <w:rPr>
          <w:sz w:val="24"/>
        </w:rPr>
        <w:t>торговый (вендинговый) автомат - автоматическое устройство, предназначенное для продажи штучных товаров без участия продавца;</w:t>
      </w:r>
    </w:p>
    <w:p w14:paraId="39000000">
      <w:pPr>
        <w:widowControl w:val="1"/>
        <w:spacing w:before="240"/>
        <w:ind w:firstLine="540"/>
        <w:jc w:val="both"/>
      </w:pPr>
      <w:r>
        <w:rPr>
          <w:sz w:val="24"/>
        </w:rPr>
        <w:t>договор на право размещения нестационарного торгового объекта (далее - договор размещения) - это договор, заключенный между органом местного самоуправления, определенным в соответствии с уставом муниципального образования, и субъектом розничной торговли на право размещения нестационарного торгового объекта, с правом пролонгации;</w:t>
      </w:r>
    </w:p>
    <w:p w14:paraId="3A000000">
      <w:pPr>
        <w:widowControl w:val="1"/>
        <w:spacing w:before="240"/>
        <w:ind w:firstLine="540"/>
        <w:jc w:val="both"/>
      </w:pPr>
      <w:r>
        <w:rPr>
          <w:sz w:val="24"/>
        </w:rPr>
        <w:t>компенсационное место - это равноценное по критериям территориальной и пешеходной доступности и иным критериям место размещения нестационарного торгового объекта, которое должно быть предложено субъекту розничной торговли в случае изменения градостроительной ситуации до истечения действия договора на право размещения нестационарного торгового объекта, включенное в схему;</w:t>
      </w:r>
    </w:p>
    <w:p w14:paraId="3B000000">
      <w:pPr>
        <w:widowControl w:val="1"/>
        <w:spacing w:before="240"/>
        <w:ind w:firstLine="540"/>
        <w:jc w:val="both"/>
      </w:pPr>
      <w:r>
        <w:rPr>
          <w:sz w:val="24"/>
        </w:rPr>
        <w:t>специализация нестационарного торгового объекта - ассортиментная специфика, при которой восемьдесят и более процентов (пятьдесят и более процентов - для печатной продукции) всех позиций перечня, предлагаемых к продаже товаров от их общего количества, представленных на витринах, прилавках, выставленных в визуально доступных для покупателя местах, составляют товары одной группы;</w:t>
      </w:r>
    </w:p>
    <w:p w14:paraId="3C000000">
      <w:pPr>
        <w:widowControl w:val="1"/>
        <w:spacing w:before="240"/>
        <w:ind w:firstLine="540"/>
        <w:jc w:val="both"/>
      </w:pPr>
      <w:r>
        <w:rPr>
          <w:sz w:val="24"/>
        </w:rPr>
        <w:t>субъект торговли - юридическое лицо или индивидуальный предприниматель, зарегистрированный в установленном порядке, занимающиеся торговой деятельностью;</w:t>
      </w:r>
    </w:p>
    <w:p w14:paraId="3D000000">
      <w:pPr>
        <w:widowControl w:val="1"/>
        <w:spacing w:before="240"/>
        <w:ind w:firstLine="540"/>
        <w:jc w:val="both"/>
      </w:pPr>
      <w:r>
        <w:rPr>
          <w:sz w:val="24"/>
        </w:rPr>
        <w:t>учетный номер места размещения нестационарного торгового объекта - уникальный номер, присваиваемый каждому предусмотренному Схемой месту размещения нестационарного торгового объекта;</w:t>
      </w:r>
    </w:p>
    <w:p w14:paraId="3E000000">
      <w:pPr>
        <w:widowControl w:val="1"/>
        <w:spacing w:before="240"/>
        <w:ind w:firstLine="540"/>
        <w:jc w:val="both"/>
      </w:pPr>
      <w:r>
        <w:rPr>
          <w:sz w:val="24"/>
        </w:rPr>
        <w:t>торговое место - место на рынке (в том числе павильон, киоск, палатка, лоток), специально оборудованное и отведенное управляющей рынком компанией, используемое для осуществления деятельности по продаже товаров (выполнению работ, оказанию услуг) и отвечающее требованиям, установленным органом государственной власти субъекта Российской Федерации, на территории которого находится рынок, и управляющей рынком компанией.</w:t>
      </w:r>
    </w:p>
    <w:p w14:paraId="3F000000">
      <w:pPr>
        <w:widowControl w:val="0"/>
        <w:ind/>
      </w:pPr>
    </w:p>
    <w:p w14:paraId="40000000">
      <w:pPr>
        <w:widowControl w:val="1"/>
        <w:ind/>
        <w:jc w:val="center"/>
        <w:outlineLvl w:val="1"/>
        <w:rPr>
          <w:b w:val="1"/>
        </w:rPr>
      </w:pPr>
      <w:r>
        <w:rPr>
          <w:b w:val="1"/>
          <w:sz w:val="24"/>
        </w:rPr>
        <w:t>3. Порядок разработки и утверждения Схемы</w:t>
      </w:r>
    </w:p>
    <w:p w14:paraId="41000000">
      <w:pPr>
        <w:widowControl w:val="0"/>
        <w:ind/>
      </w:pPr>
    </w:p>
    <w:p w14:paraId="42000000">
      <w:pPr>
        <w:widowControl w:val="1"/>
        <w:ind w:firstLine="540"/>
        <w:jc w:val="both"/>
      </w:pPr>
      <w:r>
        <w:rPr>
          <w:sz w:val="24"/>
        </w:rPr>
        <w:t>3.1. Схема является единой для муниципального образования, разрабатывается, утверждается, изменяется и дополняется уполномоченным органом местного самоуправления, определенным в соответствии с уставом муниципального образования (далее - уполномоченный орган местного самоуправления), с учетом необходимости обеспечения устойчивого развития территорий и достижения нормативов минимальной обеспеченности населения площадью торговых объектов, разработанных Правительством Республики Саха (Якутия).</w:t>
      </w:r>
    </w:p>
    <w:p w14:paraId="43000000">
      <w:pPr>
        <w:widowControl w:val="1"/>
        <w:spacing w:before="240"/>
        <w:ind w:firstLine="540"/>
        <w:jc w:val="both"/>
      </w:pPr>
      <w:r>
        <w:rPr>
          <w:sz w:val="24"/>
        </w:rPr>
        <w:t>3.2. схема утверждается на 25 лет.</w:t>
      </w:r>
    </w:p>
    <w:p w14:paraId="44000000">
      <w:pPr>
        <w:widowControl w:val="1"/>
        <w:spacing w:before="240"/>
        <w:ind w:firstLine="540"/>
        <w:jc w:val="both"/>
      </w:pPr>
      <w:r>
        <w:rPr>
          <w:sz w:val="24"/>
        </w:rPr>
        <w:t>3.3. Схема представляет собой адресный перечень мест размещения нестационарных торговых объектов, в котором должны быть указаны:</w:t>
      </w:r>
    </w:p>
    <w:p w14:paraId="45000000">
      <w:pPr>
        <w:widowControl w:val="1"/>
        <w:spacing w:before="240"/>
        <w:ind w:firstLine="540"/>
        <w:jc w:val="both"/>
        <w:rPr>
          <w:sz w:val="24"/>
        </w:rPr>
      </w:pPr>
      <w:r>
        <w:rPr>
          <w:sz w:val="24"/>
        </w:rPr>
        <w:t>требования, предъявляемые к размещению нестационарного торгового объекта;</w:t>
      </w:r>
    </w:p>
    <w:p w14:paraId="46000000">
      <w:pPr>
        <w:widowControl w:val="1"/>
        <w:spacing w:before="240"/>
        <w:ind w:firstLine="540"/>
        <w:jc w:val="both"/>
      </w:pPr>
      <w:r>
        <w:rPr>
          <w:sz w:val="24"/>
        </w:rPr>
        <w:t>учетный номер места размещения нестационарного торгового объекта;</w:t>
      </w:r>
    </w:p>
    <w:p w14:paraId="47000000">
      <w:pPr>
        <w:widowControl w:val="1"/>
        <w:spacing w:before="240"/>
        <w:ind w:firstLine="540"/>
        <w:jc w:val="both"/>
      </w:pPr>
      <w:r>
        <w:rPr>
          <w:sz w:val="24"/>
        </w:rPr>
        <w:t>местонахождение (размещение, адресный ориентир) нестационарного торгового объекта;</w:t>
      </w:r>
    </w:p>
    <w:p w14:paraId="48000000">
      <w:pPr>
        <w:widowControl w:val="1"/>
        <w:spacing w:before="240"/>
        <w:ind w:firstLine="540"/>
        <w:jc w:val="both"/>
      </w:pPr>
      <w:r>
        <w:rPr>
          <w:sz w:val="24"/>
        </w:rPr>
        <w:t>наименование органа, осуществляющего полномочия собственника земельного участка, здания, строения, сооружения;</w:t>
      </w:r>
    </w:p>
    <w:p w14:paraId="49000000">
      <w:pPr>
        <w:widowControl w:val="1"/>
        <w:spacing w:before="240"/>
        <w:ind w:firstLine="540"/>
        <w:jc w:val="both"/>
      </w:pPr>
      <w:r>
        <w:rPr>
          <w:sz w:val="24"/>
        </w:rPr>
        <w:t>вид торговли (без перемещения, развозная, разносная);</w:t>
      </w:r>
    </w:p>
    <w:p w14:paraId="4A000000">
      <w:pPr>
        <w:widowControl w:val="1"/>
        <w:spacing w:before="240"/>
        <w:ind w:firstLine="540"/>
        <w:jc w:val="both"/>
      </w:pPr>
      <w:r>
        <w:rPr>
          <w:sz w:val="24"/>
        </w:rPr>
        <w:t>размер торговой площади объекта;</w:t>
      </w:r>
    </w:p>
    <w:p w14:paraId="4B000000">
      <w:pPr>
        <w:widowControl w:val="1"/>
        <w:spacing w:before="240"/>
        <w:ind w:firstLine="540"/>
        <w:jc w:val="both"/>
      </w:pPr>
      <w:r>
        <w:rPr>
          <w:sz w:val="24"/>
        </w:rPr>
        <w:t>специализация нестационарного торгового объекта (ассортимент реализуемых товаров с указанием групп товаров, если торговля специализированная);</w:t>
      </w:r>
    </w:p>
    <w:p w14:paraId="4C000000">
      <w:pPr>
        <w:widowControl w:val="1"/>
        <w:spacing w:before="240"/>
        <w:ind w:firstLine="540"/>
        <w:jc w:val="both"/>
      </w:pPr>
      <w:r>
        <w:rPr>
          <w:sz w:val="24"/>
        </w:rPr>
        <w:t>срок размещения нестационарного торгового объекта;</w:t>
      </w:r>
    </w:p>
    <w:p w14:paraId="4D000000">
      <w:pPr>
        <w:widowControl w:val="1"/>
        <w:spacing w:before="240"/>
        <w:ind w:firstLine="540"/>
        <w:jc w:val="both"/>
      </w:pPr>
      <w:r>
        <w:rPr>
          <w:sz w:val="24"/>
        </w:rPr>
        <w:t>период размещения - для сезонных нестационарных торговых объектов и временных торговых площадок;</w:t>
      </w:r>
    </w:p>
    <w:p w14:paraId="4E000000">
      <w:pPr>
        <w:widowControl w:val="1"/>
        <w:spacing w:before="240"/>
        <w:ind w:firstLine="540"/>
        <w:jc w:val="both"/>
      </w:pPr>
      <w:r>
        <w:rPr>
          <w:sz w:val="24"/>
        </w:rPr>
        <w:t>основание предоставления права размещения нестационарного торгового объекта (фактическое размещение на момент утверждения схемы, аукцион, вид правоустанавливающего документа);</w:t>
      </w:r>
    </w:p>
    <w:p w14:paraId="4F000000">
      <w:pPr>
        <w:widowControl w:val="1"/>
        <w:spacing w:before="240"/>
        <w:ind w:firstLine="540"/>
        <w:jc w:val="both"/>
      </w:pPr>
      <w:r>
        <w:rPr>
          <w:sz w:val="24"/>
        </w:rPr>
        <w:t>сведения об использовании нестационарного торгового объекта субъектами малого или среднего предпринимательства.</w:t>
      </w:r>
    </w:p>
    <w:p w14:paraId="50000000">
      <w:pPr>
        <w:widowControl w:val="1"/>
        <w:spacing w:before="240"/>
        <w:ind w:firstLine="540"/>
        <w:jc w:val="both"/>
      </w:pPr>
      <w:r>
        <w:rPr>
          <w:sz w:val="24"/>
        </w:rPr>
        <w:t>В случае дополнения Схемы по инициативе хозяйствующих субъектов, осуществляющих торговую деятельность, союзов, ассоциаций и общественных объединений, а также юридического или физического лица, являющегося собственником, арендатором или пользователем земельного участка, на котором предполагается размещение нестационарного торгового объекта (объектов), сведения указываются органом местного самоуправления в соответствии с заявлением указанных лиц.</w:t>
      </w:r>
    </w:p>
    <w:p w14:paraId="51000000">
      <w:pPr>
        <w:widowControl w:val="1"/>
        <w:spacing w:before="240"/>
        <w:ind w:firstLine="540"/>
        <w:jc w:val="both"/>
      </w:pPr>
      <w:r>
        <w:rPr>
          <w:rStyle w:val="Style_1_ch"/>
          <w:sz w:val="24"/>
        </w:rPr>
        <w:t>Схемой размещения нестационарных торговых объектов может предусматриваться более одного места размещения мобильного торгового объекта. Одновременное размещение нес</w:t>
      </w:r>
      <w:r>
        <w:rPr>
          <w:rStyle w:val="Style_1_ch"/>
          <w:sz w:val="24"/>
        </w:rPr>
        <w:t>кольких мобильных торговых объектов в одном месте размещения не допускается</w:t>
      </w:r>
    </w:p>
    <w:p w14:paraId="52000000">
      <w:pPr>
        <w:widowControl w:val="1"/>
        <w:spacing w:before="240"/>
        <w:ind w:firstLine="540"/>
        <w:jc w:val="both"/>
      </w:pPr>
      <w:r>
        <w:rPr>
          <w:sz w:val="24"/>
        </w:rPr>
        <w:t>3.4. Схема разрабатывается с учетом требований, предусмотренных нормами земельного законодательства, законодательства о градостроительной деятельности, в области обеспечения санитарно-эпидемиологического благополучия населения, пожарной безопасности, безопасности дорожного движения, охраны окружающей среды, в сфере сохранения, использования и государственной охраны объектов культурного наследия.</w:t>
      </w:r>
    </w:p>
    <w:p w14:paraId="53000000">
      <w:pPr>
        <w:widowControl w:val="1"/>
        <w:spacing w:before="240"/>
        <w:ind w:firstLine="540"/>
        <w:jc w:val="both"/>
      </w:pPr>
      <w:r>
        <w:rPr>
          <w:sz w:val="24"/>
        </w:rPr>
        <w:t>Указанные требования не могут использоваться для ограничения конкуренции, в том числе создания преимущественных условий для стационарных и нестационарных торговых объектов.</w:t>
      </w:r>
    </w:p>
    <w:p w14:paraId="54000000">
      <w:pPr>
        <w:widowControl w:val="1"/>
        <w:spacing w:before="240"/>
        <w:ind w:firstLine="540"/>
        <w:jc w:val="both"/>
      </w:pPr>
      <w:r>
        <w:rPr>
          <w:sz w:val="24"/>
        </w:rPr>
        <w:t>3.5. Нестационарные торговые объекты должны размещаться с учетом обеспечения свободного движения пешеходов и доступа потребителей к объектам торговли, в том числе обеспечения безбарьерной среды жизнедеятельности для инвалидов и иных маломобильных групп населения, беспрепятственного проезда спецтранспорта при чрезвычайных ситуациях.</w:t>
      </w:r>
    </w:p>
    <w:p w14:paraId="55000000">
      <w:pPr>
        <w:widowControl w:val="1"/>
        <w:spacing w:before="240"/>
        <w:ind w:firstLine="540"/>
        <w:jc w:val="both"/>
      </w:pPr>
      <w:r>
        <w:rPr>
          <w:sz w:val="24"/>
        </w:rPr>
        <w:t>3.6. Нестационарные торговые объекты должны размещаться в местах, удобных как для покупателей, так и для хозяйствующих субъектов, осуществляющих торговую деятельность, и позволяющих осуществлять предпринимательскую деятельность наиболее эффективным и востребованным у потребителей способом, в том числе на территориях, исторически являющихся местами размещения торговых объектов, в местах высокого сосредоточения людей, а также в иных местах, позволяющих наиболее полным образом удовлетворить потребности граждан в комфортном и быстром совершении покупок.</w:t>
      </w:r>
    </w:p>
    <w:p w14:paraId="56000000">
      <w:pPr>
        <w:widowControl w:val="1"/>
        <w:spacing w:before="240"/>
        <w:ind w:firstLine="540"/>
        <w:jc w:val="both"/>
      </w:pPr>
      <w:r>
        <w:rPr>
          <w:sz w:val="24"/>
        </w:rPr>
        <w:t>3.7. Нестационарные торговые объекты не должны располагаться на инженерных сетях и коммуникациях, в охранных зонах инженерных сетей и коммуникаций, на газонах, цветниках и прочих объектах озеленения, детских и спортивных площадках, площадках для отдыха, в зонах перекрестков, ближе 3 метров от проезжей части автодорог общего пользования, в арках зданий, на парковках.</w:t>
      </w:r>
    </w:p>
    <w:p w14:paraId="57000000">
      <w:pPr>
        <w:widowControl w:val="1"/>
        <w:spacing w:before="240"/>
        <w:ind w:firstLine="540"/>
        <w:jc w:val="both"/>
        <w:rPr>
          <w:sz w:val="24"/>
        </w:rPr>
      </w:pPr>
      <w:r>
        <w:rPr>
          <w:sz w:val="24"/>
        </w:rPr>
        <w:t>3.8. Нестационарные торговые объекты должны соответствовать</w:t>
      </w:r>
      <w:r>
        <w:rPr>
          <w:rStyle w:val="Style_1_ch"/>
          <w:sz w:val="24"/>
        </w:rPr>
        <w:t xml:space="preserve"> единому своду правил и реко</w:t>
      </w:r>
      <w:r>
        <w:rPr>
          <w:rStyle w:val="Style_1_ch"/>
          <w:sz w:val="24"/>
        </w:rPr>
        <w:t>мендаций по формирования внешнего облика городской среды (в случае</w:t>
      </w:r>
      <w:r>
        <w:rPr>
          <w:rStyle w:val="Style_1_ch"/>
          <w:sz w:val="24"/>
        </w:rPr>
        <w:t xml:space="preserve"> действия е</w:t>
      </w:r>
      <w:r>
        <w:rPr>
          <w:rStyle w:val="Style_1_ch"/>
          <w:sz w:val="24"/>
        </w:rPr>
        <w:t>диного свода правил и реко</w:t>
      </w:r>
      <w:r>
        <w:rPr>
          <w:rStyle w:val="Style_1_ch"/>
          <w:sz w:val="24"/>
        </w:rPr>
        <w:t xml:space="preserve">мендаций по формирования внешнего облика городской среды </w:t>
      </w:r>
      <w:r>
        <w:rPr>
          <w:rStyle w:val="Style_1_ch"/>
          <w:sz w:val="24"/>
        </w:rPr>
        <w:t>на территории муниципального образования).</w:t>
      </w:r>
    </w:p>
    <w:p w14:paraId="58000000">
      <w:pPr>
        <w:widowControl w:val="1"/>
        <w:spacing w:before="240"/>
        <w:ind w:firstLine="540"/>
        <w:jc w:val="both"/>
        <w:rPr>
          <w:sz w:val="24"/>
        </w:rPr>
      </w:pPr>
      <w:r>
        <w:rPr>
          <w:rStyle w:val="Style_1_ch"/>
          <w:sz w:val="24"/>
        </w:rPr>
        <w:t>3.9. На нестационарном торговом объекте в обязательном порядке должен располагаться паспорт нестационарного торгового объекта (QR-код), содержащий в себе сведения о юридическом или физическом лице, ведущем то</w:t>
      </w:r>
      <w:r>
        <w:rPr>
          <w:rStyle w:val="Style_1_ch"/>
          <w:sz w:val="24"/>
        </w:rPr>
        <w:t>рговую деятельность (</w:t>
      </w:r>
      <w:r>
        <w:rPr>
          <w:rStyle w:val="Style_1_ch"/>
          <w:sz w:val="24"/>
        </w:rPr>
        <w:t>для</w:t>
      </w:r>
      <w:r>
        <w:rPr>
          <w:rStyle w:val="Style_1_ch"/>
          <w:sz w:val="24"/>
        </w:rPr>
        <w:t xml:space="preserve"> юридических лиц: полное наименование, ОГРН, ИНН</w:t>
      </w:r>
      <w:r>
        <w:rPr>
          <w:rStyle w:val="Style_1_ch"/>
          <w:sz w:val="24"/>
        </w:rPr>
        <w:t xml:space="preserve">, для физических лиц: Ф.И.О., реквизиты документа, </w:t>
      </w:r>
      <w:r>
        <w:rPr>
          <w:rStyle w:val="Style_1_ch"/>
          <w:sz w:val="24"/>
        </w:rPr>
        <w:t>подтверждающего статус плательщика налога на профессиональный доход</w:t>
      </w:r>
      <w:r>
        <w:rPr>
          <w:rStyle w:val="Style_1_ch"/>
          <w:sz w:val="24"/>
        </w:rPr>
        <w:t>),</w:t>
      </w:r>
      <w:r>
        <w:rPr>
          <w:rStyle w:val="Style_1_ch"/>
          <w:sz w:val="24"/>
        </w:rPr>
        <w:t xml:space="preserve"> </w:t>
      </w:r>
      <w:r>
        <w:rPr>
          <w:rStyle w:val="Style_1_ch"/>
          <w:sz w:val="24"/>
        </w:rPr>
        <w:t>режиме работы нестационарного торгового объекта, реквизитах договора аренды земельного участка, сроках размещения нестационарного торгового объекта, сертификатах на продукцию и иную информацию в соответствии с Законом Российской Федерации «О защите прав потребителей» от 07.02.1992 г. № 2300-1.</w:t>
      </w:r>
    </w:p>
    <w:p w14:paraId="59000000">
      <w:pPr>
        <w:widowControl w:val="1"/>
        <w:spacing w:before="240"/>
        <w:ind w:firstLine="540"/>
        <w:jc w:val="both"/>
        <w:rPr>
          <w:sz w:val="24"/>
        </w:rPr>
      </w:pPr>
      <w:r>
        <w:rPr>
          <w:rStyle w:val="Style_1_ch"/>
          <w:sz w:val="24"/>
        </w:rPr>
        <w:t xml:space="preserve">3.10. </w:t>
      </w:r>
      <w:r>
        <w:rPr>
          <w:rStyle w:val="Style_1_ch"/>
          <w:sz w:val="24"/>
        </w:rPr>
        <w:t>На территориях городских площадей не допускается размещение нестационарных торговых объектов, за исключением случаев, когда такое размещение непосредственно связано с проведением на соответствующей площади официального массового мероприятия (праздника, ярмарки, фестиваля, выставки и т.п.).</w:t>
      </w:r>
    </w:p>
    <w:p w14:paraId="5A000000">
      <w:pPr>
        <w:widowControl w:val="1"/>
        <w:spacing w:before="240"/>
        <w:ind w:firstLine="540"/>
        <w:jc w:val="both"/>
      </w:pPr>
      <w:r>
        <w:rPr>
          <w:sz w:val="24"/>
        </w:rPr>
        <w:t>3.11. Не допускается устанавливать требования по удаленности нестационарных торговых объектов от других торговых объектов, не предусмотренные действующим законодательством в сфере противопожарной безопасности, а также иные не предусмотренные законодательством требования к размещению нестационарных торговых объектов.</w:t>
      </w:r>
    </w:p>
    <w:p w14:paraId="5B000000">
      <w:pPr>
        <w:widowControl w:val="1"/>
        <w:spacing w:before="240"/>
        <w:ind w:firstLine="540"/>
        <w:jc w:val="both"/>
      </w:pPr>
      <w:r>
        <w:rPr>
          <w:sz w:val="24"/>
        </w:rPr>
        <w:t>Введение либо изменение и (или) дополнение указанных требований не может служить основанием для пересмотра мест размещения нестационарных торговых объектов, размещенных в установленном порядке до введения или изменения соответствующих требований.</w:t>
      </w:r>
    </w:p>
    <w:p w14:paraId="5C000000">
      <w:pPr>
        <w:widowControl w:val="1"/>
        <w:spacing w:before="240"/>
        <w:ind w:firstLine="540"/>
        <w:jc w:val="both"/>
      </w:pPr>
      <w:r>
        <w:rPr>
          <w:sz w:val="24"/>
        </w:rPr>
        <w:t>3.12. Разработка Схемы осуществляется на основании результатов инвентаризации фактически размещенных нестационарных торговых объектов и объектов, установка и размещение которых были разрешены (согласованы или иным образом санкционированы) до принятия решения о разработке Схемы.</w:t>
      </w:r>
    </w:p>
    <w:p w14:paraId="5D000000">
      <w:pPr>
        <w:widowControl w:val="1"/>
        <w:spacing w:before="240"/>
        <w:ind w:firstLine="540"/>
        <w:jc w:val="both"/>
      </w:pPr>
      <w:r>
        <w:rPr>
          <w:sz w:val="24"/>
        </w:rPr>
        <w:t>3.13. По результатам инвентаризации размещенных нестационарных торговых объектов уполномоченный орган местного самоуправления осуществляет планирование размещения нестационарных торговых объектов на территории муниципального образования.</w:t>
      </w:r>
    </w:p>
    <w:p w14:paraId="5E000000">
      <w:pPr>
        <w:widowControl w:val="1"/>
        <w:spacing w:before="240"/>
        <w:ind w:firstLine="540"/>
        <w:jc w:val="both"/>
      </w:pPr>
      <w:r>
        <w:rPr>
          <w:sz w:val="24"/>
        </w:rPr>
        <w:t>3.14. При формировании Схемы в нее подлежат включению все нестационарные торговые объекты, размещенные на момент ее формирования на основаниях, предусмотренных нормативными правовыми актами органов местного самоуправления либо органов исполнительной власти Республики Саха (Якутия), а также нестационарные торговые объекты, планируемые к размещению.</w:t>
      </w:r>
    </w:p>
    <w:p w14:paraId="5F000000">
      <w:pPr>
        <w:widowControl w:val="1"/>
        <w:spacing w:before="240"/>
        <w:ind w:firstLine="540"/>
        <w:jc w:val="both"/>
      </w:pPr>
      <w:r>
        <w:rPr>
          <w:sz w:val="24"/>
        </w:rPr>
        <w:t>3.15. Включение в Схему нестационарных торговых объектов, расположенных на земельных участках, в зданиях, строениях, сооружениях, находящихся в государственной собственности, осуществляется в порядке, установленном Правительством Российской Федерации.</w:t>
      </w:r>
    </w:p>
    <w:p w14:paraId="60000000">
      <w:pPr>
        <w:widowControl w:val="1"/>
        <w:spacing w:before="240"/>
        <w:ind w:firstLine="540"/>
        <w:jc w:val="both"/>
      </w:pPr>
      <w:r>
        <w:rPr>
          <w:sz w:val="24"/>
        </w:rPr>
        <w:t>3.16. К Схеме готовится пояснительная записка, которая должна содержать следующие сведения:</w:t>
      </w:r>
    </w:p>
    <w:p w14:paraId="61000000">
      <w:pPr>
        <w:widowControl w:val="1"/>
        <w:spacing w:before="240"/>
        <w:ind w:firstLine="540"/>
        <w:jc w:val="both"/>
      </w:pPr>
      <w:r>
        <w:rPr>
          <w:sz w:val="24"/>
        </w:rPr>
        <w:t>количество нестационарных торговых объектов, размещенных на дату принятия решения о разработке Схемы;</w:t>
      </w:r>
    </w:p>
    <w:p w14:paraId="62000000">
      <w:pPr>
        <w:widowControl w:val="1"/>
        <w:spacing w:before="240"/>
        <w:ind w:firstLine="540"/>
        <w:jc w:val="both"/>
      </w:pPr>
      <w:r>
        <w:rPr>
          <w:sz w:val="24"/>
        </w:rPr>
        <w:t>количество размещенных нестационарных торговых объектов, используемых субъектами малого или среднего предпринимательства, осуществляющими торговую деятельность, от общего количества размещенных нестационарных торговых объектов (в процентах);</w:t>
      </w:r>
    </w:p>
    <w:p w14:paraId="63000000">
      <w:pPr>
        <w:widowControl w:val="1"/>
        <w:spacing w:before="240"/>
        <w:ind w:firstLine="540"/>
        <w:jc w:val="both"/>
      </w:pPr>
      <w:r>
        <w:rPr>
          <w:sz w:val="24"/>
        </w:rPr>
        <w:t>количество планируемых к размещению нестационарных торговых объектов.</w:t>
      </w:r>
    </w:p>
    <w:p w14:paraId="64000000">
      <w:pPr>
        <w:widowControl w:val="1"/>
        <w:spacing w:before="240"/>
        <w:ind w:firstLine="540"/>
        <w:jc w:val="both"/>
      </w:pPr>
      <w:r>
        <w:rPr>
          <w:sz w:val="24"/>
        </w:rPr>
        <w:t>3.17. Проект Схемы до ее утверждения согласовывается с:</w:t>
      </w:r>
    </w:p>
    <w:p w14:paraId="65000000">
      <w:pPr>
        <w:widowControl w:val="1"/>
        <w:spacing w:before="240"/>
        <w:ind w:firstLine="540"/>
        <w:jc w:val="both"/>
      </w:pPr>
      <w:r>
        <w:rPr>
          <w:sz w:val="24"/>
        </w:rPr>
        <w:t>3.17.1. Департаментом Республики Саха (Якутия) по охране объектов культурного наследия (если Схема предусматривает размещение нестационарных торговых объектов на территориях и в зонах охраны объектов культурного наследия).</w:t>
      </w:r>
    </w:p>
    <w:p w14:paraId="66000000">
      <w:pPr>
        <w:widowControl w:val="1"/>
        <w:spacing w:before="240"/>
        <w:ind w:firstLine="540"/>
        <w:jc w:val="both"/>
      </w:pPr>
      <w:r>
        <w:rPr>
          <w:sz w:val="24"/>
        </w:rPr>
        <w:t>3.17.2. Министерством экологии, природопользования и лесного хозяйства Республики Саха (Якутия) (если Схема предусматривает размещение нестационарных торговых объектов, расположенных в границах особо охраняемых природных территорий республиканского значения).</w:t>
      </w:r>
    </w:p>
    <w:p w14:paraId="67000000">
      <w:pPr>
        <w:widowControl w:val="1"/>
        <w:spacing w:before="240"/>
        <w:ind w:firstLine="540"/>
        <w:jc w:val="both"/>
      </w:pPr>
      <w:r>
        <w:rPr>
          <w:sz w:val="24"/>
        </w:rPr>
        <w:t>3.17.3. Министерством имущественных и земельных отношений Республики Саха (Якутия) (если Схема предусматривает размещение нестационарных торговых объектов на земельных участках, в зданиях и сооружениях, находящихся в собственности Республики Саха (Якутия);</w:t>
      </w:r>
    </w:p>
    <w:p w14:paraId="68000000">
      <w:pPr>
        <w:widowControl w:val="1"/>
        <w:spacing w:before="240"/>
        <w:ind w:firstLine="540"/>
        <w:jc w:val="both"/>
        <w:rPr>
          <w:sz w:val="24"/>
        </w:rPr>
      </w:pPr>
      <w:r>
        <w:rPr>
          <w:rStyle w:val="Style_1_ch"/>
          <w:sz w:val="24"/>
        </w:rPr>
        <w:t>3.17.4.</w:t>
      </w:r>
      <w:r>
        <w:rPr>
          <w:rStyle w:val="Style_1_ch"/>
          <w:sz w:val="24"/>
        </w:rPr>
        <w:t>Уполномоченным структурным подразделением органа местного самоуправления Республики Саха (Якутия), осуществляющим функции в области архитектуры и градостроительства (в случае, если на территории муниципального образования Республики Саха (Якутия) действует единый свод правил и реко</w:t>
      </w:r>
      <w:r>
        <w:rPr>
          <w:rStyle w:val="Style_1_ch"/>
          <w:sz w:val="24"/>
        </w:rPr>
        <w:t>мендаций по формирования внешнего облика городской среды);</w:t>
      </w:r>
    </w:p>
    <w:p w14:paraId="69000000">
      <w:pPr>
        <w:widowControl w:val="1"/>
        <w:spacing w:before="240"/>
        <w:ind w:firstLine="540"/>
        <w:jc w:val="both"/>
        <w:rPr>
          <w:sz w:val="24"/>
        </w:rPr>
      </w:pPr>
      <w:r>
        <w:rPr>
          <w:rStyle w:val="Style_1_ch"/>
          <w:sz w:val="24"/>
        </w:rPr>
        <w:t xml:space="preserve">3.17.5. </w:t>
      </w:r>
      <w:r>
        <w:rPr>
          <w:rStyle w:val="Style_1_ch"/>
          <w:sz w:val="24"/>
        </w:rPr>
        <w:t>Соответствующие исполнительные органы государственной власти, согласовывают проект Схемы в течение 30 рабочих дней</w:t>
      </w:r>
    </w:p>
    <w:p w14:paraId="6A000000">
      <w:pPr>
        <w:widowControl w:val="1"/>
        <w:spacing w:before="240"/>
        <w:ind w:firstLine="540"/>
        <w:jc w:val="both"/>
      </w:pPr>
      <w:r>
        <w:rPr>
          <w:sz w:val="24"/>
        </w:rPr>
        <w:t>3.18. Замечания и предложения по проекту Схемы рассматриваются уполномоченным органом местного самоуправления в течение 10 рабочих дней со дня поступления.</w:t>
      </w:r>
    </w:p>
    <w:p w14:paraId="6B000000">
      <w:pPr>
        <w:widowControl w:val="1"/>
        <w:spacing w:before="240"/>
        <w:ind w:firstLine="540"/>
        <w:jc w:val="both"/>
      </w:pPr>
      <w:r>
        <w:rPr>
          <w:sz w:val="24"/>
        </w:rPr>
        <w:t>Проект Схемы, измененный с учетом поступивших замечаний и предложений, подлежит повторному согласованию с органами, представившими замечания и предложения в срок, установленный пунктом 3.14.4 настоящего Порядка.</w:t>
      </w:r>
    </w:p>
    <w:p w14:paraId="6C000000">
      <w:pPr>
        <w:widowControl w:val="1"/>
        <w:spacing w:before="240"/>
        <w:ind w:firstLine="540"/>
        <w:jc w:val="both"/>
      </w:pPr>
      <w:r>
        <w:rPr>
          <w:sz w:val="24"/>
        </w:rPr>
        <w:t>3.19. Уполномоченный орган местного самоуправления в течение 10 рабочих дней с момента утверждения Схемы направляет ее в Министерство предпринимательства, торговли и туризма Республики Саха (Якутия) на бумажном и электронном носителях для размещения на официальном сайте Правительства Республики Саха (Якутия) в информационно-телекоммуникационной сети Интернет.</w:t>
      </w:r>
    </w:p>
    <w:p w14:paraId="6D000000">
      <w:pPr>
        <w:widowControl w:val="1"/>
        <w:spacing w:before="240"/>
        <w:ind w:firstLine="540"/>
        <w:jc w:val="both"/>
      </w:pPr>
      <w:r>
        <w:rPr>
          <w:sz w:val="24"/>
        </w:rPr>
        <w:t>3.20. Утвержденная Схема подлежит опубликованию в порядке, установленном для официального опубликования муниципальных правовых актов, а также размещению на официальных сайтах уполномоченного органа местного самоуправления, Министерства предпринимательства, торговли и туризма Республики Саха (Якутия) в информационно-телекоммуникационной сети Интернет.</w:t>
      </w:r>
    </w:p>
    <w:p w14:paraId="6E000000">
      <w:pPr>
        <w:widowControl w:val="1"/>
        <w:spacing w:before="240"/>
        <w:ind w:firstLine="540"/>
        <w:jc w:val="both"/>
      </w:pPr>
      <w:r>
        <w:rPr>
          <w:sz w:val="24"/>
        </w:rPr>
        <w:t>3.21. Изменения и дополнения в Схему вносятся в порядке, установленном разделом 4 настоящего Порядка.</w:t>
      </w:r>
    </w:p>
    <w:p w14:paraId="6F000000">
      <w:pPr>
        <w:widowControl w:val="1"/>
        <w:spacing w:before="240"/>
        <w:ind w:firstLine="540"/>
        <w:jc w:val="both"/>
      </w:pPr>
      <w:r>
        <w:rPr>
          <w:sz w:val="24"/>
        </w:rPr>
        <w:t>3.22. Утверждение Схемы и внесение в нее изменений не может служить основанием для пересмотра мест размещения и прав хозяйствующих субъектов на размещение нестационарных торговых объектов, возведение (установка), реконструкция или эксплуатация которых были начаты до утверждения указанной Схемы или внесенных в нее изменений.</w:t>
      </w:r>
    </w:p>
    <w:p w14:paraId="70000000">
      <w:pPr>
        <w:widowControl w:val="1"/>
        <w:spacing w:before="240"/>
        <w:ind w:firstLine="540"/>
        <w:jc w:val="both"/>
      </w:pPr>
      <w:r>
        <w:rPr>
          <w:sz w:val="24"/>
        </w:rPr>
        <w:t>3.23. Рекомендовать органам местного самоуправления предусмотреть льготы, предоставляемые при заключении договоров на право размещения нестационарных торговых объектов.</w:t>
      </w:r>
    </w:p>
    <w:p w14:paraId="71000000">
      <w:pPr>
        <w:widowControl w:val="1"/>
        <w:spacing w:before="240"/>
        <w:ind w:firstLine="540"/>
        <w:jc w:val="both"/>
        <w:rPr>
          <w:sz w:val="24"/>
        </w:rPr>
      </w:pPr>
      <w:r>
        <w:rPr>
          <w:rStyle w:val="Style_1_ch"/>
          <w:sz w:val="24"/>
        </w:rPr>
        <w:t xml:space="preserve">3.24. </w:t>
      </w:r>
      <w:r>
        <w:rPr>
          <w:rStyle w:val="Style_1_ch"/>
          <w:sz w:val="24"/>
        </w:rPr>
        <w:t>Рекомендовать органам местного самоуправления предусматрива</w:t>
      </w:r>
      <w:r>
        <w:rPr>
          <w:rStyle w:val="Style_1_ch"/>
          <w:sz w:val="24"/>
        </w:rPr>
        <w:t xml:space="preserve">ть меры финансовой поддержки хозяйствующим субъектам в целях приведения внешнего вида нестационарного торгового объекта в соответствие с единым </w:t>
      </w:r>
      <w:r>
        <w:rPr>
          <w:rStyle w:val="Style_1_ch"/>
          <w:sz w:val="24"/>
        </w:rPr>
        <w:t>свод</w:t>
      </w:r>
      <w:r>
        <w:rPr>
          <w:rStyle w:val="Style_1_ch"/>
          <w:sz w:val="24"/>
        </w:rPr>
        <w:t>ом</w:t>
      </w:r>
      <w:r>
        <w:rPr>
          <w:rStyle w:val="Style_1_ch"/>
          <w:sz w:val="24"/>
        </w:rPr>
        <w:t xml:space="preserve"> правил и рекомендаций по формирования </w:t>
      </w:r>
      <w:r>
        <w:rPr>
          <w:rStyle w:val="Style_1_ch"/>
          <w:sz w:val="24"/>
        </w:rPr>
        <w:t>внешнего облика городской среды.</w:t>
      </w:r>
    </w:p>
    <w:p w14:paraId="72000000">
      <w:pPr>
        <w:widowControl w:val="1"/>
        <w:spacing w:before="240"/>
        <w:ind w:firstLine="540"/>
        <w:jc w:val="both"/>
      </w:pPr>
      <w:r>
        <w:rPr>
          <w:sz w:val="24"/>
        </w:rPr>
        <w:t>3.25. Рекомендовать органам местного самоуправления продлевать договоры на размещение нестационарных торговых объектов и объектов для осуществления развозной торговли без проведения торгов. При этом, сроки действия договоров на размещение нестационарных торговых объектов должны составлять не менее 5 лет с правом пролонгации неограниченное количество раз.</w:t>
      </w:r>
    </w:p>
    <w:p w14:paraId="73000000">
      <w:pPr>
        <w:widowControl w:val="1"/>
        <w:spacing w:before="240"/>
        <w:ind w:firstLine="540"/>
        <w:jc w:val="both"/>
        <w:rPr>
          <w:sz w:val="24"/>
        </w:rPr>
      </w:pPr>
      <w:r>
        <w:rPr>
          <w:rStyle w:val="Style_1_ch"/>
          <w:sz w:val="24"/>
        </w:rPr>
        <w:t xml:space="preserve">3.26. </w:t>
      </w:r>
      <w:r>
        <w:rPr>
          <w:rStyle w:val="Style_1_ch"/>
          <w:sz w:val="24"/>
        </w:rPr>
        <w:t xml:space="preserve">Рекомендовать Управлению </w:t>
      </w:r>
      <w:r>
        <w:rPr>
          <w:rStyle w:val="Style_1_ch"/>
          <w:sz w:val="24"/>
        </w:rPr>
        <w:t>архитектуры и градостроительства при Главе Республике Саха (Якутия)</w:t>
      </w:r>
      <w:r>
        <w:rPr>
          <w:rStyle w:val="Style_1_ch"/>
          <w:sz w:val="24"/>
        </w:rPr>
        <w:t xml:space="preserve"> оказывать методическую поддержку органам местного самоуправления </w:t>
      </w:r>
      <w:r>
        <w:rPr>
          <w:rStyle w:val="Style_1_ch"/>
          <w:sz w:val="24"/>
        </w:rPr>
        <w:t xml:space="preserve">в рамках </w:t>
      </w:r>
      <w:r>
        <w:rPr>
          <w:rStyle w:val="Style_1_ch"/>
          <w:sz w:val="24"/>
        </w:rPr>
        <w:t xml:space="preserve">работы по приведению внешнего вида нестационарных торговых объектов </w:t>
      </w:r>
      <w:r>
        <w:rPr>
          <w:rStyle w:val="Style_1_ch"/>
          <w:sz w:val="24"/>
        </w:rPr>
        <w:t xml:space="preserve">в соответствие с единым </w:t>
      </w:r>
      <w:r>
        <w:rPr>
          <w:rStyle w:val="Style_1_ch"/>
          <w:sz w:val="24"/>
        </w:rPr>
        <w:t>свод</w:t>
      </w:r>
      <w:r>
        <w:rPr>
          <w:rStyle w:val="Style_1_ch"/>
          <w:sz w:val="24"/>
        </w:rPr>
        <w:t>ом</w:t>
      </w:r>
      <w:r>
        <w:rPr>
          <w:rStyle w:val="Style_1_ch"/>
          <w:sz w:val="24"/>
        </w:rPr>
        <w:t xml:space="preserve"> </w:t>
      </w:r>
      <w:r>
        <w:rPr>
          <w:rStyle w:val="Style_1_ch"/>
          <w:sz w:val="24"/>
        </w:rPr>
        <w:t>правил и рекомендаций по формирования внешнего облика городской среды</w:t>
      </w:r>
      <w:r>
        <w:rPr>
          <w:rStyle w:val="Style_1_ch"/>
          <w:sz w:val="24"/>
        </w:rPr>
        <w:t>.</w:t>
      </w:r>
    </w:p>
    <w:p w14:paraId="74000000">
      <w:pPr>
        <w:widowControl w:val="1"/>
        <w:spacing w:before="240"/>
        <w:ind w:firstLine="540"/>
        <w:jc w:val="both"/>
      </w:pPr>
      <w:r>
        <w:rPr>
          <w:rStyle w:val="Style_1_ch"/>
          <w:sz w:val="24"/>
        </w:rPr>
        <w:t>3.27. Исчерпывающими основаниями для досрочного расторжения дог</w:t>
      </w:r>
      <w:r>
        <w:rPr>
          <w:sz w:val="24"/>
        </w:rPr>
        <w:t>оворов или аннулирования разрешений о размещении нестационарного торгового объекта:</w:t>
      </w:r>
    </w:p>
    <w:p w14:paraId="75000000">
      <w:pPr>
        <w:widowControl w:val="1"/>
        <w:spacing w:before="240"/>
        <w:ind w:firstLine="540"/>
        <w:jc w:val="both"/>
      </w:pPr>
      <w:r>
        <w:rPr>
          <w:sz w:val="24"/>
        </w:rPr>
        <w:t>- невнесение платы за размещение нестационарного торгового объекта более, чем за 3 месяца;</w:t>
      </w:r>
    </w:p>
    <w:p w14:paraId="76000000">
      <w:pPr>
        <w:widowControl w:val="1"/>
        <w:spacing w:before="240"/>
        <w:ind w:firstLine="540"/>
        <w:jc w:val="both"/>
      </w:pPr>
      <w:r>
        <w:rPr>
          <w:sz w:val="24"/>
        </w:rPr>
        <w:t>- увеличение площади объекта более, чем на 10% без соответствующего согласования;</w:t>
      </w:r>
    </w:p>
    <w:p w14:paraId="77000000">
      <w:pPr>
        <w:widowControl w:val="1"/>
        <w:spacing w:before="240"/>
        <w:ind w:firstLine="540"/>
        <w:jc w:val="both"/>
      </w:pPr>
      <w:r>
        <w:rPr>
          <w:sz w:val="24"/>
        </w:rPr>
        <w:t>- неосуществление деятельности в течение 6 месяцев;</w:t>
      </w:r>
    </w:p>
    <w:p w14:paraId="78000000">
      <w:pPr>
        <w:widowControl w:val="1"/>
        <w:numPr>
          <w:ilvl w:val="0"/>
          <w:numId w:val="1"/>
        </w:numPr>
        <w:spacing w:before="240"/>
        <w:ind w:firstLine="567" w:left="0"/>
        <w:jc w:val="both"/>
        <w:rPr>
          <w:sz w:val="24"/>
        </w:rPr>
      </w:pPr>
      <w:r>
        <w:rPr>
          <w:rStyle w:val="Style_1_ch"/>
          <w:sz w:val="24"/>
        </w:rPr>
        <w:t>нарушение объектом градостроительных норм и ограничений;</w:t>
      </w:r>
    </w:p>
    <w:p w14:paraId="79000000">
      <w:pPr>
        <w:widowControl w:val="1"/>
        <w:numPr>
          <w:ilvl w:val="0"/>
          <w:numId w:val="1"/>
        </w:numPr>
        <w:spacing w:before="240"/>
        <w:ind w:firstLine="567" w:left="0"/>
        <w:jc w:val="both"/>
        <w:rPr>
          <w:sz w:val="24"/>
        </w:rPr>
      </w:pPr>
      <w:r>
        <w:rPr>
          <w:rStyle w:val="Style_1_ch"/>
          <w:sz w:val="24"/>
        </w:rPr>
        <w:t>несоответствие деятельности объекта целевому назначению, указанному в заявлении о включении места размещения н</w:t>
      </w:r>
      <w:r>
        <w:rPr>
          <w:rStyle w:val="Style_1_ch"/>
          <w:sz w:val="24"/>
        </w:rPr>
        <w:t>естационарного торгового объекта в Схему.</w:t>
      </w:r>
    </w:p>
    <w:p w14:paraId="7A000000">
      <w:pPr>
        <w:widowControl w:val="1"/>
        <w:spacing w:before="240"/>
        <w:ind w:firstLine="540"/>
        <w:jc w:val="both"/>
      </w:pPr>
      <w:r>
        <w:rPr>
          <w:sz w:val="24"/>
        </w:rPr>
        <w:t>3.28. Социально значимыми товарами специализациями при осуществлении торговли с нестационарного торгового объекта считается торговля продуктами питания, в том числе сельскохозяйственной продукцией, а также распространение печатной продукции (когда 80% и более от количества всех предлагаемых к продаже товаров (услуг) от их общего количества, представленных на витринах, прилавках, выставленных на продажу в визуально доступных для покупателя местах, составляет товары одной из обозначенной товарной группы, для торговли печатной продукцией - не менее 50%).</w:t>
      </w:r>
    </w:p>
    <w:p w14:paraId="7B000000">
      <w:pPr>
        <w:widowControl w:val="1"/>
        <w:spacing w:before="240"/>
        <w:ind w:firstLine="540"/>
        <w:jc w:val="both"/>
      </w:pPr>
      <w:r>
        <w:rPr>
          <w:sz w:val="24"/>
        </w:rPr>
        <w:t>Органы местного самоуправления вправе расширять перечень социально значимых (приоритетных) специализаций исходя из специфики и потребностей соответствующих территорий.</w:t>
      </w:r>
    </w:p>
    <w:p w14:paraId="7C000000">
      <w:pPr>
        <w:widowControl w:val="1"/>
        <w:spacing w:before="240"/>
        <w:ind w:firstLine="540"/>
        <w:jc w:val="both"/>
      </w:pPr>
      <w:r>
        <w:rPr>
          <w:sz w:val="24"/>
        </w:rPr>
        <w:t>3.29. Органы местного самоуправления вправе принимать программы развития малого и среднего торгового бизнеса социально значимых специализаций на соответствующих территориях и определить социальные значимые (приоритетные) товарные специализации (например, сельскохозяйственная продукция местного производства, сувенирная продукция, народные художественные промыслы, мороженое).</w:t>
      </w:r>
    </w:p>
    <w:p w14:paraId="7D000000">
      <w:pPr>
        <w:widowControl w:val="1"/>
        <w:spacing w:before="240"/>
        <w:ind w:firstLine="540"/>
        <w:jc w:val="both"/>
      </w:pPr>
      <w:r>
        <w:rPr>
          <w:sz w:val="24"/>
        </w:rPr>
        <w:t>3.30. Физические лица, не являющиеся индивидуальными предпринимателями и применяющие налог на профессиональный доход, могут претендовать на места на нестационарных торговых объектах для субъектов малого и среднего предпринимательства.</w:t>
      </w:r>
    </w:p>
    <w:p w14:paraId="7E000000">
      <w:pPr>
        <w:widowControl w:val="0"/>
        <w:ind/>
      </w:pPr>
    </w:p>
    <w:p w14:paraId="7F000000">
      <w:pPr>
        <w:widowControl w:val="1"/>
        <w:ind/>
        <w:jc w:val="center"/>
        <w:outlineLvl w:val="1"/>
        <w:rPr>
          <w:b w:val="1"/>
        </w:rPr>
      </w:pPr>
      <w:r>
        <w:rPr>
          <w:b w:val="1"/>
          <w:sz w:val="24"/>
        </w:rPr>
        <w:t>4. Порядок внесения в Схему изменений и дополнений</w:t>
      </w:r>
    </w:p>
    <w:p w14:paraId="80000000">
      <w:pPr>
        <w:widowControl w:val="0"/>
        <w:ind/>
        <w:rPr>
          <w:b w:val="1"/>
        </w:rPr>
      </w:pPr>
    </w:p>
    <w:p w14:paraId="81000000">
      <w:pPr>
        <w:widowControl w:val="1"/>
        <w:ind w:firstLine="540"/>
        <w:jc w:val="both"/>
      </w:pPr>
      <w:r>
        <w:rPr>
          <w:sz w:val="24"/>
        </w:rPr>
        <w:t>4.1. Включение мест размещения нестационарных торговых объектов в Схему осуществляется органом местного самоуправления в соответствии с настоящим Порядком.</w:t>
      </w:r>
    </w:p>
    <w:p w14:paraId="82000000">
      <w:pPr>
        <w:widowControl w:val="1"/>
        <w:spacing w:before="240"/>
        <w:ind w:firstLine="540"/>
        <w:jc w:val="both"/>
      </w:pPr>
      <w:r>
        <w:rPr>
          <w:sz w:val="24"/>
        </w:rPr>
        <w:t>4.2. Схема подлежит дополнению новыми местами размещения нестационарных торговых объектов:</w:t>
      </w:r>
    </w:p>
    <w:p w14:paraId="83000000">
      <w:pPr>
        <w:widowControl w:val="1"/>
        <w:spacing w:before="240"/>
        <w:ind w:firstLine="540"/>
        <w:jc w:val="both"/>
      </w:pPr>
      <w:r>
        <w:rPr>
          <w:sz w:val="24"/>
        </w:rPr>
        <w:t>4.2.1. По инициативе органов местного самоуправления при возникновении следующих оснований:</w:t>
      </w:r>
    </w:p>
    <w:p w14:paraId="84000000">
      <w:pPr>
        <w:widowControl w:val="1"/>
        <w:spacing w:before="240"/>
        <w:ind w:firstLine="540"/>
        <w:jc w:val="both"/>
      </w:pPr>
      <w:r>
        <w:rPr>
          <w:sz w:val="24"/>
        </w:rPr>
        <w:t>- новая застройка районов, микрорайонов муниципальных образований - на основании предложений органа местного самоуправления муниципального образования, уполномоченного в области градостроительной деятельности;</w:t>
      </w:r>
    </w:p>
    <w:p w14:paraId="85000000">
      <w:pPr>
        <w:widowControl w:val="1"/>
        <w:spacing w:before="240"/>
        <w:ind w:firstLine="540"/>
        <w:jc w:val="both"/>
      </w:pPr>
      <w:r>
        <w:rPr>
          <w:sz w:val="24"/>
        </w:rPr>
        <w:t>- ремонт и реконструкция автомобильных дорог - на основании предложений органа, уполномоченного в области управления и эксплуатации соответствующих автомобильных дорог;</w:t>
      </w:r>
    </w:p>
    <w:p w14:paraId="86000000">
      <w:pPr>
        <w:widowControl w:val="1"/>
        <w:spacing w:before="240"/>
        <w:ind w:firstLine="540"/>
        <w:jc w:val="both"/>
      </w:pPr>
      <w:r>
        <w:rPr>
          <w:sz w:val="24"/>
        </w:rPr>
        <w:t>- прекращение, перепрофилирование деятельности стационарных торговых объектов, повлекшие снижение обеспеченности до уровня ниже установленного норматива минимальной обеспеченности населения площадью торговых объектов;</w:t>
      </w:r>
    </w:p>
    <w:p w14:paraId="87000000">
      <w:pPr>
        <w:widowControl w:val="1"/>
        <w:spacing w:before="240"/>
        <w:ind w:firstLine="540"/>
        <w:jc w:val="both"/>
      </w:pPr>
      <w:r>
        <w:rPr>
          <w:sz w:val="24"/>
        </w:rPr>
        <w:t>- поступление мотивированных предложений от исполнительных органов государственной власти Республики Саха (Якутия), субъектов малого и среднего предпринимательства;</w:t>
      </w:r>
    </w:p>
    <w:p w14:paraId="88000000">
      <w:pPr>
        <w:widowControl w:val="1"/>
        <w:spacing w:before="240"/>
        <w:ind w:firstLine="540"/>
        <w:jc w:val="both"/>
      </w:pPr>
      <w:r>
        <w:rPr>
          <w:sz w:val="24"/>
        </w:rPr>
        <w:t>- необходимость реализации долгосрочных целевых программ, приоритетных направлений деятельности муниципальных образований в сфере социально-экономического развития;</w:t>
      </w:r>
    </w:p>
    <w:p w14:paraId="89000000">
      <w:pPr>
        <w:widowControl w:val="1"/>
        <w:spacing w:before="240"/>
        <w:ind w:firstLine="540"/>
        <w:jc w:val="both"/>
      </w:pPr>
      <w:r>
        <w:rPr>
          <w:sz w:val="24"/>
        </w:rPr>
        <w:t>- изъятие земельных участков для государственных или муниципальных нужд на основании предложений органа, принявшего соответствующее решение;</w:t>
      </w:r>
    </w:p>
    <w:p w14:paraId="8A000000">
      <w:pPr>
        <w:widowControl w:val="1"/>
        <w:spacing w:before="240"/>
        <w:ind w:firstLine="540"/>
        <w:jc w:val="both"/>
      </w:pPr>
      <w:r>
        <w:rPr>
          <w:sz w:val="24"/>
        </w:rPr>
        <w:t>- принятие решений о развитии застроенных территорий - на основании предложений органа, принявшего соответствующее решение;</w:t>
      </w:r>
    </w:p>
    <w:p w14:paraId="8B000000">
      <w:pPr>
        <w:widowControl w:val="1"/>
        <w:spacing w:before="240"/>
        <w:ind w:firstLine="540"/>
        <w:jc w:val="both"/>
      </w:pPr>
      <w:r>
        <w:rPr>
          <w:sz w:val="24"/>
        </w:rPr>
        <w:t>- изменение градостроительных регламентов на основании предложений органа местного самоуправления муниципального образования, уполномоченного в области градостроительной деятельности.</w:t>
      </w:r>
    </w:p>
    <w:p w14:paraId="8C000000">
      <w:pPr>
        <w:widowControl w:val="1"/>
        <w:spacing w:before="240"/>
        <w:ind w:firstLine="540"/>
        <w:jc w:val="both"/>
      </w:pPr>
      <w:r>
        <w:rPr>
          <w:sz w:val="24"/>
        </w:rPr>
        <w:t>4.2.2. По инициативе хозяйствующих субъектов, осуществляющих (планирующих осуществлять) торговую деятельность, а также союзов, ассоциаций и общественных объединений;</w:t>
      </w:r>
    </w:p>
    <w:p w14:paraId="8D000000">
      <w:pPr>
        <w:widowControl w:val="1"/>
        <w:spacing w:before="240"/>
        <w:ind w:firstLine="540"/>
        <w:jc w:val="both"/>
      </w:pPr>
      <w:r>
        <w:rPr>
          <w:sz w:val="24"/>
        </w:rPr>
        <w:t>4.2.3. По инициативе юридического или физического лица, являющегося собственником, арендатором или пользователем земельного участка (здания, строения, сооружения), на котором предполагается размещение нестационарного торгового объекта (объектов).</w:t>
      </w:r>
    </w:p>
    <w:p w14:paraId="8E000000">
      <w:pPr>
        <w:widowControl w:val="1"/>
        <w:spacing w:before="240"/>
        <w:ind w:firstLine="540"/>
        <w:jc w:val="both"/>
      </w:pPr>
      <w:r>
        <w:rPr>
          <w:sz w:val="24"/>
        </w:rPr>
        <w:t>Дополнение Схемы новыми местами размещения нестационарных торговых объектов по инициативе юридического или физического лица, являющегося арендатором или пользователем земельного участка (здания, строения, сооружения), на котором предполагается размещение нестационарного торгового объекта (объектов) производится только в случае, когда право аренды или пользования земельным участком, на котором предполагается размещение нестационарного торгового объекта (объектов), оформлено на срок, превышающий 3 года с даты подачи соответствующего заявления.</w:t>
      </w:r>
    </w:p>
    <w:p w14:paraId="8F000000">
      <w:pPr>
        <w:widowControl w:val="1"/>
        <w:spacing w:before="240"/>
        <w:ind w:firstLine="540"/>
        <w:jc w:val="both"/>
      </w:pPr>
      <w:r>
        <w:rPr>
          <w:sz w:val="24"/>
        </w:rPr>
        <w:t>4.3. Включение нестационарных торговых объектов в Схему осуществляется органом местного самоуправления по заявлению хозяйствующих субъектов, осуществляющих (планирующих осуществлять) торговую деятельность, союзов, ассоциаций и общественных объединений, либо по собственной инициативе по согласованию с органом, осуществляющим полномочия собственника имущества (если земельные участки, на которых расположено место размещения нестационарного торгового объекта, находятся в государственной собственности), либо самостоятельно (если земельные участки находятся в муниципальной собственности либо собственность на которые не разграничена).</w:t>
      </w:r>
    </w:p>
    <w:p w14:paraId="90000000">
      <w:pPr>
        <w:widowControl w:val="1"/>
        <w:spacing w:before="240"/>
        <w:ind w:firstLine="540"/>
        <w:jc w:val="both"/>
        <w:rPr>
          <w:sz w:val="24"/>
        </w:rPr>
      </w:pPr>
      <w:r>
        <w:rPr>
          <w:sz w:val="24"/>
        </w:rPr>
        <w:t>4.3.1</w:t>
      </w:r>
      <w:r>
        <w:rPr>
          <w:rStyle w:val="Style_1_ch"/>
          <w:sz w:val="24"/>
        </w:rPr>
        <w:t xml:space="preserve"> </w:t>
      </w:r>
      <w:r>
        <w:rPr>
          <w:rStyle w:val="Style_1_ch"/>
          <w:sz w:val="24"/>
        </w:rPr>
        <w:t>Включение нестационарного торгового объекта, размещенного на земельном участке, находящемся в частной собственности, в схему размещения нестационарных то</w:t>
      </w:r>
      <w:r>
        <w:rPr>
          <w:rStyle w:val="Style_1_ch"/>
          <w:sz w:val="24"/>
        </w:rPr>
        <w:t xml:space="preserve">рговых объектов осуществляется органом местного самоуправления на основании заявления юридического лица, индивидуального предпринимателя или физического лица, не являющегося индивидуальным предпринимателем и применяющего специальный налоговый режим "Налог </w:t>
      </w:r>
      <w:r>
        <w:rPr>
          <w:rStyle w:val="Style_1_ch"/>
          <w:sz w:val="24"/>
        </w:rPr>
        <w:t>на профессиональный доход" в течение срока проведения эксперимента, установленного Федерал</w:t>
      </w:r>
      <w:r>
        <w:rPr>
          <w:rStyle w:val="Style_1_ch"/>
          <w:sz w:val="24"/>
        </w:rPr>
        <w:t xml:space="preserve">ьным </w:t>
      </w:r>
      <w:r>
        <w:rPr>
          <w:rStyle w:val="Style_1_ch"/>
          <w:sz w:val="24"/>
        </w:rPr>
        <w:fldChar w:fldCharType="begin"/>
      </w:r>
      <w:r>
        <w:rPr>
          <w:rStyle w:val="Style_1_ch"/>
          <w:sz w:val="24"/>
        </w:rPr>
        <w:instrText>HYPERLINK "https://login.consultant.ru/link/?req=doc&amp;base=LAW&amp;n=520124&amp;date=30.07.2026"</w:instrText>
      </w:r>
      <w:r>
        <w:rPr>
          <w:rStyle w:val="Style_1_ch"/>
          <w:sz w:val="24"/>
        </w:rPr>
        <w:fldChar w:fldCharType="separate"/>
      </w:r>
      <w:r>
        <w:rPr>
          <w:rStyle w:val="Style_1_ch"/>
          <w:sz w:val="24"/>
        </w:rPr>
        <w:t>законом</w:t>
      </w:r>
      <w:r>
        <w:rPr>
          <w:rStyle w:val="Style_1_ch"/>
          <w:sz w:val="24"/>
        </w:rPr>
        <w:fldChar w:fldCharType="end"/>
      </w:r>
      <w:r>
        <w:rPr>
          <w:rStyle w:val="Style_1_ch"/>
          <w:sz w:val="24"/>
        </w:rPr>
        <w:t xml:space="preserve"> о</w:t>
      </w:r>
      <w:r>
        <w:rPr>
          <w:rStyle w:val="Style_1_ch"/>
          <w:sz w:val="24"/>
        </w:rPr>
        <w:t xml:space="preserve">т 27 ноября 2018 года N 422-ФЗ "О </w:t>
      </w:r>
      <w:r>
        <w:rPr>
          <w:rStyle w:val="Style_1_ch"/>
          <w:sz w:val="24"/>
        </w:rPr>
        <w:t>проведении эксперимента по у</w:t>
      </w:r>
      <w:r>
        <w:rPr>
          <w:rStyle w:val="Style_1_ch"/>
          <w:sz w:val="24"/>
        </w:rPr>
        <w:t>становлению специального налогового режима "Налог на профессиональный доход", которые намереваются использовать нестационарные торговые объекты для осуществления торговой деятельности.</w:t>
      </w:r>
    </w:p>
    <w:p w14:paraId="91000000">
      <w:pPr>
        <w:widowControl w:val="1"/>
        <w:spacing w:before="240"/>
        <w:ind w:firstLine="540"/>
        <w:jc w:val="both"/>
      </w:pPr>
      <w:r>
        <w:rPr>
          <w:sz w:val="24"/>
        </w:rPr>
        <w:t>4.4. Достижение установленных нормативов минимальной обеспеченности населения площадью торговых объектов не может служить основанием для отказа о включении в Схему новых нестационарных торговых объектов.</w:t>
      </w:r>
    </w:p>
    <w:p w14:paraId="92000000">
      <w:pPr>
        <w:widowControl w:val="1"/>
        <w:spacing w:before="240"/>
        <w:ind w:firstLine="540"/>
        <w:jc w:val="both"/>
      </w:pPr>
      <w:r>
        <w:rPr>
          <w:sz w:val="24"/>
        </w:rPr>
        <w:t>4.5. Заявление о включении мест размещения нестационарного торгового объекта в Схему составляется по форме, утвержденной органом местного самоуправления, с указанием следующих сведений:</w:t>
      </w:r>
    </w:p>
    <w:p w14:paraId="93000000">
      <w:pPr>
        <w:widowControl w:val="1"/>
        <w:spacing w:before="240"/>
        <w:ind w:firstLine="540"/>
        <w:jc w:val="both"/>
      </w:pPr>
      <w:r>
        <w:rPr>
          <w:sz w:val="24"/>
        </w:rPr>
        <w:t>- наименование, организационно-правовая форма, юридический адрес, адрес фактического местонахождения, контактный телефон, основной государственный регистрационный номер, идентификационный номер налогоплательщика - для юридического лица;</w:t>
      </w:r>
    </w:p>
    <w:p w14:paraId="94000000">
      <w:pPr>
        <w:widowControl w:val="1"/>
        <w:spacing w:before="240"/>
        <w:ind w:firstLine="540"/>
        <w:jc w:val="both"/>
      </w:pPr>
      <w:r>
        <w:rPr>
          <w:sz w:val="24"/>
        </w:rPr>
        <w:t>- фамилия, имя, отчество, паспортные данные, адрес регистрации, адрес фактического проживания, контактный телефон, основной государственный регистрационный номер индивидуального предпринимателя, идентификационный номер налогоплательщика - для индивидуального предпринимателя;</w:t>
      </w:r>
    </w:p>
    <w:p w14:paraId="95000000">
      <w:pPr>
        <w:widowControl w:val="1"/>
        <w:spacing w:before="240"/>
        <w:ind w:firstLine="540"/>
        <w:jc w:val="both"/>
      </w:pPr>
      <w:r>
        <w:rPr>
          <w:sz w:val="24"/>
        </w:rPr>
        <w:t xml:space="preserve">- категория субъекта предпринимательства (в соответствии с </w:t>
      </w:r>
      <w:r>
        <w:rPr>
          <w:color w:val="0000FF"/>
          <w:sz w:val="24"/>
        </w:rPr>
        <w:fldChar w:fldCharType="begin"/>
      </w:r>
      <w:r>
        <w:rPr>
          <w:color w:val="0000FF"/>
          <w:sz w:val="24"/>
        </w:rPr>
        <w:instrText>HYPERLINK "https://login.consultant.ru/link/?req=doc&amp;base=LAW&amp;n=196415&amp;date=03.08.2026Определьныхзначенияхдохода,полученногоотосуществленияпредпринимательскойдеятельности,длякаждойкатегориисубъектовмалогоисреднегопредпринимательства{КонсультантПлюс}" \o "Постановление Правительства РФ от 04.04.2016 N 265"</w:instrText>
      </w:r>
      <w:r>
        <w:rPr>
          <w:color w:val="0000FF"/>
          <w:sz w:val="24"/>
        </w:rPr>
        <w:fldChar w:fldCharType="separate"/>
      </w:r>
      <w:r>
        <w:rPr>
          <w:color w:val="0000FF"/>
          <w:sz w:val="24"/>
        </w:rPr>
        <w:t>постановлением</w:t>
      </w:r>
      <w:r>
        <w:rPr>
          <w:color w:val="0000FF"/>
          <w:sz w:val="24"/>
        </w:rPr>
        <w:fldChar w:fldCharType="end"/>
      </w:r>
      <w:r>
        <w:rPr>
          <w:sz w:val="24"/>
        </w:rPr>
        <w:t xml:space="preserve"> Правительства Российской Федерации от 4 апреля 2016 г. N 265 "О предельных значениях дохода, полученного от осуществления предпринимательской деятельности, для каждой категории субъектов малого и среднего предпринимательства");</w:t>
      </w:r>
    </w:p>
    <w:p w14:paraId="96000000">
      <w:pPr>
        <w:widowControl w:val="1"/>
        <w:spacing w:before="240"/>
        <w:ind w:firstLine="540"/>
        <w:jc w:val="both"/>
      </w:pPr>
      <w:r>
        <w:rPr>
          <w:sz w:val="24"/>
        </w:rPr>
        <w:t>- местонахождение (размещение, адресный ориентир) нестационарного торгового объекта;</w:t>
      </w:r>
    </w:p>
    <w:p w14:paraId="97000000">
      <w:pPr>
        <w:widowControl w:val="1"/>
        <w:numPr>
          <w:ilvl w:val="0"/>
          <w:numId w:val="2"/>
        </w:numPr>
        <w:spacing w:before="240"/>
        <w:ind w:firstLine="0" w:left="567"/>
        <w:jc w:val="both"/>
        <w:rPr>
          <w:sz w:val="24"/>
        </w:rPr>
      </w:pPr>
      <w:r>
        <w:rPr>
          <w:rStyle w:val="Style_1_ch"/>
          <w:sz w:val="24"/>
        </w:rPr>
        <w:t xml:space="preserve">местонахождения </w:t>
      </w:r>
      <w:r>
        <w:rPr>
          <w:rStyle w:val="Style_1_ch"/>
          <w:sz w:val="24"/>
        </w:rPr>
        <w:t xml:space="preserve">(размещение, адресный ориентир) </w:t>
      </w:r>
      <w:r>
        <w:rPr>
          <w:rStyle w:val="Style_1_ch"/>
          <w:sz w:val="24"/>
        </w:rPr>
        <w:t>мобильного торгового объекта;</w:t>
      </w:r>
    </w:p>
    <w:p w14:paraId="98000000">
      <w:pPr>
        <w:widowControl w:val="1"/>
        <w:spacing w:before="240"/>
        <w:ind w:firstLine="540"/>
        <w:jc w:val="both"/>
      </w:pPr>
      <w:r>
        <w:rPr>
          <w:rStyle w:val="Style_1_ch"/>
          <w:sz w:val="24"/>
        </w:rPr>
        <w:t>- собственни</w:t>
      </w:r>
      <w:r>
        <w:rPr>
          <w:sz w:val="24"/>
        </w:rPr>
        <w:t>к земельного участка (здания, строения, сооружения), на котором предполагается размещение нестационарного торгового объекта;</w:t>
      </w:r>
    </w:p>
    <w:p w14:paraId="99000000">
      <w:pPr>
        <w:widowControl w:val="1"/>
        <w:spacing w:before="240"/>
        <w:ind w:firstLine="540"/>
        <w:jc w:val="both"/>
      </w:pPr>
      <w:r>
        <w:rPr>
          <w:sz w:val="24"/>
        </w:rPr>
        <w:t>- реквизиты договора аренды и срок аренды (для земельных участков, зданий, строений, сооружений, используемых на правах аренды);</w:t>
      </w:r>
    </w:p>
    <w:p w14:paraId="9A000000">
      <w:pPr>
        <w:widowControl w:val="1"/>
        <w:spacing w:before="240"/>
        <w:ind w:firstLine="540"/>
        <w:jc w:val="both"/>
      </w:pPr>
      <w:r>
        <w:rPr>
          <w:sz w:val="24"/>
        </w:rPr>
        <w:t>- вид нестационарного торгового объекта;</w:t>
      </w:r>
    </w:p>
    <w:p w14:paraId="9B000000">
      <w:pPr>
        <w:widowControl w:val="1"/>
        <w:spacing w:before="240"/>
        <w:ind w:firstLine="540"/>
        <w:jc w:val="both"/>
      </w:pPr>
      <w:r>
        <w:rPr>
          <w:sz w:val="24"/>
        </w:rPr>
        <w:t>- вид торговли;</w:t>
      </w:r>
    </w:p>
    <w:p w14:paraId="9C000000">
      <w:pPr>
        <w:widowControl w:val="1"/>
        <w:spacing w:before="240"/>
        <w:ind w:firstLine="540"/>
        <w:jc w:val="both"/>
      </w:pPr>
      <w:r>
        <w:rPr>
          <w:sz w:val="24"/>
        </w:rPr>
        <w:t>- размер торговой площади объекта;</w:t>
      </w:r>
    </w:p>
    <w:p w14:paraId="9D000000">
      <w:pPr>
        <w:widowControl w:val="1"/>
        <w:spacing w:before="240"/>
        <w:ind w:firstLine="540"/>
        <w:jc w:val="both"/>
      </w:pPr>
      <w:r>
        <w:rPr>
          <w:sz w:val="24"/>
        </w:rPr>
        <w:t>- специализация нестационарного торгового объекта (ассортимент реализуемых товаров с указанием групп товаров, если торговля специализированная);</w:t>
      </w:r>
    </w:p>
    <w:p w14:paraId="9E000000">
      <w:pPr>
        <w:widowControl w:val="1"/>
        <w:spacing w:before="240"/>
        <w:ind w:firstLine="540"/>
        <w:jc w:val="both"/>
      </w:pPr>
      <w:r>
        <w:rPr>
          <w:sz w:val="24"/>
        </w:rPr>
        <w:t>- срок размещения нестационарного торгового объекта;</w:t>
      </w:r>
    </w:p>
    <w:p w14:paraId="9F000000">
      <w:pPr>
        <w:widowControl w:val="1"/>
        <w:spacing w:before="240"/>
        <w:ind w:firstLine="540"/>
        <w:jc w:val="both"/>
      </w:pPr>
      <w:r>
        <w:rPr>
          <w:sz w:val="24"/>
        </w:rPr>
        <w:t>- период размещения - для сезонных нестационарных торговых объектов;</w:t>
      </w:r>
    </w:p>
    <w:p w14:paraId="A0000000">
      <w:pPr>
        <w:widowControl w:val="1"/>
        <w:numPr>
          <w:ilvl w:val="0"/>
          <w:numId w:val="3"/>
        </w:numPr>
        <w:spacing w:before="240"/>
        <w:ind w:firstLine="567" w:left="0"/>
        <w:jc w:val="both"/>
        <w:rPr>
          <w:sz w:val="24"/>
        </w:rPr>
      </w:pPr>
      <w:r>
        <w:rPr>
          <w:rStyle w:val="Style_1_ch"/>
          <w:sz w:val="24"/>
        </w:rPr>
        <w:t>период размещения в соответствующем месте размещения - для мобильных торговых объектов;</w:t>
      </w:r>
    </w:p>
    <w:p w14:paraId="A1000000">
      <w:pPr>
        <w:widowControl w:val="1"/>
        <w:numPr>
          <w:ilvl w:val="0"/>
          <w:numId w:val="4"/>
        </w:numPr>
        <w:spacing w:before="240"/>
        <w:ind w:firstLine="0" w:left="567"/>
        <w:jc w:val="both"/>
        <w:rPr>
          <w:sz w:val="24"/>
        </w:rPr>
      </w:pPr>
      <w:r>
        <w:rPr>
          <w:rStyle w:val="Style_1_ch"/>
          <w:sz w:val="24"/>
        </w:rPr>
        <w:t>иллюстрационные материалы пла</w:t>
      </w:r>
      <w:r>
        <w:rPr>
          <w:rStyle w:val="Style_1_ch"/>
          <w:sz w:val="24"/>
        </w:rPr>
        <w:t>нируемого к размещению нестационарного торгового объекта;</w:t>
      </w:r>
    </w:p>
    <w:p w14:paraId="A2000000">
      <w:pPr>
        <w:widowControl w:val="1"/>
        <w:numPr>
          <w:ilvl w:val="0"/>
          <w:numId w:val="4"/>
        </w:numPr>
        <w:spacing w:before="240"/>
        <w:ind w:firstLine="567" w:left="0"/>
        <w:jc w:val="both"/>
        <w:rPr>
          <w:sz w:val="24"/>
        </w:rPr>
      </w:pPr>
      <w:r>
        <w:rPr>
          <w:rStyle w:val="Style_1_ch"/>
          <w:sz w:val="24"/>
        </w:rPr>
        <w:t xml:space="preserve">целевое назначение объекта </w:t>
      </w:r>
      <w:r>
        <w:rPr>
          <w:rStyle w:val="Style_1_ch"/>
          <w:sz w:val="24"/>
        </w:rPr>
        <w:t>(реализация готовой продукции, производство продукции, производство продукции в целях дальнейшей реализации);</w:t>
      </w:r>
    </w:p>
    <w:p w14:paraId="A3000000">
      <w:pPr>
        <w:widowControl w:val="1"/>
        <w:spacing w:before="240"/>
        <w:ind w:firstLine="540"/>
        <w:jc w:val="both"/>
      </w:pPr>
      <w:r>
        <w:rPr>
          <w:sz w:val="24"/>
        </w:rPr>
        <w:t>Органы местного самоуправления не вправе требовать представления иной информации.</w:t>
      </w:r>
    </w:p>
    <w:p w14:paraId="A4000000">
      <w:pPr>
        <w:widowControl w:val="1"/>
        <w:spacing w:before="240"/>
        <w:ind w:firstLine="540"/>
        <w:jc w:val="both"/>
        <w:rPr>
          <w:sz w:val="24"/>
        </w:rPr>
      </w:pPr>
      <w:r>
        <w:rPr>
          <w:rStyle w:val="Style_1_ch"/>
          <w:sz w:val="24"/>
        </w:rPr>
        <w:t>4.5.1 З</w:t>
      </w:r>
      <w:r>
        <w:rPr>
          <w:rStyle w:val="Style_1_ch"/>
          <w:sz w:val="24"/>
        </w:rPr>
        <w:t>аявление о включении нестационарного торгового объекта, размещенного на земельном участке, находящемся в частной собственности, в Схему составляется по форме в соответствии с приложением № 2 к приказу Министерства предпринимательства, торговли и туризма Республики Саха (Якутия) «Об утверждении порядка разработки, утверждения, изменения и дополнения схем размещения нестационарных торговых объектов органами местного самоуправления Республики Саха (Якутия)» от 28.05.2020 г. № П-119/од.</w:t>
      </w:r>
    </w:p>
    <w:p w14:paraId="A5000000">
      <w:pPr>
        <w:widowControl w:val="1"/>
        <w:spacing w:before="240"/>
        <w:ind w:firstLine="540"/>
        <w:jc w:val="both"/>
        <w:rPr>
          <w:sz w:val="24"/>
          <w:shd w:fill="E2006E" w:val="clear"/>
        </w:rPr>
      </w:pPr>
      <w:r>
        <w:rPr>
          <w:rStyle w:val="Style_1_ch"/>
          <w:sz w:val="24"/>
        </w:rPr>
        <w:t>Органы местного самоуправления не вправе требовать представления иной информации</w:t>
      </w:r>
      <w:r>
        <w:rPr>
          <w:sz w:val="24"/>
        </w:rPr>
        <w:t>.</w:t>
      </w:r>
    </w:p>
    <w:p w14:paraId="A6000000">
      <w:pPr>
        <w:widowControl w:val="1"/>
        <w:spacing w:before="240"/>
        <w:ind w:firstLine="540"/>
        <w:jc w:val="both"/>
      </w:pPr>
      <w:r>
        <w:rPr>
          <w:sz w:val="24"/>
        </w:rPr>
        <w:t xml:space="preserve">4.6. Орган местного самоуправления рассматривает заявление в срок не более 15 рабочих дней, а в случае необходимости согласования места размещения нестационарного торгового объекта с органами, указанными в </w:t>
      </w:r>
      <w:r>
        <w:rPr>
          <w:color w:val="0000FF"/>
          <w:sz w:val="24"/>
        </w:rPr>
        <w:t>пункте 3.17</w:t>
      </w:r>
      <w:r>
        <w:rPr>
          <w:sz w:val="24"/>
        </w:rPr>
        <w:t xml:space="preserve"> настоящего Порядка, в срок не более 35 рабочих дней.</w:t>
      </w:r>
    </w:p>
    <w:p w14:paraId="A7000000">
      <w:pPr>
        <w:widowControl w:val="1"/>
        <w:spacing w:before="240"/>
        <w:ind w:firstLine="540"/>
        <w:jc w:val="both"/>
      </w:pPr>
      <w:r>
        <w:rPr>
          <w:sz w:val="24"/>
        </w:rPr>
        <w:t xml:space="preserve">В течение 5 рабочих дней со дня поступления заявления о включении места размещения объекта нестационарной торговли в Схему орган местного самоуправления публикует на своем официальном сайте в информационно-телекоммуникационной сети "Интернет" информацию, указанную в </w:t>
      </w:r>
      <w:r>
        <w:rPr>
          <w:color w:val="0000FF"/>
          <w:sz w:val="24"/>
        </w:rPr>
        <w:t>пункте 3.3</w:t>
      </w:r>
      <w:r>
        <w:rPr>
          <w:sz w:val="24"/>
        </w:rPr>
        <w:t xml:space="preserve"> настоящего Порядка, с указанием даты окончания срока принятия решения по поступившему заявлению.</w:t>
      </w:r>
    </w:p>
    <w:p w14:paraId="A8000000">
      <w:pPr>
        <w:widowControl w:val="1"/>
        <w:spacing w:before="240"/>
        <w:ind w:firstLine="540"/>
        <w:jc w:val="both"/>
      </w:pPr>
      <w:r>
        <w:rPr>
          <w:sz w:val="24"/>
        </w:rPr>
        <w:t>4.7. Поступившее заявление о включении места размещения нестационарного торгового объекта в Схему согласовывается органом местного самоуправления с:</w:t>
      </w:r>
    </w:p>
    <w:p w14:paraId="A9000000">
      <w:pPr>
        <w:widowControl w:val="1"/>
        <w:spacing w:before="240"/>
        <w:ind w:firstLine="540"/>
        <w:jc w:val="both"/>
      </w:pPr>
      <w:r>
        <w:rPr>
          <w:sz w:val="24"/>
        </w:rPr>
        <w:t>4.7.1. Департаментом Республики Саха (Якутия) по охране объектов культурного наследия (если земельный участок (здание, строение, сооружение), указанный в заявление о включении места размещения нестационарного торгового объекта в Схему, предусматривает размещение нестационарных торговых объектов на территориях и в зонах охраны объектов культурного наследия);</w:t>
      </w:r>
    </w:p>
    <w:p w14:paraId="AA000000">
      <w:pPr>
        <w:widowControl w:val="1"/>
        <w:spacing w:before="240"/>
        <w:ind w:firstLine="540"/>
        <w:jc w:val="both"/>
      </w:pPr>
      <w:r>
        <w:rPr>
          <w:sz w:val="24"/>
        </w:rPr>
        <w:t>4.7.2. Министерством экологии, природопользования и лесного хозяйства Республики Саха (Якутия) (если земельный участок (здание, строение, сооружение), указанный в заявление о включении места размещения нестационарного торгового объекта в Схему, предусматривает размещение нестационарных торговых объектов в границах особо охраняемых природных территорий республиканского значения);</w:t>
      </w:r>
    </w:p>
    <w:p w14:paraId="AB000000">
      <w:pPr>
        <w:widowControl w:val="1"/>
        <w:spacing w:before="240"/>
        <w:ind w:firstLine="540"/>
        <w:jc w:val="both"/>
      </w:pPr>
      <w:r>
        <w:rPr>
          <w:sz w:val="24"/>
        </w:rPr>
        <w:t>4.7.3. Министерством имущественных и земельных отношений Республики Саха (Якутия) (если земельный участок (здание, строение, сооружение), указанный в заявление о включении места размещения нестационарного торгового объекта в Схему, предусматривает размещение нестационарных торговых объектов на земельных участках, в зданиях и сооружениях, находящихся в собственности Республики Саха (Якутия).</w:t>
      </w:r>
    </w:p>
    <w:p w14:paraId="AC000000">
      <w:pPr>
        <w:widowControl w:val="1"/>
        <w:spacing w:before="240"/>
        <w:ind w:firstLine="540"/>
        <w:jc w:val="both"/>
        <w:rPr>
          <w:sz w:val="24"/>
        </w:rPr>
      </w:pPr>
      <w:r>
        <w:rPr>
          <w:rStyle w:val="Style_1_ch"/>
          <w:sz w:val="24"/>
        </w:rPr>
        <w:t xml:space="preserve">4.7.4. </w:t>
      </w:r>
      <w:r>
        <w:rPr>
          <w:rStyle w:val="Style_1_ch"/>
          <w:sz w:val="24"/>
        </w:rPr>
        <w:t>Уполномоченным структурным подразделением органа местного самоуправления Республики Саха (Якутия), осуществляющим функции в области архитектуры и градостроительства (в случае, если на территории муниципального образования Республики Саха (Якутия) действует единый свод правил и реко</w:t>
      </w:r>
      <w:r>
        <w:rPr>
          <w:rStyle w:val="Style_1_ch"/>
          <w:sz w:val="24"/>
        </w:rPr>
        <w:t>мендаций по формирования внешнего облика городской среды);</w:t>
      </w:r>
    </w:p>
    <w:p w14:paraId="AD000000">
      <w:pPr>
        <w:widowControl w:val="1"/>
        <w:spacing w:before="240"/>
        <w:ind w:firstLine="540"/>
        <w:jc w:val="both"/>
        <w:rPr>
          <w:sz w:val="24"/>
        </w:rPr>
      </w:pPr>
      <w:r>
        <w:rPr>
          <w:rStyle w:val="Style_1_ch"/>
          <w:sz w:val="24"/>
        </w:rPr>
        <w:t xml:space="preserve">4.7.5. </w:t>
      </w:r>
      <w:r>
        <w:rPr>
          <w:rStyle w:val="Style_1_ch"/>
          <w:sz w:val="24"/>
        </w:rPr>
        <w:t>Соответствующие исполнительные органы государственной власти рассматривают поступивший запрос органа местного самоуправления в течение 30 рабочих дней и принимают решение о согла</w:t>
      </w:r>
      <w:r>
        <w:rPr>
          <w:rStyle w:val="Style_1_ch"/>
          <w:sz w:val="24"/>
        </w:rPr>
        <w:t xml:space="preserve">совании включения места размещения объекта нестационарной торговли в Схему или об отказе в таком согласовании по основаниям, предусмотренным </w:t>
      </w:r>
      <w:r>
        <w:rPr>
          <w:rStyle w:val="Style_1_ch"/>
          <w:sz w:val="24"/>
        </w:rPr>
        <w:fldChar w:fldCharType="begin"/>
      </w:r>
      <w:r>
        <w:rPr>
          <w:rStyle w:val="Style_1_ch"/>
          <w:sz w:val="24"/>
        </w:rPr>
        <w:instrText>HYPERLINK "https://login.consultant.ru/link/?req=doc&amp;base=RLAW249&amp;n=97155&amp;dst=100137&amp;field=134&amp;date=16.07.2026"</w:instrText>
      </w:r>
      <w:r>
        <w:rPr>
          <w:rStyle w:val="Style_1_ch"/>
          <w:sz w:val="24"/>
        </w:rPr>
        <w:fldChar w:fldCharType="separate"/>
      </w:r>
      <w:r>
        <w:rPr>
          <w:rStyle w:val="Style_1_ch"/>
          <w:sz w:val="24"/>
        </w:rPr>
        <w:t>пунк</w:t>
      </w:r>
      <w:r>
        <w:rPr>
          <w:rStyle w:val="Style_1_ch"/>
          <w:sz w:val="24"/>
        </w:rPr>
        <w:t>том 4.12</w:t>
      </w:r>
      <w:r>
        <w:rPr>
          <w:rStyle w:val="Style_1_ch"/>
          <w:sz w:val="24"/>
        </w:rPr>
        <w:fldChar w:fldCharType="end"/>
      </w:r>
      <w:r>
        <w:rPr>
          <w:rStyle w:val="Style_1_ch"/>
          <w:sz w:val="24"/>
        </w:rPr>
        <w:t xml:space="preserve"> настоящего Порядка.</w:t>
      </w:r>
    </w:p>
    <w:p w14:paraId="AE000000">
      <w:pPr>
        <w:widowControl w:val="1"/>
        <w:spacing w:before="240"/>
        <w:ind w:firstLine="540"/>
        <w:jc w:val="both"/>
      </w:pPr>
      <w:r>
        <w:rPr>
          <w:sz w:val="24"/>
        </w:rPr>
        <w:t>4.8. О принятом решении исполнительный орган государственной власти, рассматривающий поступивший запрос, в письменном виде сообщает органу местного самоуправления, направившему запрос о согласовании заявления о включении места размещения нестационарного торгового объекта в Схему, а также информирует о возможных способах устранения противоречий, препятствующих размещению объекта нестационарной торговли в соответствующем месте, и предлагает иные варианты размещения.</w:t>
      </w:r>
    </w:p>
    <w:p w14:paraId="AF000000">
      <w:pPr>
        <w:widowControl w:val="1"/>
        <w:spacing w:before="240"/>
        <w:ind w:firstLine="540"/>
        <w:jc w:val="both"/>
      </w:pPr>
      <w:r>
        <w:rPr>
          <w:sz w:val="24"/>
        </w:rPr>
        <w:t>4.9. Согласование включения мест размещения объектов нестационарной торговли в Схему считается полученным по умолчанию при несоблюдении установленного срока рассмотрения запроса органа местного самоуправления о включении места размещения объекта нестационарной торговли в Схему.</w:t>
      </w:r>
    </w:p>
    <w:p w14:paraId="B0000000">
      <w:pPr>
        <w:widowControl w:val="1"/>
        <w:spacing w:before="240"/>
        <w:ind w:firstLine="540"/>
        <w:jc w:val="both"/>
      </w:pPr>
      <w:r>
        <w:rPr>
          <w:sz w:val="24"/>
        </w:rPr>
        <w:t xml:space="preserve">4.10. Не позднее срока, указанного в </w:t>
      </w:r>
      <w:r>
        <w:rPr>
          <w:color w:val="0000FF"/>
          <w:sz w:val="24"/>
        </w:rPr>
        <w:t>абзаце первом пункта 4.6</w:t>
      </w:r>
      <w:r>
        <w:rPr>
          <w:sz w:val="24"/>
        </w:rPr>
        <w:t xml:space="preserve"> настоящего Порядка, орган местного самоуправления обязан включить место размещения объекта нестационарной торговли по заявлению хозяйствующих субъектов, осуществляющих торговую деятельность, а также союзов, ассоциаций и общественных объединений, в Схему либо направить заявителю письменный мотивированный отказ по основаниям, предусмотренных пунктом 4.12 настоящего Порядка, а также информирует о возможных способах устранения противоречий, препятствующих размещению объектов нестационарной торговли в соответствующем месте, и предлагает иные варианты.</w:t>
      </w:r>
    </w:p>
    <w:p w14:paraId="B1000000">
      <w:pPr>
        <w:widowControl w:val="1"/>
        <w:spacing w:before="240"/>
        <w:ind w:firstLine="540"/>
        <w:jc w:val="both"/>
      </w:pPr>
      <w:r>
        <w:rPr>
          <w:sz w:val="24"/>
        </w:rPr>
        <w:t xml:space="preserve">4.11. Решение о включении места размещения объекта нестационарной торговли в Схему либо об отказе во включении в срок, указанный в </w:t>
      </w:r>
      <w:r>
        <w:rPr>
          <w:color w:val="0000FF"/>
          <w:sz w:val="24"/>
        </w:rPr>
        <w:t>абзаце первом пункта 4.6</w:t>
      </w:r>
      <w:r>
        <w:rPr>
          <w:sz w:val="24"/>
        </w:rPr>
        <w:t xml:space="preserve"> настоящего Порядка, направляется заявителю и публикуется на официальном сайте органа местного самоуправления в информационно-телекоммуникационной сети "Интернет".</w:t>
      </w:r>
    </w:p>
    <w:p w14:paraId="B2000000">
      <w:pPr>
        <w:widowControl w:val="1"/>
        <w:spacing w:before="240"/>
        <w:ind w:firstLine="540"/>
        <w:jc w:val="both"/>
      </w:pPr>
      <w:r>
        <w:rPr>
          <w:sz w:val="24"/>
        </w:rPr>
        <w:t>4.12. Основаниями для отказа о включении мест размещения объектов нестационарной торговли в Схему при ее дополнении новыми местами являются:</w:t>
      </w:r>
    </w:p>
    <w:p w14:paraId="B3000000">
      <w:pPr>
        <w:widowControl w:val="1"/>
        <w:spacing w:before="240"/>
        <w:ind w:firstLine="540"/>
        <w:jc w:val="both"/>
      </w:pPr>
      <w:r>
        <w:rPr>
          <w:sz w:val="24"/>
        </w:rPr>
        <w:t>- несоответствие испрашиваемого места размещения требованиям к размещению объектов нестационарной торговли, установленных настоящим Порядком, а также установленные законодательством Российской Федерации ограничения в их обороте;</w:t>
      </w:r>
    </w:p>
    <w:p w14:paraId="B4000000">
      <w:pPr>
        <w:widowControl w:val="1"/>
        <w:spacing w:before="240"/>
        <w:ind w:firstLine="540"/>
        <w:jc w:val="both"/>
      </w:pPr>
      <w:r>
        <w:rPr>
          <w:sz w:val="24"/>
        </w:rPr>
        <w:t>- испрашиваемое место размещения входит в состав земельного участка (здания, строения, сооружения), предоставленного в установленном порядке другому лицу, и отсутствует письменное согласие правообладателя на размещение объекта нестационарной торговли;</w:t>
      </w:r>
    </w:p>
    <w:p w14:paraId="B5000000">
      <w:pPr>
        <w:widowControl w:val="1"/>
        <w:numPr>
          <w:ilvl w:val="0"/>
          <w:numId w:val="5"/>
        </w:numPr>
        <w:spacing w:before="240"/>
        <w:ind w:firstLine="567" w:left="0"/>
        <w:jc w:val="both"/>
        <w:rPr>
          <w:sz w:val="24"/>
        </w:rPr>
      </w:pPr>
      <w:r>
        <w:rPr>
          <w:rStyle w:val="Style_1_ch"/>
          <w:sz w:val="24"/>
        </w:rPr>
        <w:t>несоответствие планируемого к размещению не</w:t>
      </w:r>
      <w:r>
        <w:rPr>
          <w:rStyle w:val="Style_1_ch"/>
          <w:sz w:val="24"/>
        </w:rPr>
        <w:t>стационарного торгового объекта</w:t>
      </w:r>
      <w:r>
        <w:rPr>
          <w:rStyle w:val="Style_1_ch"/>
          <w:sz w:val="24"/>
        </w:rPr>
        <w:t xml:space="preserve"> единому своду правил и рекомендаций по формированию внешнего облика городской среды (при действии </w:t>
      </w:r>
      <w:r>
        <w:rPr>
          <w:rStyle w:val="Style_1_ch"/>
          <w:sz w:val="24"/>
        </w:rPr>
        <w:t xml:space="preserve">единого свода правил и рекомендаций по формированию внешнего облика городской среды </w:t>
      </w:r>
      <w:r>
        <w:rPr>
          <w:rStyle w:val="Style_1_ch"/>
          <w:sz w:val="24"/>
        </w:rPr>
        <w:t>на территории муниципального образования);</w:t>
      </w:r>
    </w:p>
    <w:p w14:paraId="B6000000">
      <w:pPr>
        <w:widowControl w:val="1"/>
        <w:spacing w:before="240"/>
        <w:ind w:firstLine="540"/>
        <w:jc w:val="both"/>
      </w:pPr>
      <w:r>
        <w:rPr>
          <w:sz w:val="24"/>
        </w:rPr>
        <w:t>Указанный перечень оснований для отказа о включении мест размещения объектов нестационарной торговли в Схему является исчерпывающим.</w:t>
      </w:r>
    </w:p>
    <w:p w14:paraId="B7000000">
      <w:pPr>
        <w:pStyle w:val="Style_1"/>
        <w:widowControl w:val="1"/>
        <w:spacing w:before="240"/>
        <w:ind w:firstLine="540"/>
        <w:jc w:val="both"/>
        <w:rPr>
          <w:sz w:val="24"/>
        </w:rPr>
      </w:pPr>
      <w:r>
        <w:rPr>
          <w:rStyle w:val="Style_1_ch"/>
          <w:sz w:val="24"/>
        </w:rPr>
        <w:t xml:space="preserve">4.12.1. </w:t>
      </w:r>
      <w:r>
        <w:rPr>
          <w:rStyle w:val="Style_1_ch"/>
          <w:sz w:val="24"/>
        </w:rPr>
        <w:t>Основаниями для отказа о включении нестационарного торгового объекта, размещенн</w:t>
      </w:r>
      <w:r>
        <w:rPr>
          <w:rStyle w:val="Style_1_ch"/>
          <w:sz w:val="24"/>
        </w:rPr>
        <w:t>ого на земельном участке, находящемся в частной собственности, в Схему при ее дополнении новыми местами являются:</w:t>
      </w:r>
    </w:p>
    <w:p w14:paraId="B8000000">
      <w:pPr>
        <w:pStyle w:val="Style_1"/>
        <w:widowControl w:val="1"/>
        <w:numPr>
          <w:ilvl w:val="0"/>
          <w:numId w:val="6"/>
        </w:numPr>
        <w:spacing w:before="240"/>
        <w:ind w:firstLine="567" w:left="0"/>
        <w:jc w:val="both"/>
        <w:rPr>
          <w:sz w:val="24"/>
        </w:rPr>
      </w:pPr>
      <w:r>
        <w:rPr>
          <w:rStyle w:val="Style_1_ch"/>
          <w:sz w:val="24"/>
        </w:rPr>
        <w:t>несоответствие нестационарного торгового объекта настоящим Требованиям;</w:t>
      </w:r>
    </w:p>
    <w:p w14:paraId="B9000000">
      <w:pPr>
        <w:pStyle w:val="Style_1"/>
        <w:widowControl w:val="1"/>
        <w:numPr>
          <w:ilvl w:val="0"/>
          <w:numId w:val="6"/>
        </w:numPr>
        <w:spacing w:before="240"/>
        <w:ind w:firstLine="567" w:left="0"/>
        <w:jc w:val="both"/>
        <w:rPr>
          <w:sz w:val="24"/>
        </w:rPr>
      </w:pPr>
      <w:r>
        <w:rPr>
          <w:rStyle w:val="Style_1_ch"/>
          <w:sz w:val="24"/>
        </w:rPr>
        <w:t xml:space="preserve">несоответствие критериям, указанным в пункте 4.3.1 настоящего </w:t>
      </w:r>
      <w:r>
        <w:rPr>
          <w:rStyle w:val="Style_1_ch"/>
          <w:sz w:val="24"/>
        </w:rPr>
        <w:t>порядка;</w:t>
      </w:r>
    </w:p>
    <w:p w14:paraId="BA000000">
      <w:pPr>
        <w:pStyle w:val="Style_1"/>
        <w:widowControl w:val="1"/>
        <w:numPr>
          <w:ilvl w:val="0"/>
          <w:numId w:val="6"/>
        </w:numPr>
        <w:spacing w:before="240"/>
        <w:ind w:firstLine="567" w:left="0"/>
        <w:jc w:val="both"/>
        <w:rPr>
          <w:sz w:val="24"/>
        </w:rPr>
      </w:pPr>
      <w:r>
        <w:rPr>
          <w:rStyle w:val="Style_1_ch"/>
          <w:sz w:val="24"/>
        </w:rPr>
        <w:t>несоответствие заявления и прилагаемого перечня документов пу</w:t>
      </w:r>
      <w:r>
        <w:rPr>
          <w:rStyle w:val="Style_1_ch"/>
          <w:sz w:val="24"/>
        </w:rPr>
        <w:t>нкту</w:t>
      </w:r>
      <w:r>
        <w:rPr>
          <w:sz w:val="24"/>
        </w:rPr>
        <w:t xml:space="preserve"> 4.5.1 </w:t>
      </w:r>
      <w:r>
        <w:rPr>
          <w:rStyle w:val="Style_1_ch"/>
          <w:sz w:val="24"/>
        </w:rPr>
        <w:t>нас</w:t>
      </w:r>
      <w:r>
        <w:rPr>
          <w:rStyle w:val="Style_1_ch"/>
          <w:sz w:val="24"/>
        </w:rPr>
        <w:t>тоящего Порядка;</w:t>
      </w:r>
    </w:p>
    <w:p w14:paraId="BB000000">
      <w:pPr>
        <w:pStyle w:val="Style_1"/>
        <w:widowControl w:val="1"/>
        <w:spacing w:before="240"/>
        <w:ind w:firstLine="567" w:left="0"/>
        <w:jc w:val="both"/>
        <w:rPr>
          <w:sz w:val="24"/>
        </w:rPr>
      </w:pPr>
      <w:r>
        <w:rPr>
          <w:sz w:val="24"/>
        </w:rPr>
        <w:t>Указанный перечень оснований для отказа о включении мест размещения объектов нестационарной торговли в Схему является исчерпывающим.</w:t>
      </w:r>
    </w:p>
    <w:p w14:paraId="BC000000">
      <w:pPr>
        <w:widowControl w:val="1"/>
        <w:spacing w:before="240"/>
        <w:ind w:firstLine="540"/>
        <w:jc w:val="both"/>
      </w:pPr>
      <w:r>
        <w:rPr>
          <w:sz w:val="24"/>
        </w:rPr>
        <w:t>4.13. Не допускается отказ о включении мест размещения объектов нестационарной торговли в Схему или их исключение из Схемы по мотивам целесообразности размещения, наличия, открытия либо планирования открытия иных торговых объектов вблизи предполагаемого места размещения объекта нестационарной торговли, а также по иным основаниям, не предусмотренным настоящим Порядком.</w:t>
      </w:r>
    </w:p>
    <w:p w14:paraId="BD000000">
      <w:pPr>
        <w:widowControl w:val="1"/>
        <w:spacing w:before="240"/>
        <w:ind w:firstLine="540"/>
        <w:jc w:val="both"/>
      </w:pPr>
      <w:r>
        <w:rPr>
          <w:sz w:val="24"/>
        </w:rPr>
        <w:t>4.14. Исключение из Схемы мест размещения объектов нестационарной торговли возможно только в целях использования места размещения для государственных и муниципальных нужд, если их реализация невозможна без перемещения объекта нестационарной торговли на другое место, о чем не менее, чем за год в письменной форме извещаются хозяйствующие субъекты, осуществляющие торговую деятельность, с указанием причин предстоящего исключения мест размещения из Схемы, реквизитов актов органов государственной власти и (или) органов местного самоуправления об использовании территории, включающей место размещения, для государственных или муниципальных нужд, а также сроками начала соответствующих работ на указанной территории.</w:t>
      </w:r>
    </w:p>
    <w:p w14:paraId="BE000000">
      <w:pPr>
        <w:widowControl w:val="1"/>
        <w:spacing w:before="240"/>
        <w:ind w:firstLine="540"/>
        <w:jc w:val="both"/>
      </w:pPr>
      <w:r>
        <w:rPr>
          <w:sz w:val="24"/>
        </w:rPr>
        <w:t>Указанное извещение должно содержать предложение о выборе компенсационных мест в порядке, установленном для изменения и дополнения Схемы, и альтернативные равноценные предложения органа местного самоуправления по компенсационным местам.</w:t>
      </w:r>
    </w:p>
    <w:p w14:paraId="BF000000">
      <w:pPr>
        <w:widowControl w:val="1"/>
        <w:spacing w:before="240"/>
        <w:ind w:firstLine="540"/>
        <w:jc w:val="both"/>
      </w:pPr>
      <w:r>
        <w:rPr>
          <w:sz w:val="24"/>
        </w:rPr>
        <w:t>Исключению из Схемы подлежат места размещения объектов нестационарной торговли, внесенные в Схему на основании заявления юридического или физического лица, являющегося арендатором или пользователем земельного участка (здания, строения, сооружения), на котором размещен нестационарный торговый объект (объекты), с даты прекращения права аренды или пользования земельным участком.</w:t>
      </w:r>
    </w:p>
    <w:p w14:paraId="C0000000">
      <w:pPr>
        <w:widowControl w:val="1"/>
        <w:spacing w:before="240"/>
        <w:ind w:firstLine="540"/>
        <w:jc w:val="both"/>
      </w:pPr>
      <w:r>
        <w:rPr>
          <w:sz w:val="24"/>
        </w:rPr>
        <w:t>4.15. Внесение изменений в Схему в части исключения мест размещения объектов нестационарной торговли без предоставления хозяйствующему субъекту, осуществляющему торговую деятельность, равноценного компенсационного места или возмещения за нестационарные торговые объекты не допускается.</w:t>
      </w:r>
    </w:p>
    <w:p w14:paraId="C1000000">
      <w:pPr>
        <w:widowControl w:val="1"/>
        <w:spacing w:before="240"/>
        <w:ind w:firstLine="540"/>
        <w:jc w:val="both"/>
      </w:pPr>
      <w:r>
        <w:rPr>
          <w:sz w:val="24"/>
        </w:rPr>
        <w:t>Порядок предоставления компенсационных мест устанавливается нормативным правовым актом органа местного самоуправления.</w:t>
      </w:r>
    </w:p>
    <w:p w14:paraId="C2000000">
      <w:pPr>
        <w:widowControl w:val="1"/>
        <w:spacing w:before="240"/>
        <w:ind w:firstLine="540"/>
        <w:jc w:val="both"/>
      </w:pPr>
      <w:r>
        <w:rPr>
          <w:sz w:val="24"/>
        </w:rPr>
        <w:t>4.16. Исключение из Схемы мест размещения объектов нестационарной торговли не может повлечь прекращение права на их размещение в указанном месте до предоставления хозяйствующему субъекту компенсационного места и оформления в установленном порядке соответствующего договора или дополнительного соглашения по предоставлению компенсационного места.</w:t>
      </w:r>
    </w:p>
    <w:p w14:paraId="C3000000">
      <w:pPr>
        <w:widowControl w:val="1"/>
        <w:spacing w:before="240"/>
        <w:ind w:firstLine="540"/>
        <w:jc w:val="both"/>
      </w:pPr>
      <w:r>
        <w:rPr>
          <w:sz w:val="24"/>
        </w:rPr>
        <w:t xml:space="preserve">Действия настоящего пункта не распространяются на случаи, предусмотренные </w:t>
      </w:r>
      <w:r>
        <w:rPr>
          <w:color w:val="0000FF"/>
          <w:sz w:val="24"/>
        </w:rPr>
        <w:t>абзацем 3 пункта 4.14</w:t>
      </w:r>
      <w:r>
        <w:rPr>
          <w:sz w:val="24"/>
        </w:rPr>
        <w:t xml:space="preserve"> настоящего Порядка.</w:t>
      </w:r>
    </w:p>
    <w:p w14:paraId="C4000000">
      <w:pPr>
        <w:widowControl w:val="0"/>
        <w:ind/>
      </w:pPr>
    </w:p>
    <w:p w14:paraId="C5000000">
      <w:pPr>
        <w:widowControl w:val="1"/>
        <w:ind/>
        <w:jc w:val="center"/>
        <w:outlineLvl w:val="1"/>
        <w:rPr>
          <w:b w:val="1"/>
        </w:rPr>
      </w:pPr>
      <w:r>
        <w:rPr>
          <w:b w:val="1"/>
          <w:sz w:val="24"/>
        </w:rPr>
        <w:t>5. Заключительные и переходные положения</w:t>
      </w:r>
    </w:p>
    <w:p w14:paraId="C6000000">
      <w:pPr>
        <w:widowControl w:val="0"/>
        <w:ind/>
      </w:pPr>
    </w:p>
    <w:p w14:paraId="C7000000">
      <w:pPr>
        <w:widowControl w:val="1"/>
        <w:ind w:firstLine="567"/>
        <w:jc w:val="both"/>
      </w:pPr>
      <w:r>
        <w:rPr>
          <w:sz w:val="24"/>
        </w:rPr>
        <w:t>5.1. Настоящий порядок вступает в силу со дня его официального опубликования.</w:t>
      </w:r>
    </w:p>
    <w:p w14:paraId="C8000000">
      <w:pPr>
        <w:pStyle w:val="Style_1"/>
        <w:widowControl w:val="1"/>
        <w:ind w:firstLine="567"/>
      </w:pPr>
      <w:r>
        <w:rPr>
          <w:sz w:val="24"/>
        </w:rPr>
        <w:t xml:space="preserve">5.2. Вступление в силу настоящего приказа не влечет за собой пересмотра ранее утвержденных Схем, за исключением случаев, когда размещение нестационарного торгового объекта произведено с нарушением требований, указанных в </w:t>
      </w:r>
      <w:r>
        <w:rPr>
          <w:color w:val="0000FF"/>
          <w:sz w:val="24"/>
        </w:rPr>
        <w:t>пункте 3.4</w:t>
      </w:r>
      <w:r>
        <w:rPr>
          <w:sz w:val="24"/>
        </w:rPr>
        <w:t xml:space="preserve"> настоящего приказа.</w:t>
      </w:r>
    </w:p>
    <w:p w14:paraId="C9000000">
      <w:pPr>
        <w:pStyle w:val="Style_1"/>
        <w:widowControl w:val="1"/>
        <w:ind w:firstLine="567"/>
        <w:rPr>
          <w:sz w:val="24"/>
        </w:rPr>
      </w:pPr>
      <w:r>
        <w:rPr>
          <w:sz w:val="24"/>
        </w:rPr>
        <w:t>5.3. Нестационарные торговые объ</w:t>
      </w:r>
      <w:r>
        <w:rPr>
          <w:rStyle w:val="Style_1_ch"/>
          <w:sz w:val="24"/>
        </w:rPr>
        <w:t>екты</w:t>
      </w:r>
      <w:r>
        <w:rPr>
          <w:rStyle w:val="Style_1_ch"/>
          <w:sz w:val="24"/>
        </w:rPr>
        <w:t xml:space="preserve">, размещенные на земельных участках, находящихся в частной собственности, вправе осуществлять торговую деятельность </w:t>
      </w:r>
      <w:r>
        <w:rPr>
          <w:rStyle w:val="Style_1_ch"/>
          <w:sz w:val="24"/>
        </w:rPr>
        <w:t>без включения в Схему</w:t>
      </w:r>
      <w:r>
        <w:rPr>
          <w:rStyle w:val="Style_1_ch"/>
          <w:sz w:val="24"/>
        </w:rPr>
        <w:t xml:space="preserve"> в течении трех месяцев после принятия настоящего приказа, в указанный трехмесячный переходный период к данным нестационарным торговым объектам не применяются требования единого свода правил и</w:t>
      </w:r>
      <w:r>
        <w:rPr>
          <w:rStyle w:val="Style_1_ch"/>
          <w:sz w:val="24"/>
        </w:rPr>
        <w:t xml:space="preserve"> реко</w:t>
      </w:r>
      <w:r>
        <w:rPr>
          <w:rStyle w:val="Style_1_ch"/>
          <w:sz w:val="24"/>
        </w:rPr>
        <w:t>мендаций по формированию внешнего облика городской среды.</w:t>
      </w:r>
    </w:p>
    <w:p w14:paraId="CA000000">
      <w:pPr>
        <w:sectPr>
          <w:pgSz w:h="16838" w:orient="portrait" w:w="11906"/>
          <w:pgMar w:bottom="1134" w:left="1304" w:right="737" w:top="1134"/>
          <w:pgNumType w:fmt="decimal"/>
        </w:sectPr>
      </w:pPr>
    </w:p>
    <w:p w14:paraId="CB000000">
      <w:pPr>
        <w:widowControl w:val="1"/>
        <w:ind/>
        <w:jc w:val="right"/>
        <w:outlineLvl w:val="0"/>
      </w:pPr>
      <w:r>
        <w:rPr>
          <w:sz w:val="24"/>
        </w:rPr>
        <w:t>Приложение № 2</w:t>
      </w:r>
    </w:p>
    <w:p w14:paraId="CC000000">
      <w:pPr>
        <w:widowControl w:val="1"/>
        <w:ind/>
        <w:jc w:val="right"/>
      </w:pPr>
      <w:r>
        <w:rPr>
          <w:sz w:val="24"/>
        </w:rPr>
        <w:t>к приказу</w:t>
      </w:r>
    </w:p>
    <w:p w14:paraId="CD000000">
      <w:pPr>
        <w:widowControl w:val="1"/>
        <w:ind/>
        <w:jc w:val="right"/>
      </w:pPr>
      <w:r>
        <w:rPr>
          <w:sz w:val="24"/>
        </w:rPr>
        <w:t>Министерства предпринимательства,</w:t>
      </w:r>
    </w:p>
    <w:p w14:paraId="CE000000">
      <w:pPr>
        <w:widowControl w:val="1"/>
        <w:ind/>
        <w:jc w:val="right"/>
      </w:pPr>
      <w:r>
        <w:rPr>
          <w:sz w:val="24"/>
        </w:rPr>
        <w:t>торговли и туризма</w:t>
      </w:r>
    </w:p>
    <w:p w14:paraId="CF000000">
      <w:pPr>
        <w:widowControl w:val="1"/>
        <w:ind/>
        <w:jc w:val="right"/>
      </w:pPr>
      <w:r>
        <w:rPr>
          <w:sz w:val="24"/>
        </w:rPr>
        <w:t>Республики Саха (Якутия)</w:t>
      </w:r>
    </w:p>
    <w:p w14:paraId="D0000000">
      <w:pPr>
        <w:pStyle w:val="Style_1"/>
        <w:widowControl w:val="1"/>
        <w:ind w:firstLine="567"/>
        <w:jc w:val="right"/>
      </w:pPr>
      <w:r>
        <w:rPr>
          <w:sz w:val="24"/>
        </w:rPr>
        <w:t>от ______________ 2026 г. № _____</w:t>
      </w:r>
    </w:p>
    <w:p w14:paraId="D1000000">
      <w:pPr>
        <w:widowControl w:val="1"/>
        <w:spacing w:before="240"/>
        <w:ind w:firstLine="0"/>
        <w:jc w:val="center"/>
      </w:pPr>
      <w:r>
        <w:rPr>
          <w:b w:val="1"/>
          <w:sz w:val="28"/>
        </w:rPr>
        <w:t>Форма заявления о включении нестационарного торгового объекта, размещенного на земельном участке, находящемся в частной собственности, в схему размещения нестационарных торговых объектов</w:t>
      </w:r>
    </w:p>
    <w:p w14:paraId="D2000000">
      <w:pPr>
        <w:widowControl w:val="1"/>
        <w:spacing w:after="0" w:line="240" w:lineRule="auto"/>
        <w:ind/>
        <w:jc w:val="center"/>
        <w:rPr>
          <w:rFonts w:ascii="Times New Roman" w:hAnsi="Times New Roman"/>
          <w:sz w:val="28"/>
        </w:rPr>
      </w:pPr>
    </w:p>
    <w:p w14:paraId="D3000000">
      <w:pPr>
        <w:widowControl w:val="1"/>
        <w:spacing w:after="0" w:line="240" w:lineRule="auto"/>
        <w:ind/>
        <w:jc w:val="center"/>
        <w:rPr>
          <w:rFonts w:ascii="Times New Roman" w:hAnsi="Times New Roman"/>
          <w:sz w:val="28"/>
        </w:rPr>
      </w:pPr>
    </w:p>
    <w:tbl>
      <w:tblPr>
        <w:tblW w:type="auto" w:w="0"/>
        <w:tblInd w:type="dxa" w:w="0"/>
        <w:tblLayout w:type="fixed"/>
        <w:tblCellMar>
          <w:top w:type="dxa" w:w="0"/>
          <w:left w:type="dxa" w:w="108"/>
          <w:bottom w:type="dxa" w:w="0"/>
          <w:right w:type="dxa" w:w="108"/>
        </w:tblCellMar>
      </w:tblPr>
      <w:tblGrid>
        <w:gridCol w:w="2376"/>
        <w:gridCol w:w="6911"/>
      </w:tblGrid>
      <w:tr>
        <w:tc>
          <w:tcPr>
            <w:tcW w:type="dxa" w:w="2376"/>
            <w:shd w:fill="auto" w:val="clear"/>
            <w:tcMar>
              <w:top w:type="dxa" w:w="0"/>
              <w:left w:type="dxa" w:w="108"/>
              <w:bottom w:type="dxa" w:w="0"/>
              <w:right w:type="dxa" w:w="108"/>
            </w:tcMar>
          </w:tcPr>
          <w:p w14:paraId="D4000000">
            <w:pPr>
              <w:widowControl w:val="1"/>
              <w:spacing w:after="0" w:line="240" w:lineRule="auto"/>
              <w:ind/>
              <w:jc w:val="center"/>
              <w:rPr>
                <w:rFonts w:ascii="Times New Roman" w:hAnsi="Times New Roman"/>
                <w:sz w:val="28"/>
              </w:rPr>
            </w:pPr>
          </w:p>
        </w:tc>
        <w:tc>
          <w:tcPr>
            <w:tcW w:type="dxa" w:w="6911"/>
            <w:shd w:fill="auto" w:val="clear"/>
            <w:tcMar>
              <w:top w:type="dxa" w:w="0"/>
              <w:left w:type="dxa" w:w="108"/>
              <w:bottom w:type="dxa" w:w="0"/>
              <w:right w:type="dxa" w:w="108"/>
            </w:tcMar>
          </w:tcPr>
          <w:p w14:paraId="D5000000">
            <w:pPr>
              <w:widowControl w:val="1"/>
              <w:spacing w:after="0" w:line="240" w:lineRule="auto"/>
              <w:ind w:left="-108"/>
              <w:jc w:val="center"/>
              <w:rPr>
                <w:rFonts w:ascii="Times New Roman" w:hAnsi="Times New Roman"/>
                <w:sz w:val="20"/>
              </w:rPr>
            </w:pPr>
            <w:r>
              <w:rPr>
                <w:rFonts w:ascii="Times New Roman" w:hAnsi="Times New Roman"/>
                <w:sz w:val="28"/>
              </w:rPr>
              <w:t>Руководителю органа местного самоуправления Республики Саха (Якутия)</w:t>
            </w:r>
            <w:r>
              <w:rPr>
                <w:rFonts w:ascii="Times New Roman" w:hAnsi="Times New Roman"/>
                <w:sz w:val="28"/>
              </w:rPr>
              <w:br/>
            </w:r>
            <w:r>
              <w:rPr>
                <w:rFonts w:ascii="Times New Roman" w:hAnsi="Times New Roman"/>
                <w:sz w:val="28"/>
              </w:rPr>
              <w:t>________________________________________________</w:t>
            </w:r>
            <w:r>
              <w:rPr>
                <w:rFonts w:ascii="Times New Roman" w:hAnsi="Times New Roman"/>
                <w:sz w:val="28"/>
              </w:rPr>
              <w:br/>
            </w:r>
            <w:r>
              <w:rPr>
                <w:rFonts w:ascii="Times New Roman" w:hAnsi="Times New Roman"/>
                <w:sz w:val="20"/>
              </w:rPr>
              <w:t xml:space="preserve">____________________________________________________________________  </w:t>
            </w:r>
            <w:r>
              <w:rPr>
                <w:rFonts w:ascii="Times New Roman" w:hAnsi="Times New Roman"/>
                <w:sz w:val="20"/>
              </w:rPr>
              <w:t xml:space="preserve">Наименование органа местного самоуправления Республики Саха (Якутия), </w:t>
            </w:r>
            <w:r>
              <w:rPr>
                <w:rFonts w:ascii="Times New Roman" w:hAnsi="Times New Roman"/>
                <w:sz w:val="20"/>
              </w:rPr>
              <w:br/>
            </w:r>
            <w:r>
              <w:rPr>
                <w:rFonts w:ascii="Times New Roman" w:hAnsi="Times New Roman"/>
                <w:sz w:val="20"/>
              </w:rPr>
              <w:t>уполномоченного на разработку, утверждение, изменение и дополнения схемы размещения нестационарных торговых объектов ___________________________________________________________________</w:t>
            </w:r>
          </w:p>
          <w:p w14:paraId="D6000000">
            <w:pPr>
              <w:widowControl w:val="1"/>
              <w:spacing w:after="0" w:line="240" w:lineRule="auto"/>
              <w:ind w:left="-108"/>
              <w:jc w:val="center"/>
              <w:rPr>
                <w:rFonts w:ascii="Times New Roman" w:hAnsi="Times New Roman"/>
                <w:sz w:val="28"/>
              </w:rPr>
            </w:pPr>
            <w:r>
              <w:rPr>
                <w:rFonts w:ascii="Times New Roman" w:hAnsi="Times New Roman"/>
                <w:sz w:val="20"/>
              </w:rPr>
              <w:t>___________________________________________________________________ (Ф.И.О.</w:t>
            </w:r>
            <w:r>
              <w:rPr>
                <w:rFonts w:ascii="Times New Roman" w:hAnsi="Times New Roman"/>
                <w:sz w:val="20"/>
              </w:rPr>
              <w:t>)</w:t>
            </w:r>
          </w:p>
        </w:tc>
      </w:tr>
      <w:tr>
        <w:tc>
          <w:tcPr>
            <w:tcW w:type="dxa" w:w="2376"/>
            <w:shd w:fill="auto" w:val="clear"/>
            <w:tcMar>
              <w:top w:type="dxa" w:w="0"/>
              <w:left w:type="dxa" w:w="108"/>
              <w:bottom w:type="dxa" w:w="0"/>
              <w:right w:type="dxa" w:w="108"/>
            </w:tcMar>
          </w:tcPr>
          <w:p w14:paraId="D7000000">
            <w:pPr>
              <w:widowControl w:val="1"/>
              <w:spacing w:after="0" w:line="240" w:lineRule="auto"/>
              <w:ind/>
              <w:jc w:val="center"/>
              <w:rPr>
                <w:rFonts w:ascii="Times New Roman" w:hAnsi="Times New Roman"/>
                <w:sz w:val="28"/>
              </w:rPr>
            </w:pPr>
          </w:p>
        </w:tc>
        <w:tc>
          <w:tcPr>
            <w:tcW w:type="dxa" w:w="6911"/>
            <w:shd w:fill="auto" w:val="clear"/>
            <w:tcMar>
              <w:top w:type="dxa" w:w="0"/>
              <w:left w:type="dxa" w:w="108"/>
              <w:bottom w:type="dxa" w:w="0"/>
              <w:right w:type="dxa" w:w="108"/>
            </w:tcMar>
          </w:tcPr>
          <w:p w14:paraId="D8000000">
            <w:pPr>
              <w:widowControl w:val="1"/>
              <w:spacing w:after="0" w:line="240" w:lineRule="auto"/>
              <w:ind w:left="-108"/>
              <w:jc w:val="center"/>
              <w:rPr>
                <w:rFonts w:ascii="Times New Roman" w:hAnsi="Times New Roman"/>
                <w:sz w:val="28"/>
              </w:rPr>
            </w:pPr>
            <w:r>
              <w:rPr>
                <w:rFonts w:ascii="Times New Roman" w:hAnsi="Times New Roman"/>
                <w:sz w:val="28"/>
              </w:rPr>
              <w:t>________________________________________________</w:t>
            </w:r>
          </w:p>
          <w:p w14:paraId="D9000000">
            <w:pPr>
              <w:widowControl w:val="1"/>
              <w:spacing w:after="0" w:line="240" w:lineRule="auto"/>
              <w:ind w:left="-108"/>
              <w:jc w:val="center"/>
              <w:rPr>
                <w:rFonts w:ascii="Times New Roman" w:hAnsi="Times New Roman"/>
                <w:sz w:val="28"/>
              </w:rPr>
            </w:pPr>
            <w:r>
              <w:rPr>
                <w:rFonts w:ascii="Times New Roman" w:hAnsi="Times New Roman"/>
                <w:sz w:val="28"/>
              </w:rPr>
              <w:t>________________________________________________</w:t>
            </w:r>
            <w:r>
              <w:rPr>
                <w:rFonts w:ascii="Times New Roman" w:hAnsi="Times New Roman"/>
                <w:sz w:val="28"/>
              </w:rPr>
              <w:br/>
            </w:r>
            <w:r>
              <w:rPr>
                <w:rFonts w:ascii="Times New Roman" w:hAnsi="Times New Roman"/>
                <w:sz w:val="20"/>
              </w:rPr>
              <w:t>(для юридических лиц: наименование, местонахождение, ОГРН, ИНН)</w:t>
            </w:r>
          </w:p>
          <w:p w14:paraId="DA000000">
            <w:pPr>
              <w:widowControl w:val="1"/>
              <w:spacing w:after="0" w:line="240" w:lineRule="auto"/>
              <w:ind w:left="-108"/>
              <w:jc w:val="center"/>
              <w:rPr>
                <w:rFonts w:ascii="Times New Roman" w:hAnsi="Times New Roman"/>
                <w:sz w:val="28"/>
              </w:rPr>
            </w:pPr>
            <w:r>
              <w:rPr>
                <w:rFonts w:ascii="Times New Roman" w:hAnsi="Times New Roman"/>
                <w:sz w:val="20"/>
              </w:rPr>
              <w:t>__________________________________________________________________</w:t>
            </w:r>
          </w:p>
          <w:p w14:paraId="DB000000">
            <w:pPr>
              <w:widowControl w:val="1"/>
              <w:spacing w:after="0" w:line="240" w:lineRule="auto"/>
              <w:ind w:left="-108"/>
              <w:jc w:val="center"/>
              <w:rPr>
                <w:rFonts w:ascii="Times New Roman" w:hAnsi="Times New Roman"/>
                <w:sz w:val="28"/>
              </w:rPr>
            </w:pPr>
            <w:r>
              <w:rPr>
                <w:rFonts w:ascii="Times New Roman" w:hAnsi="Times New Roman"/>
                <w:sz w:val="20"/>
              </w:rPr>
              <w:t xml:space="preserve">__________________________________________________________________ </w:t>
            </w:r>
            <w:r>
              <w:rPr>
                <w:rFonts w:ascii="Times New Roman" w:hAnsi="Times New Roman"/>
                <w:sz w:val="20"/>
              </w:rPr>
              <w:br/>
            </w:r>
            <w:r>
              <w:rPr>
                <w:rFonts w:ascii="Times New Roman" w:hAnsi="Times New Roman"/>
                <w:sz w:val="20"/>
              </w:rPr>
              <w:t>(контактные данные: номер телефона, факс,</w:t>
            </w:r>
            <w:r>
              <w:rPr>
                <w:rFonts w:ascii="Times New Roman" w:hAnsi="Times New Roman"/>
                <w:sz w:val="20"/>
              </w:rPr>
              <w:br/>
            </w:r>
            <w:r>
              <w:rPr>
                <w:rFonts w:ascii="Times New Roman" w:hAnsi="Times New Roman"/>
                <w:sz w:val="20"/>
              </w:rPr>
              <w:t>почтовый адрес и адрес электронный почты)</w:t>
            </w:r>
          </w:p>
          <w:p w14:paraId="DC000000">
            <w:pPr>
              <w:widowControl w:val="1"/>
              <w:spacing w:after="0" w:line="240" w:lineRule="auto"/>
              <w:ind w:left="-108"/>
              <w:jc w:val="center"/>
              <w:rPr>
                <w:rFonts w:ascii="Times New Roman" w:hAnsi="Times New Roman"/>
                <w:sz w:val="28"/>
              </w:rPr>
            </w:pPr>
            <w:r>
              <w:rPr>
                <w:rFonts w:ascii="Times New Roman" w:hAnsi="Times New Roman"/>
                <w:sz w:val="20"/>
              </w:rPr>
              <w:br/>
            </w:r>
            <w:r>
              <w:rPr>
                <w:rFonts w:ascii="Times New Roman" w:hAnsi="Times New Roman"/>
                <w:sz w:val="20"/>
              </w:rPr>
              <w:t>__________________________________________________________________ (для индивидуальных предпринимателей</w:t>
            </w:r>
            <w:r>
              <w:rPr>
                <w:rFonts w:ascii="Times New Roman" w:hAnsi="Times New Roman"/>
                <w:sz w:val="20"/>
              </w:rPr>
              <w:t xml:space="preserve">, </w:t>
            </w:r>
            <w:r>
              <w:rPr>
                <w:rFonts w:ascii="Times New Roman" w:hAnsi="Times New Roman"/>
                <w:sz w:val="20"/>
              </w:rPr>
              <w:t>физических лиц, применяющих</w:t>
            </w:r>
            <w:r>
              <w:rPr>
                <w:rFonts w:ascii="Times New Roman" w:hAnsi="Times New Roman"/>
                <w:sz w:val="20"/>
              </w:rPr>
              <w:t xml:space="preserve"> специальный налоговый режим: Ф.И.О.)</w:t>
            </w:r>
            <w:r>
              <w:rPr>
                <w:rFonts w:ascii="Times New Roman" w:hAnsi="Times New Roman"/>
                <w:sz w:val="20"/>
              </w:rPr>
              <w:t xml:space="preserve"> </w:t>
            </w:r>
            <w:r>
              <w:rPr>
                <w:rFonts w:ascii="Times New Roman" w:hAnsi="Times New Roman"/>
                <w:sz w:val="20"/>
              </w:rPr>
              <w:br/>
            </w:r>
            <w:r>
              <w:rPr>
                <w:rFonts w:ascii="Times New Roman" w:hAnsi="Times New Roman"/>
                <w:sz w:val="20"/>
              </w:rPr>
              <w:t>__________________________________________________________________</w:t>
            </w:r>
          </w:p>
          <w:p w14:paraId="DD000000">
            <w:pPr>
              <w:widowControl w:val="1"/>
              <w:spacing w:after="0" w:line="240" w:lineRule="auto"/>
              <w:ind w:left="-108"/>
              <w:jc w:val="center"/>
              <w:rPr>
                <w:rFonts w:ascii="Times New Roman" w:hAnsi="Times New Roman"/>
                <w:sz w:val="28"/>
              </w:rPr>
            </w:pPr>
            <w:r>
              <w:rPr>
                <w:rFonts w:ascii="Times New Roman" w:hAnsi="Times New Roman"/>
                <w:sz w:val="20"/>
              </w:rPr>
              <w:t>__________________________________________________________________</w:t>
            </w:r>
            <w:r>
              <w:rPr>
                <w:rFonts w:ascii="Times New Roman" w:hAnsi="Times New Roman"/>
                <w:sz w:val="20"/>
              </w:rPr>
              <w:t xml:space="preserve"> (дата и место рождения, адрес места жительства (регистрации); ИНН)</w:t>
            </w:r>
            <w:r>
              <w:rPr>
                <w:rFonts w:ascii="Times New Roman" w:hAnsi="Times New Roman"/>
                <w:sz w:val="20"/>
              </w:rPr>
              <w:br/>
            </w:r>
            <w:r>
              <w:rPr>
                <w:rFonts w:ascii="Times New Roman" w:hAnsi="Times New Roman"/>
                <w:sz w:val="20"/>
              </w:rPr>
              <w:t>__________________________________________________________________</w:t>
            </w:r>
          </w:p>
          <w:p w14:paraId="DE000000">
            <w:pPr>
              <w:widowControl w:val="1"/>
              <w:spacing w:after="0" w:line="240" w:lineRule="auto"/>
              <w:ind w:left="-108"/>
              <w:jc w:val="center"/>
              <w:rPr>
                <w:rFonts w:ascii="Times New Roman" w:hAnsi="Times New Roman"/>
                <w:sz w:val="28"/>
              </w:rPr>
            </w:pPr>
            <w:r>
              <w:rPr>
                <w:rFonts w:ascii="Times New Roman" w:hAnsi="Times New Roman"/>
                <w:sz w:val="20"/>
              </w:rPr>
              <w:t>__________________________________________________________________</w:t>
            </w:r>
            <w:r>
              <w:rPr>
                <w:rFonts w:ascii="Times New Roman" w:hAnsi="Times New Roman"/>
                <w:sz w:val="20"/>
              </w:rPr>
              <w:t xml:space="preserve"> (реквизиты документа, удостоверяющего личность:                                 </w:t>
            </w:r>
            <w:r>
              <w:rPr>
                <w:rFonts w:ascii="Times New Roman" w:hAnsi="Times New Roman"/>
                <w:sz w:val="20"/>
              </w:rPr>
              <w:br/>
            </w:r>
            <w:r>
              <w:rPr>
                <w:rFonts w:ascii="Times New Roman" w:hAnsi="Times New Roman"/>
                <w:sz w:val="20"/>
              </w:rPr>
              <w:t>наименование, серия и номер, дата выдачи,                                                 наименование органа, выдавшего документ)</w:t>
            </w:r>
            <w:r>
              <w:rPr>
                <w:rFonts w:ascii="Times New Roman" w:hAnsi="Times New Roman"/>
                <w:sz w:val="20"/>
              </w:rPr>
              <w:br/>
            </w:r>
            <w:r>
              <w:rPr>
                <w:rFonts w:ascii="Times New Roman" w:hAnsi="Times New Roman"/>
                <w:sz w:val="20"/>
              </w:rPr>
              <w:t>__________________________________________________________________</w:t>
            </w:r>
          </w:p>
          <w:p w14:paraId="DF000000">
            <w:pPr>
              <w:widowControl w:val="1"/>
              <w:spacing w:after="0" w:line="240" w:lineRule="auto"/>
              <w:ind w:left="-108"/>
              <w:jc w:val="center"/>
              <w:rPr>
                <w:rFonts w:ascii="Times New Roman" w:hAnsi="Times New Roman"/>
                <w:sz w:val="28"/>
              </w:rPr>
            </w:pPr>
            <w:r>
              <w:rPr>
                <w:rFonts w:ascii="Times New Roman" w:hAnsi="Times New Roman"/>
                <w:sz w:val="20"/>
              </w:rPr>
              <w:t>__________________________________________________________________</w:t>
            </w:r>
            <w:r>
              <w:rPr>
                <w:rFonts w:ascii="Times New Roman" w:hAnsi="Times New Roman"/>
                <w:sz w:val="20"/>
              </w:rPr>
              <w:br/>
            </w:r>
            <w:r>
              <w:rPr>
                <w:rFonts w:ascii="Times New Roman" w:hAnsi="Times New Roman"/>
                <w:sz w:val="20"/>
              </w:rPr>
              <w:t xml:space="preserve">(контактные данные: номер телефона, факс, </w:t>
            </w:r>
            <w:r>
              <w:rPr>
                <w:rFonts w:ascii="Times New Roman" w:hAnsi="Times New Roman"/>
                <w:sz w:val="20"/>
              </w:rPr>
              <w:t xml:space="preserve"> почтовый адрес и адрес электронный)</w:t>
            </w:r>
          </w:p>
        </w:tc>
      </w:tr>
    </w:tbl>
    <w:p w14:paraId="E0000000">
      <w:pPr>
        <w:widowControl w:val="1"/>
        <w:spacing w:after="0" w:line="240" w:lineRule="auto"/>
        <w:ind/>
        <w:jc w:val="center"/>
        <w:rPr>
          <w:rFonts w:ascii="Times New Roman" w:hAnsi="Times New Roman"/>
          <w:sz w:val="28"/>
        </w:rPr>
      </w:pPr>
    </w:p>
    <w:p w14:paraId="E1000000">
      <w:pPr>
        <w:widowControl w:val="1"/>
        <w:spacing w:after="0" w:line="240" w:lineRule="auto"/>
        <w:ind/>
        <w:jc w:val="center"/>
        <w:rPr>
          <w:rFonts w:ascii="Times New Roman" w:hAnsi="Times New Roman"/>
          <w:sz w:val="28"/>
        </w:rPr>
      </w:pPr>
    </w:p>
    <w:p w14:paraId="E2000000">
      <w:pPr>
        <w:widowControl w:val="1"/>
        <w:spacing w:after="0" w:line="240" w:lineRule="auto"/>
        <w:ind/>
        <w:jc w:val="center"/>
        <w:rPr>
          <w:rFonts w:ascii="Times New Roman" w:hAnsi="Times New Roman"/>
          <w:sz w:val="28"/>
        </w:rPr>
      </w:pPr>
      <w:r>
        <w:rPr>
          <w:rFonts w:ascii="Times New Roman" w:hAnsi="Times New Roman"/>
          <w:sz w:val="28"/>
        </w:rPr>
        <w:t>Заявление</w:t>
      </w:r>
    </w:p>
    <w:p w14:paraId="E3000000">
      <w:pPr>
        <w:widowControl w:val="1"/>
        <w:spacing w:after="0" w:line="240" w:lineRule="auto"/>
        <w:ind/>
        <w:jc w:val="center"/>
        <w:rPr>
          <w:rFonts w:ascii="Times New Roman" w:hAnsi="Times New Roman"/>
          <w:sz w:val="28"/>
        </w:rPr>
      </w:pPr>
    </w:p>
    <w:p w14:paraId="E4000000">
      <w:pPr>
        <w:widowControl w:val="1"/>
        <w:spacing w:after="0" w:line="276" w:lineRule="auto"/>
        <w:ind w:firstLine="720"/>
        <w:jc w:val="both"/>
        <w:rPr>
          <w:rFonts w:ascii="Times New Roman" w:hAnsi="Times New Roman"/>
          <w:sz w:val="28"/>
        </w:rPr>
      </w:pPr>
      <w:r>
        <w:rPr>
          <w:rFonts w:ascii="Times New Roman" w:hAnsi="Times New Roman"/>
          <w:sz w:val="28"/>
        </w:rPr>
        <w:t>Прошу включить следующий нестационарный торговый объект, размещенный на земельном участке,  находящемся в частной собственности, в схему размещения нестационарных торговых объектов</w:t>
      </w:r>
      <w:r>
        <w:rPr>
          <w:rFonts w:ascii="Times New Roman" w:hAnsi="Times New Roman"/>
          <w:sz w:val="28"/>
        </w:rPr>
        <w:t>:</w:t>
      </w:r>
    </w:p>
    <w:p w14:paraId="E5000000">
      <w:pPr>
        <w:widowControl w:val="1"/>
        <w:spacing w:after="0" w:line="276" w:lineRule="auto"/>
        <w:ind w:firstLine="720"/>
        <w:jc w:val="both"/>
        <w:rPr>
          <w:rFonts w:ascii="Times New Roman" w:hAnsi="Times New Roman"/>
          <w:sz w:val="28"/>
        </w:rPr>
      </w:pPr>
    </w:p>
    <w:tbl>
      <w:tblPr>
        <w:tblW w:type="auto" w:w="0"/>
        <w:tblInd w:type="dxa" w:w="0"/>
        <w:tblLayout w:type="fixed"/>
        <w:tblCellMar>
          <w:top w:type="dxa" w:w="0"/>
          <w:left w:type="dxa" w:w="108"/>
          <w:bottom w:type="dxa" w:w="0"/>
          <w:right w:type="dxa" w:w="108"/>
        </w:tblCellMar>
      </w:tblPr>
      <w:tblGrid>
        <w:gridCol w:w="9531"/>
      </w:tblGrid>
      <w:tr>
        <w:tc>
          <w:tcPr>
            <w:tcW w:type="dxa" w:w="9531"/>
            <w:shd w:fill="auto" w:val="clear"/>
            <w:tcMar>
              <w:top w:type="dxa" w:w="0"/>
              <w:left w:type="dxa" w:w="108"/>
              <w:bottom w:type="dxa" w:w="0"/>
              <w:right w:type="dxa" w:w="108"/>
            </w:tcMar>
          </w:tcPr>
          <w:p w14:paraId="E6000000">
            <w:pPr>
              <w:widowControl w:val="1"/>
              <w:spacing w:after="0" w:line="360" w:lineRule="auto"/>
              <w:ind w:firstLine="720"/>
              <w:jc w:val="both"/>
              <w:rPr>
                <w:rFonts w:ascii="Times New Roman" w:hAnsi="Times New Roman"/>
                <w:sz w:val="28"/>
              </w:rPr>
            </w:pPr>
            <w:r>
              <w:rPr>
                <w:rFonts w:ascii="Times New Roman" w:hAnsi="Times New Roman"/>
                <w:sz w:val="28"/>
              </w:rPr>
              <w:t>Местоположение</w:t>
            </w:r>
            <w:r>
              <w:rPr>
                <w:rFonts w:ascii="Times New Roman" w:hAnsi="Times New Roman"/>
                <w:sz w:val="28"/>
              </w:rPr>
              <w:t xml:space="preserve"> </w:t>
            </w:r>
            <w:r>
              <w:rPr>
                <w:rFonts w:ascii="Times New Roman" w:hAnsi="Times New Roman"/>
                <w:sz w:val="28"/>
              </w:rPr>
              <w:t>НТО:</w:t>
            </w:r>
            <w:r>
              <w:rPr>
                <w:rFonts w:ascii="Times New Roman" w:hAnsi="Times New Roman"/>
                <w:sz w:val="28"/>
              </w:rPr>
              <w:t xml:space="preserve"> </w:t>
            </w:r>
            <w:r>
              <w:rPr>
                <w:rFonts w:ascii="Times New Roman" w:hAnsi="Times New Roman"/>
                <w:sz w:val="28"/>
              </w:rPr>
              <w:t>_________</w:t>
            </w:r>
            <w:r>
              <w:rPr>
                <w:rFonts w:ascii="Times New Roman" w:hAnsi="Times New Roman"/>
                <w:sz w:val="28"/>
              </w:rPr>
              <w:t>______________________________</w:t>
            </w:r>
          </w:p>
          <w:p w14:paraId="E7000000">
            <w:pPr>
              <w:widowControl w:val="1"/>
              <w:spacing w:after="0" w:line="360" w:lineRule="auto"/>
              <w:ind/>
              <w:jc w:val="both"/>
              <w:rPr>
                <w:rFonts w:ascii="Times New Roman" w:hAnsi="Times New Roman"/>
                <w:sz w:val="28"/>
              </w:rPr>
            </w:pPr>
            <w:r>
              <w:rPr>
                <w:rFonts w:ascii="Times New Roman" w:hAnsi="Times New Roman"/>
                <w:sz w:val="28"/>
              </w:rPr>
              <w:t>________________________________________________________________</w:t>
            </w:r>
          </w:p>
          <w:p w14:paraId="E8000000">
            <w:pPr>
              <w:widowControl w:val="1"/>
              <w:spacing w:after="0" w:line="240" w:lineRule="auto"/>
              <w:ind w:firstLine="720"/>
              <w:jc w:val="both"/>
              <w:rPr>
                <w:rFonts w:ascii="Times New Roman" w:hAnsi="Times New Roman"/>
                <w:sz w:val="28"/>
              </w:rPr>
            </w:pPr>
            <w:r>
              <w:rPr>
                <w:rFonts w:ascii="Times New Roman" w:hAnsi="Times New Roman"/>
                <w:sz w:val="24"/>
              </w:rPr>
              <w:t xml:space="preserve">(указывается кадастровый номер земельного участка (если имеется) или координаты характерных точек границ </w:t>
            </w:r>
            <w:r>
              <w:rPr>
                <w:rFonts w:ascii="Times New Roman" w:hAnsi="Times New Roman"/>
                <w:sz w:val="24"/>
              </w:rPr>
              <w:t>данного места</w:t>
            </w:r>
            <w:r>
              <w:rPr>
                <w:rFonts w:ascii="Times New Roman" w:hAnsi="Times New Roman"/>
                <w:sz w:val="24"/>
              </w:rPr>
              <w:t xml:space="preserve"> размещения нестационарного торгового объекта)</w:t>
            </w:r>
            <w:r>
              <w:rPr>
                <w:rFonts w:ascii="Times New Roman" w:hAnsi="Times New Roman"/>
                <w:sz w:val="28"/>
              </w:rPr>
              <w:t>;</w:t>
            </w:r>
          </w:p>
          <w:p w14:paraId="E9000000">
            <w:pPr>
              <w:widowControl w:val="1"/>
              <w:spacing w:after="0" w:line="240" w:lineRule="auto"/>
              <w:ind w:firstLine="720"/>
              <w:jc w:val="both"/>
              <w:rPr>
                <w:rFonts w:ascii="Times New Roman" w:hAnsi="Times New Roman"/>
                <w:sz w:val="28"/>
              </w:rPr>
            </w:pPr>
          </w:p>
          <w:p w14:paraId="EA000000">
            <w:pPr>
              <w:widowControl w:val="1"/>
              <w:spacing w:after="0" w:line="240" w:lineRule="auto"/>
              <w:ind w:firstLine="720"/>
              <w:jc w:val="both"/>
              <w:rPr>
                <w:rFonts w:ascii="Times New Roman" w:hAnsi="Times New Roman"/>
                <w:sz w:val="28"/>
              </w:rPr>
            </w:pPr>
            <w:r>
              <w:rPr>
                <w:rFonts w:ascii="Times New Roman" w:hAnsi="Times New Roman"/>
                <w:sz w:val="28"/>
              </w:rPr>
              <w:t>Собственник земельного участка: ________________________________</w:t>
            </w:r>
          </w:p>
          <w:p w14:paraId="EB000000">
            <w:pPr>
              <w:widowControl w:val="1"/>
              <w:spacing w:after="0" w:line="240" w:lineRule="auto"/>
              <w:ind w:firstLine="0"/>
              <w:jc w:val="both"/>
              <w:rPr>
                <w:rFonts w:ascii="Times New Roman" w:hAnsi="Times New Roman"/>
                <w:sz w:val="28"/>
              </w:rPr>
            </w:pPr>
            <w:r>
              <w:rPr>
                <w:rFonts w:ascii="Times New Roman" w:hAnsi="Times New Roman"/>
                <w:sz w:val="28"/>
              </w:rPr>
              <w:t>__________________________________________________________________</w:t>
            </w:r>
          </w:p>
          <w:p w14:paraId="EC000000">
            <w:pPr>
              <w:widowControl w:val="1"/>
              <w:spacing w:after="0" w:line="240" w:lineRule="auto"/>
              <w:ind w:firstLine="0"/>
              <w:jc w:val="both"/>
              <w:rPr>
                <w:rFonts w:ascii="Times New Roman" w:hAnsi="Times New Roman"/>
                <w:sz w:val="28"/>
              </w:rPr>
            </w:pPr>
            <w:r>
              <w:rPr>
                <w:rFonts w:ascii="Times New Roman" w:hAnsi="Times New Roman"/>
                <w:sz w:val="28"/>
              </w:rPr>
              <w:t xml:space="preserve"> </w:t>
            </w:r>
          </w:p>
          <w:p w14:paraId="ED000000">
            <w:pPr>
              <w:widowControl w:val="1"/>
              <w:spacing w:after="0" w:line="240" w:lineRule="auto"/>
              <w:ind w:firstLine="720"/>
              <w:jc w:val="both"/>
              <w:rPr>
                <w:rFonts w:ascii="Times New Roman" w:hAnsi="Times New Roman"/>
                <w:sz w:val="24"/>
              </w:rPr>
            </w:pPr>
            <w:r>
              <w:rPr>
                <w:rStyle w:val="Style_1_ch"/>
                <w:rFonts w:ascii="Times New Roman" w:hAnsi="Times New Roman"/>
                <w:sz w:val="24"/>
              </w:rPr>
              <w:t>(</w:t>
            </w:r>
            <w:r>
              <w:rPr>
                <w:rStyle w:val="Style_1_ch"/>
                <w:rFonts w:ascii="Times New Roman" w:hAnsi="Times New Roman"/>
                <w:sz w:val="24"/>
              </w:rPr>
              <w:t>для</w:t>
            </w:r>
            <w:r>
              <w:rPr>
                <w:rStyle w:val="Style_1_ch"/>
                <w:rFonts w:ascii="Times New Roman" w:hAnsi="Times New Roman"/>
                <w:sz w:val="24"/>
              </w:rPr>
              <w:t xml:space="preserve"> </w:t>
            </w:r>
            <w:r>
              <w:rPr>
                <w:rStyle w:val="Style_1_ch"/>
                <w:rFonts w:ascii="Times New Roman" w:hAnsi="Times New Roman"/>
                <w:sz w:val="24"/>
              </w:rPr>
              <w:t>физических лиц</w:t>
            </w:r>
            <w:r>
              <w:rPr>
                <w:rStyle w:val="Style_1_ch"/>
                <w:rFonts w:ascii="Times New Roman" w:hAnsi="Times New Roman"/>
                <w:sz w:val="24"/>
              </w:rPr>
              <w:t>: Ф.И.О.</w:t>
            </w:r>
            <w:r>
              <w:rPr>
                <w:rStyle w:val="Style_1_ch"/>
                <w:rFonts w:ascii="Times New Roman" w:hAnsi="Times New Roman"/>
                <w:sz w:val="24"/>
              </w:rPr>
              <w:t xml:space="preserve">, </w:t>
            </w:r>
            <w:r>
              <w:rPr>
                <w:rStyle w:val="Style_1_ch"/>
                <w:rFonts w:ascii="Times New Roman" w:hAnsi="Times New Roman"/>
                <w:sz w:val="24"/>
              </w:rPr>
              <w:t>для юридических лиц: полное наименование, ОГРН, ИНН</w:t>
            </w:r>
            <w:r>
              <w:rPr>
                <w:rStyle w:val="Style_1_ch"/>
                <w:rFonts w:ascii="Times New Roman" w:hAnsi="Times New Roman"/>
                <w:sz w:val="24"/>
              </w:rPr>
              <w:t>)</w:t>
            </w:r>
            <w:r>
              <w:rPr>
                <w:rStyle w:val="Style_1_ch"/>
                <w:rFonts w:ascii="Times New Roman" w:hAnsi="Times New Roman"/>
                <w:sz w:val="24"/>
              </w:rPr>
              <w:t>;</w:t>
            </w:r>
          </w:p>
          <w:p w14:paraId="EE000000">
            <w:pPr>
              <w:widowControl w:val="1"/>
              <w:spacing w:after="0" w:line="240" w:lineRule="auto"/>
              <w:ind w:firstLine="0"/>
              <w:jc w:val="both"/>
              <w:rPr>
                <w:rFonts w:ascii="Times New Roman" w:hAnsi="Times New Roman"/>
                <w:sz w:val="24"/>
              </w:rPr>
            </w:pPr>
          </w:p>
          <w:p w14:paraId="EF000000">
            <w:pPr>
              <w:widowControl w:val="1"/>
              <w:spacing w:after="0" w:line="240" w:lineRule="auto"/>
              <w:ind w:firstLine="720"/>
              <w:jc w:val="both"/>
              <w:rPr>
                <w:rFonts w:ascii="Times New Roman" w:hAnsi="Times New Roman"/>
                <w:sz w:val="28"/>
              </w:rPr>
            </w:pPr>
          </w:p>
          <w:p w14:paraId="F0000000">
            <w:pPr>
              <w:widowControl w:val="1"/>
              <w:spacing w:after="0" w:line="240" w:lineRule="auto"/>
              <w:ind w:firstLine="720"/>
              <w:jc w:val="both"/>
              <w:rPr>
                <w:rFonts w:ascii="Times New Roman" w:hAnsi="Times New Roman"/>
                <w:sz w:val="28"/>
              </w:rPr>
            </w:pPr>
            <w:r>
              <w:rPr>
                <w:rFonts w:ascii="Times New Roman" w:hAnsi="Times New Roman"/>
                <w:sz w:val="28"/>
              </w:rPr>
              <w:t>Площадь места размещения НТО:____</w:t>
            </w:r>
            <w:r>
              <w:rPr>
                <w:rFonts w:ascii="Times New Roman" w:hAnsi="Times New Roman"/>
                <w:sz w:val="28"/>
              </w:rPr>
              <w:t>_______</w:t>
            </w:r>
            <w:r>
              <w:rPr>
                <w:rFonts w:ascii="Times New Roman" w:hAnsi="Times New Roman"/>
                <w:sz w:val="28"/>
              </w:rPr>
              <w:t>_____________________</w:t>
            </w:r>
          </w:p>
          <w:p w14:paraId="F1000000">
            <w:pPr>
              <w:widowControl w:val="1"/>
              <w:spacing w:after="0" w:line="240" w:lineRule="auto"/>
              <w:ind/>
              <w:jc w:val="both"/>
              <w:rPr>
                <w:rFonts w:ascii="Times New Roman" w:hAnsi="Times New Roman"/>
                <w:sz w:val="28"/>
              </w:rPr>
            </w:pPr>
            <w:r>
              <w:rPr>
                <w:rFonts w:ascii="Times New Roman" w:hAnsi="Times New Roman"/>
                <w:sz w:val="28"/>
              </w:rPr>
              <w:t>__________________________________________________________________</w:t>
            </w:r>
          </w:p>
          <w:p w14:paraId="F2000000">
            <w:pPr>
              <w:widowControl w:val="1"/>
              <w:spacing w:after="0" w:line="240" w:lineRule="auto"/>
              <w:ind/>
              <w:jc w:val="center"/>
              <w:rPr>
                <w:rFonts w:ascii="Times New Roman" w:hAnsi="Times New Roman"/>
                <w:sz w:val="28"/>
              </w:rPr>
            </w:pPr>
            <w:r>
              <w:rPr>
                <w:rFonts w:ascii="Times New Roman" w:hAnsi="Times New Roman"/>
                <w:sz w:val="24"/>
              </w:rPr>
              <w:t>(указывается в квадратных метрах</w:t>
            </w:r>
            <w:r>
              <w:rPr>
                <w:rFonts w:ascii="Times New Roman" w:hAnsi="Times New Roman"/>
                <w:sz w:val="24"/>
              </w:rPr>
              <w:t>)</w:t>
            </w:r>
            <w:r>
              <w:rPr>
                <w:rFonts w:ascii="Times New Roman" w:hAnsi="Times New Roman"/>
                <w:sz w:val="28"/>
              </w:rPr>
              <w:t>;</w:t>
            </w:r>
          </w:p>
          <w:p w14:paraId="F3000000">
            <w:pPr>
              <w:widowControl w:val="1"/>
              <w:spacing w:after="0" w:line="240" w:lineRule="auto"/>
              <w:ind/>
              <w:jc w:val="center"/>
              <w:rPr>
                <w:rFonts w:ascii="Times New Roman" w:hAnsi="Times New Roman"/>
                <w:sz w:val="28"/>
              </w:rPr>
            </w:pPr>
          </w:p>
          <w:p w14:paraId="F4000000">
            <w:pPr>
              <w:widowControl w:val="1"/>
              <w:spacing w:after="0" w:line="240" w:lineRule="auto"/>
              <w:ind w:firstLine="709"/>
              <w:jc w:val="center"/>
              <w:rPr>
                <w:rFonts w:ascii="Times New Roman" w:hAnsi="Times New Roman"/>
                <w:sz w:val="28"/>
              </w:rPr>
            </w:pPr>
            <w:r>
              <w:rPr>
                <w:rFonts w:ascii="Times New Roman" w:hAnsi="Times New Roman"/>
                <w:sz w:val="28"/>
              </w:rPr>
              <w:t>Местонахождение:________________________________________</w:t>
            </w:r>
            <w:r>
              <w:rPr>
                <w:rFonts w:ascii="Times New Roman" w:hAnsi="Times New Roman"/>
                <w:sz w:val="28"/>
              </w:rPr>
              <w:t>____</w:t>
            </w:r>
          </w:p>
          <w:p w14:paraId="F5000000">
            <w:pPr>
              <w:widowControl w:val="1"/>
              <w:spacing w:after="0" w:line="240" w:lineRule="auto"/>
              <w:ind w:firstLine="0"/>
              <w:jc w:val="both"/>
              <w:rPr>
                <w:rFonts w:ascii="Times New Roman" w:hAnsi="Times New Roman"/>
                <w:sz w:val="28"/>
              </w:rPr>
            </w:pPr>
            <w:r>
              <w:rPr>
                <w:rFonts w:ascii="Times New Roman" w:hAnsi="Times New Roman"/>
                <w:sz w:val="28"/>
              </w:rPr>
              <w:t>__________________________________________________________________</w:t>
            </w:r>
          </w:p>
          <w:p w14:paraId="F6000000">
            <w:pPr>
              <w:widowControl w:val="1"/>
              <w:spacing w:after="0" w:line="240" w:lineRule="auto"/>
              <w:ind w:firstLine="709"/>
              <w:jc w:val="center"/>
              <w:rPr>
                <w:rFonts w:ascii="Times New Roman" w:hAnsi="Times New Roman"/>
                <w:sz w:val="28"/>
              </w:rPr>
            </w:pPr>
          </w:p>
          <w:p w14:paraId="F7000000">
            <w:pPr>
              <w:widowControl w:val="1"/>
              <w:spacing w:after="0" w:line="240" w:lineRule="auto"/>
              <w:ind w:firstLine="709"/>
              <w:jc w:val="center"/>
              <w:rPr>
                <w:rFonts w:ascii="Times New Roman" w:hAnsi="Times New Roman"/>
                <w:sz w:val="28"/>
              </w:rPr>
            </w:pPr>
            <w:r>
              <w:rPr>
                <w:rFonts w:ascii="Times New Roman" w:hAnsi="Times New Roman"/>
                <w:sz w:val="24"/>
              </w:rPr>
              <w:t>(указывается адрес размещения НТО, ориентиры, в случае размещения мобильного торгового объекта указываются все адреса его размещения, ориентиры).</w:t>
            </w:r>
          </w:p>
          <w:p w14:paraId="F8000000">
            <w:pPr>
              <w:widowControl w:val="1"/>
              <w:spacing w:after="0" w:line="240" w:lineRule="auto"/>
              <w:ind w:firstLine="720"/>
              <w:jc w:val="both"/>
              <w:rPr>
                <w:rFonts w:ascii="Times New Roman" w:hAnsi="Times New Roman"/>
                <w:sz w:val="28"/>
              </w:rPr>
            </w:pPr>
          </w:p>
          <w:p w14:paraId="F9000000">
            <w:pPr>
              <w:widowControl w:val="1"/>
              <w:spacing w:after="0" w:line="240" w:lineRule="auto"/>
              <w:ind w:firstLine="720"/>
              <w:jc w:val="both"/>
              <w:rPr>
                <w:rFonts w:ascii="Times New Roman" w:hAnsi="Times New Roman"/>
                <w:sz w:val="28"/>
              </w:rPr>
            </w:pPr>
            <w:r>
              <w:rPr>
                <w:rFonts w:ascii="Times New Roman" w:hAnsi="Times New Roman"/>
                <w:sz w:val="28"/>
              </w:rPr>
              <w:t>Срок размещения</w:t>
            </w:r>
            <w:r>
              <w:rPr>
                <w:rFonts w:ascii="Times New Roman" w:hAnsi="Times New Roman"/>
                <w:sz w:val="28"/>
              </w:rPr>
              <w:t>:</w:t>
            </w:r>
            <w:r>
              <w:rPr>
                <w:rFonts w:ascii="Times New Roman" w:hAnsi="Times New Roman"/>
                <w:sz w:val="28"/>
              </w:rPr>
              <w:t>___________________________________________</w:t>
            </w:r>
            <w:r>
              <w:rPr>
                <w:rFonts w:ascii="Times New Roman" w:hAnsi="Times New Roman"/>
                <w:sz w:val="28"/>
              </w:rPr>
              <w:t xml:space="preserve"> </w:t>
            </w:r>
          </w:p>
          <w:p w14:paraId="FA000000">
            <w:pPr>
              <w:widowControl w:val="1"/>
              <w:spacing w:after="0" w:line="240" w:lineRule="auto"/>
              <w:ind w:firstLine="720"/>
              <w:jc w:val="both"/>
              <w:rPr>
                <w:rFonts w:ascii="Times New Roman" w:hAnsi="Times New Roman"/>
                <w:sz w:val="28"/>
              </w:rPr>
            </w:pPr>
          </w:p>
          <w:p w14:paraId="FB000000">
            <w:pPr>
              <w:widowControl w:val="1"/>
              <w:spacing w:after="0" w:line="240" w:lineRule="auto"/>
              <w:ind w:firstLine="720"/>
              <w:jc w:val="both"/>
              <w:rPr>
                <w:rFonts w:ascii="Times New Roman" w:hAnsi="Times New Roman"/>
                <w:sz w:val="28"/>
              </w:rPr>
            </w:pPr>
            <w:r>
              <w:rPr>
                <w:rFonts w:ascii="Times New Roman" w:hAnsi="Times New Roman"/>
                <w:sz w:val="24"/>
              </w:rPr>
              <w:t>(указывается в случае сезонного/временного размещения нестационарного торгового объекта, в случае размещения мобильного торгового объекта на нескольких местах указывается срок размещения мобильного торгового объекта в каждом из соответствующих мест).</w:t>
            </w:r>
          </w:p>
          <w:p w14:paraId="FC000000">
            <w:pPr>
              <w:widowControl w:val="1"/>
              <w:spacing w:after="0" w:line="240" w:lineRule="auto"/>
              <w:ind w:firstLine="720"/>
              <w:jc w:val="center"/>
              <w:rPr>
                <w:rFonts w:ascii="Times New Roman" w:hAnsi="Times New Roman"/>
                <w:sz w:val="24"/>
              </w:rPr>
            </w:pPr>
          </w:p>
          <w:p w14:paraId="FD000000">
            <w:pPr>
              <w:widowControl w:val="1"/>
              <w:spacing w:after="0" w:line="240" w:lineRule="auto"/>
              <w:ind w:firstLine="720"/>
              <w:jc w:val="both"/>
              <w:rPr>
                <w:rFonts w:ascii="Times New Roman" w:hAnsi="Times New Roman"/>
                <w:sz w:val="28"/>
              </w:rPr>
            </w:pPr>
          </w:p>
          <w:p w14:paraId="FE000000">
            <w:pPr>
              <w:widowControl w:val="1"/>
              <w:spacing w:after="0" w:line="240" w:lineRule="auto"/>
              <w:ind w:firstLine="720"/>
              <w:jc w:val="both"/>
              <w:rPr>
                <w:rFonts w:ascii="Times New Roman" w:hAnsi="Times New Roman"/>
                <w:sz w:val="28"/>
              </w:rPr>
            </w:pPr>
            <w:r>
              <w:rPr>
                <w:rFonts w:ascii="Times New Roman" w:hAnsi="Times New Roman"/>
                <w:sz w:val="28"/>
              </w:rPr>
              <w:t>Вид нестационарного торгового объекта:</w:t>
            </w:r>
            <w:r>
              <w:rPr>
                <w:rFonts w:ascii="Times New Roman" w:hAnsi="Times New Roman"/>
                <w:sz w:val="28"/>
              </w:rPr>
              <w:t xml:space="preserve"> ______________________</w:t>
            </w:r>
          </w:p>
          <w:p w14:paraId="FF000000">
            <w:pPr>
              <w:widowControl w:val="1"/>
              <w:spacing w:after="0" w:line="240" w:lineRule="auto"/>
              <w:ind/>
              <w:jc w:val="both"/>
              <w:rPr>
                <w:rFonts w:ascii="Times New Roman" w:hAnsi="Times New Roman"/>
                <w:sz w:val="28"/>
              </w:rPr>
            </w:pPr>
            <w:r>
              <w:rPr>
                <w:rFonts w:ascii="Times New Roman" w:hAnsi="Times New Roman"/>
                <w:sz w:val="28"/>
              </w:rPr>
              <w:t>_______________________________________________________________</w:t>
            </w:r>
          </w:p>
          <w:p w14:paraId="00010000">
            <w:pPr>
              <w:widowControl w:val="1"/>
              <w:spacing w:after="0" w:line="360" w:lineRule="auto"/>
              <w:ind w:firstLine="720"/>
              <w:jc w:val="both"/>
              <w:rPr>
                <w:rFonts w:ascii="Times New Roman" w:hAnsi="Times New Roman"/>
                <w:sz w:val="28"/>
              </w:rPr>
            </w:pPr>
          </w:p>
          <w:p w14:paraId="01010000">
            <w:pPr>
              <w:widowControl w:val="1"/>
              <w:spacing w:after="0" w:line="360" w:lineRule="auto"/>
              <w:ind w:firstLine="720"/>
              <w:jc w:val="both"/>
              <w:rPr>
                <w:rFonts w:ascii="Times New Roman" w:hAnsi="Times New Roman"/>
                <w:sz w:val="28"/>
              </w:rPr>
            </w:pPr>
            <w:r>
              <w:rPr>
                <w:rFonts w:ascii="Times New Roman" w:hAnsi="Times New Roman"/>
                <w:sz w:val="28"/>
              </w:rPr>
              <w:t>Целевое назначение нестационарного торгового объекта</w:t>
            </w:r>
            <w:r>
              <w:rPr>
                <w:rFonts w:ascii="Times New Roman" w:hAnsi="Times New Roman"/>
                <w:sz w:val="28"/>
              </w:rPr>
              <w:t>: ________</w:t>
            </w:r>
          </w:p>
          <w:p w14:paraId="02010000">
            <w:pPr>
              <w:widowControl w:val="1"/>
              <w:spacing w:after="0" w:line="360" w:lineRule="auto"/>
              <w:ind/>
              <w:jc w:val="both"/>
              <w:rPr>
                <w:rFonts w:ascii="Times New Roman" w:hAnsi="Times New Roman"/>
                <w:sz w:val="28"/>
              </w:rPr>
            </w:pPr>
            <w:r>
              <w:rPr>
                <w:rFonts w:ascii="Times New Roman" w:hAnsi="Times New Roman"/>
                <w:sz w:val="28"/>
              </w:rPr>
              <w:t>_______________________________________________________________</w:t>
            </w:r>
          </w:p>
          <w:p w14:paraId="03010000">
            <w:pPr>
              <w:widowControl w:val="1"/>
              <w:spacing w:after="0" w:line="240" w:lineRule="auto"/>
              <w:ind w:firstLine="720"/>
              <w:jc w:val="both"/>
              <w:rPr>
                <w:rFonts w:ascii="Times New Roman" w:hAnsi="Times New Roman"/>
                <w:sz w:val="24"/>
              </w:rPr>
            </w:pPr>
            <w:r>
              <w:rPr>
                <w:rFonts w:ascii="Times New Roman" w:hAnsi="Times New Roman"/>
                <w:sz w:val="24"/>
              </w:rPr>
              <w:t>(у</w:t>
            </w:r>
            <w:r>
              <w:rPr>
                <w:rFonts w:ascii="Times New Roman" w:hAnsi="Times New Roman"/>
                <w:sz w:val="24"/>
              </w:rPr>
              <w:t xml:space="preserve">казывается </w:t>
            </w:r>
            <w:r>
              <w:rPr>
                <w:rStyle w:val="Style_1_ch"/>
                <w:sz w:val="24"/>
              </w:rPr>
              <w:t xml:space="preserve">целевое назначение объекта: </w:t>
            </w:r>
            <w:r>
              <w:rPr>
                <w:rStyle w:val="Style_1_ch"/>
                <w:sz w:val="24"/>
              </w:rPr>
              <w:t>реализация готовой продукции, производство продукции, производство продукции в целях дальнейшей реализации</w:t>
            </w:r>
            <w:r>
              <w:rPr>
                <w:rFonts w:ascii="Times New Roman" w:hAnsi="Times New Roman"/>
                <w:sz w:val="24"/>
              </w:rPr>
              <w:t>).</w:t>
            </w:r>
          </w:p>
          <w:p w14:paraId="04010000">
            <w:pPr>
              <w:widowControl w:val="1"/>
              <w:spacing w:after="0" w:line="360" w:lineRule="auto"/>
              <w:ind w:firstLine="720"/>
              <w:jc w:val="both"/>
              <w:rPr>
                <w:rFonts w:ascii="Times New Roman" w:hAnsi="Times New Roman"/>
                <w:sz w:val="28"/>
              </w:rPr>
            </w:pPr>
          </w:p>
        </w:tc>
      </w:tr>
    </w:tbl>
    <w:p w14:paraId="05010000">
      <w:pPr>
        <w:widowControl w:val="1"/>
        <w:tabs>
          <w:tab w:leader="none" w:pos="709" w:val="left"/>
        </w:tabs>
        <w:spacing w:after="0" w:line="240" w:lineRule="auto"/>
        <w:ind w:firstLine="142"/>
        <w:rPr>
          <w:rFonts w:ascii="Times New Roman" w:hAnsi="Times New Roman"/>
          <w:sz w:val="28"/>
        </w:rPr>
      </w:pPr>
    </w:p>
    <w:p w14:paraId="06010000">
      <w:pPr>
        <w:widowControl w:val="1"/>
        <w:tabs>
          <w:tab w:leader="none" w:pos="709" w:val="left"/>
        </w:tabs>
        <w:spacing w:after="0" w:line="240" w:lineRule="auto"/>
        <w:ind w:firstLine="142"/>
        <w:rPr>
          <w:rFonts w:ascii="Times New Roman" w:hAnsi="Times New Roman"/>
          <w:sz w:val="28"/>
        </w:rPr>
      </w:pPr>
      <w:r>
        <w:rPr>
          <w:rFonts w:ascii="Times New Roman" w:hAnsi="Times New Roman"/>
          <w:sz w:val="28"/>
        </w:rPr>
        <w:tab/>
      </w:r>
      <w:r>
        <w:rPr>
          <w:rFonts w:ascii="Times New Roman" w:hAnsi="Times New Roman"/>
          <w:sz w:val="28"/>
        </w:rPr>
        <w:t>К заявлению прилагаю следующее:</w:t>
      </w:r>
    </w:p>
    <w:p w14:paraId="07010000">
      <w:pPr>
        <w:widowControl w:val="1"/>
        <w:tabs>
          <w:tab w:leader="none" w:pos="709" w:val="left"/>
        </w:tabs>
        <w:spacing w:after="0" w:line="240" w:lineRule="auto"/>
        <w:ind w:firstLine="142"/>
        <w:rPr>
          <w:rFonts w:ascii="Times New Roman" w:hAnsi="Times New Roman"/>
          <w:sz w:val="28"/>
        </w:rPr>
      </w:pPr>
    </w:p>
    <w:p w14:paraId="08010000">
      <w:pPr>
        <w:widowControl w:val="1"/>
        <w:numPr>
          <w:ilvl w:val="0"/>
          <w:numId w:val="7"/>
        </w:numPr>
        <w:tabs>
          <w:tab w:leader="none" w:pos="709" w:val="left"/>
        </w:tabs>
        <w:spacing w:after="0" w:line="240" w:lineRule="auto"/>
        <w:ind w:firstLine="0" w:left="0"/>
        <w:rPr>
          <w:rFonts w:ascii="Times New Roman" w:hAnsi="Times New Roman"/>
          <w:sz w:val="28"/>
        </w:rPr>
      </w:pPr>
      <w:r>
        <w:rPr>
          <w:rFonts w:ascii="Times New Roman" w:hAnsi="Times New Roman"/>
          <w:sz w:val="28"/>
        </w:rPr>
        <w:t>Документ (копия документа), подтверждающий право собственности на земельный участок, реквизиты:</w:t>
      </w:r>
    </w:p>
    <w:p w14:paraId="09010000">
      <w:pPr>
        <w:widowControl w:val="1"/>
        <w:tabs>
          <w:tab w:leader="none" w:pos="709" w:val="left"/>
        </w:tabs>
        <w:spacing w:after="0" w:line="240" w:lineRule="auto"/>
        <w:ind w:firstLine="0" w:left="0"/>
        <w:rPr>
          <w:rFonts w:ascii="Times New Roman" w:hAnsi="Times New Roman"/>
          <w:sz w:val="28"/>
        </w:rPr>
      </w:pPr>
      <w:r>
        <w:rPr>
          <w:rFonts w:ascii="Times New Roman" w:hAnsi="Times New Roman"/>
          <w:sz w:val="28"/>
        </w:rPr>
        <w:t>___________________________________________________________________________________________________________________________________________;</w:t>
      </w:r>
    </w:p>
    <w:p w14:paraId="0A010000">
      <w:pPr>
        <w:widowControl w:val="1"/>
        <w:numPr>
          <w:ilvl w:val="0"/>
          <w:numId w:val="7"/>
        </w:numPr>
        <w:tabs>
          <w:tab w:leader="none" w:pos="709" w:val="left"/>
        </w:tabs>
        <w:spacing w:after="0" w:line="240" w:lineRule="auto"/>
        <w:ind w:firstLine="0" w:left="0"/>
        <w:rPr>
          <w:rFonts w:ascii="Times New Roman" w:hAnsi="Times New Roman"/>
          <w:sz w:val="28"/>
        </w:rPr>
      </w:pPr>
      <w:r>
        <w:rPr>
          <w:rFonts w:ascii="Times New Roman" w:hAnsi="Times New Roman"/>
          <w:sz w:val="28"/>
        </w:rPr>
        <w:t>Документ (копия документа), подтверждающий статус юридического лица (выписка из Единого государственного реестра юридических лиц), реквизиты:</w:t>
      </w:r>
    </w:p>
    <w:p w14:paraId="0B010000">
      <w:pPr>
        <w:widowControl w:val="1"/>
        <w:tabs>
          <w:tab w:leader="none" w:pos="709" w:val="left"/>
        </w:tabs>
        <w:spacing w:after="0" w:line="240" w:lineRule="auto"/>
        <w:ind w:firstLine="0" w:left="0"/>
        <w:rPr>
          <w:rFonts w:ascii="Times New Roman" w:hAnsi="Times New Roman"/>
          <w:sz w:val="28"/>
        </w:rPr>
      </w:pPr>
      <w:r>
        <w:rPr>
          <w:rFonts w:ascii="Times New Roman" w:hAnsi="Times New Roman"/>
          <w:sz w:val="28"/>
        </w:rPr>
        <w:t>___________________________________________________________________________________________________________________________________________;</w:t>
      </w:r>
    </w:p>
    <w:p w14:paraId="0C010000">
      <w:pPr>
        <w:widowControl w:val="1"/>
        <w:numPr>
          <w:ilvl w:val="0"/>
          <w:numId w:val="7"/>
        </w:numPr>
        <w:tabs>
          <w:tab w:leader="none" w:pos="709" w:val="left"/>
        </w:tabs>
        <w:spacing w:after="0" w:line="240" w:lineRule="auto"/>
        <w:ind w:firstLine="0" w:left="0"/>
        <w:rPr>
          <w:b w:val="0"/>
        </w:rPr>
      </w:pPr>
      <w:r>
        <w:rPr>
          <w:rFonts w:ascii="Times New Roman" w:hAnsi="Times New Roman"/>
          <w:sz w:val="28"/>
        </w:rPr>
        <w:t>Документ (копия документа), подтверждающий статус плательщика налога на профессиональный доход (для физического лица, п</w:t>
      </w:r>
      <w:r>
        <w:rPr>
          <w:b w:val="0"/>
        </w:rPr>
        <w:t>рименяющего специальный налоговый режим "Налог на профессиональный доход" в течение срока проведения эксперимента, установленного Федеральным</w:t>
      </w:r>
      <w:r>
        <w:rPr>
          <w:b w:val="0"/>
        </w:rPr>
        <w:t xml:space="preserve"> </w:t>
      </w:r>
      <w:r>
        <w:rPr>
          <w:b w:val="0"/>
          <w:strike w:val="0"/>
          <w:color w:val="0000FF"/>
          <w:u w:color="000000" w:val="single"/>
        </w:rPr>
        <w:fldChar w:fldCharType="begin"/>
      </w:r>
      <w:r>
        <w:rPr>
          <w:b w:val="0"/>
          <w:strike w:val="0"/>
          <w:color w:val="0000FF"/>
          <w:u w:color="000000" w:val="single"/>
        </w:rPr>
        <w:instrText>HYPERLINK "https://login.consultant.ru/link/?req=doc&amp;base=LAW&amp;n=520124&amp;date=04.08.2026"</w:instrText>
      </w:r>
      <w:r>
        <w:rPr>
          <w:b w:val="0"/>
          <w:strike w:val="0"/>
          <w:color w:val="0000FF"/>
          <w:u w:color="000000" w:val="single"/>
        </w:rPr>
        <w:fldChar w:fldCharType="separate"/>
      </w:r>
      <w:r>
        <w:rPr>
          <w:b w:val="0"/>
          <w:strike w:val="0"/>
          <w:color w:val="0000FF"/>
          <w:u w:color="000000" w:val="single"/>
        </w:rPr>
        <w:t>законом</w:t>
      </w:r>
      <w:r>
        <w:rPr>
          <w:b w:val="0"/>
          <w:strike w:val="0"/>
          <w:color w:val="0000FF"/>
          <w:u w:color="000000" w:val="single"/>
        </w:rPr>
        <w:fldChar w:fldCharType="end"/>
      </w:r>
      <w:r>
        <w:rPr>
          <w:b w:val="0"/>
        </w:rPr>
        <w:t xml:space="preserve"> </w:t>
      </w:r>
      <w:r>
        <w:rPr>
          <w:b w:val="0"/>
        </w:rPr>
        <w:t>от 27 ноября 2018 года N 422-ФЗ "О проведении эксперимента по установлению специального налогового режима "Налог на профессиональный доход"), реквизиты:_________________________________________________________________________________________________________________________________;</w:t>
      </w:r>
    </w:p>
    <w:p w14:paraId="0D010000">
      <w:pPr>
        <w:widowControl w:val="1"/>
        <w:numPr>
          <w:ilvl w:val="0"/>
          <w:numId w:val="7"/>
        </w:numPr>
        <w:tabs>
          <w:tab w:leader="none" w:pos="709" w:val="left"/>
        </w:tabs>
        <w:spacing w:after="0" w:line="240" w:lineRule="auto"/>
        <w:ind w:firstLine="0" w:left="0"/>
        <w:rPr>
          <w:rFonts w:ascii="Times New Roman" w:hAnsi="Times New Roman"/>
          <w:sz w:val="28"/>
        </w:rPr>
      </w:pPr>
      <w:r>
        <w:rPr>
          <w:rFonts w:ascii="Times New Roman" w:hAnsi="Times New Roman"/>
          <w:sz w:val="28"/>
        </w:rPr>
        <w:t>Согласие собственника земельного участка на размещение нестационарного торгового объекта (в случае, если торговая деятельность будет совершаться не собственником земельного участка);</w:t>
      </w:r>
    </w:p>
    <w:p w14:paraId="0E010000">
      <w:pPr>
        <w:widowControl w:val="1"/>
        <w:numPr>
          <w:ilvl w:val="0"/>
          <w:numId w:val="7"/>
        </w:numPr>
        <w:tabs>
          <w:tab w:leader="none" w:pos="709" w:val="left"/>
        </w:tabs>
        <w:spacing w:after="0" w:line="240" w:lineRule="auto"/>
        <w:ind w:firstLine="0" w:left="0"/>
        <w:rPr>
          <w:rFonts w:ascii="Times New Roman" w:hAnsi="Times New Roman"/>
          <w:sz w:val="28"/>
        </w:rPr>
      </w:pPr>
      <w:r>
        <w:rPr>
          <w:rFonts w:ascii="Times New Roman" w:hAnsi="Times New Roman"/>
          <w:sz w:val="28"/>
        </w:rPr>
        <w:t>Согласие иного лица, во владении и пользовании которого находится земельный участок (при наличии такого лица)</w:t>
      </w:r>
    </w:p>
    <w:p w14:paraId="0F010000">
      <w:pPr>
        <w:widowControl w:val="1"/>
        <w:numPr>
          <w:ilvl w:val="0"/>
          <w:numId w:val="7"/>
        </w:numPr>
        <w:tabs>
          <w:tab w:leader="none" w:pos="709" w:val="left"/>
        </w:tabs>
        <w:spacing w:after="0" w:line="240" w:lineRule="auto"/>
        <w:ind w:firstLine="0" w:left="0"/>
        <w:rPr>
          <w:rFonts w:ascii="Times New Roman" w:hAnsi="Times New Roman"/>
          <w:sz w:val="28"/>
        </w:rPr>
      </w:pPr>
      <w:r>
        <w:rPr>
          <w:rFonts w:ascii="Times New Roman" w:hAnsi="Times New Roman"/>
          <w:sz w:val="28"/>
        </w:rPr>
        <w:t>Иллюстраци</w:t>
      </w:r>
      <w:r>
        <w:rPr>
          <w:rStyle w:val="Style_1_ch"/>
          <w:rFonts w:ascii="Times New Roman" w:hAnsi="Times New Roman"/>
          <w:sz w:val="28"/>
        </w:rPr>
        <w:t>онные материалы</w:t>
      </w:r>
      <w:r>
        <w:rPr>
          <w:rStyle w:val="Style_1_ch"/>
          <w:rFonts w:ascii="Times New Roman" w:hAnsi="Times New Roman"/>
          <w:sz w:val="28"/>
        </w:rPr>
        <w:t xml:space="preserve"> пла</w:t>
      </w:r>
      <w:r>
        <w:rPr>
          <w:rStyle w:val="Style_1_ch"/>
          <w:rFonts w:ascii="Times New Roman" w:hAnsi="Times New Roman"/>
          <w:sz w:val="28"/>
        </w:rPr>
        <w:t>нируемого к размещению/размещенного нестационарного торгового объекта.</w:t>
      </w:r>
    </w:p>
    <w:p w14:paraId="10010000">
      <w:pPr>
        <w:widowControl w:val="1"/>
        <w:spacing w:after="0" w:line="240" w:lineRule="auto"/>
        <w:ind w:firstLine="709"/>
        <w:jc w:val="both"/>
        <w:rPr>
          <w:rFonts w:ascii="Times New Roman" w:hAnsi="Times New Roman"/>
          <w:sz w:val="28"/>
        </w:rPr>
      </w:pPr>
    </w:p>
    <w:p w14:paraId="11010000">
      <w:pPr>
        <w:widowControl w:val="1"/>
        <w:spacing w:after="0" w:line="240" w:lineRule="auto"/>
        <w:ind w:firstLine="709"/>
        <w:jc w:val="both"/>
        <w:rPr>
          <w:rFonts w:ascii="Times New Roman" w:hAnsi="Times New Roman"/>
          <w:sz w:val="28"/>
        </w:rPr>
      </w:pPr>
      <w:r>
        <w:rPr>
          <w:rFonts w:ascii="Times New Roman" w:hAnsi="Times New Roman"/>
          <w:sz w:val="28"/>
        </w:rPr>
        <w:t>Даю согласие на обработку моих персональных данных, указанных</w:t>
      </w:r>
      <w:r>
        <w:rPr>
          <w:rFonts w:ascii="Times New Roman" w:hAnsi="Times New Roman"/>
          <w:sz w:val="28"/>
        </w:rPr>
        <w:t xml:space="preserve"> в заявлении в порядке, установленном законодательством Российской Федерации о персональных данных</w:t>
      </w:r>
      <w:r>
        <w:rPr>
          <w:rFonts w:ascii="Times New Roman" w:hAnsi="Times New Roman"/>
          <w:sz w:val="28"/>
          <w:vertAlign w:val="superscript"/>
        </w:rPr>
        <w:endnoteReference w:id="1"/>
      </w:r>
      <w:r>
        <w:rPr>
          <w:rFonts w:ascii="Times New Roman" w:hAnsi="Times New Roman"/>
          <w:sz w:val="28"/>
        </w:rPr>
        <w:t>.</w:t>
      </w:r>
    </w:p>
    <w:p w14:paraId="12010000">
      <w:pPr>
        <w:widowControl w:val="1"/>
        <w:spacing w:after="0" w:line="240" w:lineRule="auto"/>
        <w:ind w:firstLine="709"/>
        <w:jc w:val="both"/>
        <w:rPr>
          <w:rFonts w:ascii="Times New Roman" w:hAnsi="Times New Roman"/>
          <w:sz w:val="28"/>
        </w:rPr>
      </w:pPr>
    </w:p>
    <w:tbl>
      <w:tblPr>
        <w:tblW w:type="auto" w:w="0"/>
        <w:tblInd w:type="dxa" w:w="0"/>
        <w:tblLayout w:type="fixed"/>
        <w:tblCellMar>
          <w:top w:type="dxa" w:w="0"/>
          <w:left w:type="dxa" w:w="108"/>
          <w:bottom w:type="dxa" w:w="0"/>
          <w:right w:type="dxa" w:w="108"/>
        </w:tblCellMar>
      </w:tblPr>
      <w:tblGrid>
        <w:gridCol w:w="2457"/>
        <w:gridCol w:w="486"/>
        <w:gridCol w:w="6343"/>
      </w:tblGrid>
      <w:tr>
        <w:tc>
          <w:tcPr>
            <w:tcW w:type="dxa" w:w="2457"/>
            <w:tcBorders>
              <w:bottom w:color="000000" w:sz="4" w:val="single"/>
            </w:tcBorders>
            <w:shd w:fill="auto" w:val="clear"/>
            <w:tcMar>
              <w:top w:type="dxa" w:w="0"/>
              <w:left w:type="dxa" w:w="108"/>
              <w:bottom w:type="dxa" w:w="0"/>
              <w:right w:type="dxa" w:w="108"/>
            </w:tcMar>
          </w:tcPr>
          <w:p w14:paraId="13010000">
            <w:pPr>
              <w:widowControl w:val="1"/>
              <w:spacing w:after="0" w:line="240" w:lineRule="auto"/>
              <w:ind/>
              <w:jc w:val="both"/>
              <w:rPr>
                <w:rFonts w:ascii="Times New Roman" w:hAnsi="Times New Roman"/>
                <w:sz w:val="28"/>
              </w:rPr>
            </w:pPr>
          </w:p>
        </w:tc>
        <w:tc>
          <w:tcPr>
            <w:tcW w:type="dxa" w:w="486"/>
            <w:shd w:fill="auto" w:val="clear"/>
            <w:tcMar>
              <w:top w:type="dxa" w:w="0"/>
              <w:left w:type="dxa" w:w="108"/>
              <w:bottom w:type="dxa" w:w="0"/>
              <w:right w:type="dxa" w:w="108"/>
            </w:tcMar>
          </w:tcPr>
          <w:p w14:paraId="14010000">
            <w:pPr>
              <w:widowControl w:val="1"/>
              <w:spacing w:after="0" w:line="240" w:lineRule="auto"/>
              <w:ind/>
              <w:jc w:val="both"/>
              <w:rPr>
                <w:rFonts w:ascii="Times New Roman" w:hAnsi="Times New Roman"/>
                <w:sz w:val="28"/>
              </w:rPr>
            </w:pPr>
          </w:p>
        </w:tc>
        <w:tc>
          <w:tcPr>
            <w:tcW w:type="dxa" w:w="6343"/>
            <w:tcBorders>
              <w:bottom w:color="000000" w:sz="4" w:val="single"/>
            </w:tcBorders>
            <w:shd w:fill="auto" w:val="clear"/>
            <w:tcMar>
              <w:top w:type="dxa" w:w="0"/>
              <w:left w:type="dxa" w:w="108"/>
              <w:bottom w:type="dxa" w:w="0"/>
              <w:right w:type="dxa" w:w="108"/>
            </w:tcMar>
          </w:tcPr>
          <w:p w14:paraId="15010000">
            <w:pPr>
              <w:widowControl w:val="1"/>
              <w:spacing w:after="0" w:line="240" w:lineRule="auto"/>
              <w:ind/>
              <w:jc w:val="both"/>
              <w:rPr>
                <w:rFonts w:ascii="Times New Roman" w:hAnsi="Times New Roman"/>
                <w:sz w:val="28"/>
              </w:rPr>
            </w:pPr>
          </w:p>
        </w:tc>
      </w:tr>
      <w:tr>
        <w:tc>
          <w:tcPr>
            <w:tcW w:type="dxa" w:w="2457"/>
            <w:tcBorders>
              <w:top w:color="000000" w:sz="4" w:val="single"/>
            </w:tcBorders>
            <w:shd w:fill="auto" w:val="clear"/>
            <w:tcMar>
              <w:top w:type="dxa" w:w="0"/>
              <w:left w:type="dxa" w:w="108"/>
              <w:bottom w:type="dxa" w:w="0"/>
              <w:right w:type="dxa" w:w="108"/>
            </w:tcMar>
          </w:tcPr>
          <w:p w14:paraId="16010000">
            <w:pPr>
              <w:widowControl w:val="1"/>
              <w:spacing w:after="0" w:line="240" w:lineRule="auto"/>
              <w:ind/>
              <w:jc w:val="center"/>
              <w:rPr>
                <w:rFonts w:ascii="Times New Roman" w:hAnsi="Times New Roman"/>
                <w:sz w:val="20"/>
              </w:rPr>
            </w:pPr>
            <w:r>
              <w:rPr>
                <w:rFonts w:ascii="Times New Roman" w:hAnsi="Times New Roman"/>
                <w:sz w:val="20"/>
              </w:rPr>
              <w:t>(подпись)</w:t>
            </w:r>
          </w:p>
        </w:tc>
        <w:tc>
          <w:tcPr>
            <w:tcW w:type="dxa" w:w="486"/>
            <w:shd w:fill="auto" w:val="clear"/>
            <w:tcMar>
              <w:top w:type="dxa" w:w="0"/>
              <w:left w:type="dxa" w:w="108"/>
              <w:bottom w:type="dxa" w:w="0"/>
              <w:right w:type="dxa" w:w="108"/>
            </w:tcMar>
          </w:tcPr>
          <w:p w14:paraId="17010000">
            <w:pPr>
              <w:widowControl w:val="1"/>
              <w:spacing w:after="0" w:line="240" w:lineRule="auto"/>
              <w:ind/>
              <w:jc w:val="center"/>
              <w:rPr>
                <w:rFonts w:ascii="Times New Roman" w:hAnsi="Times New Roman"/>
                <w:i w:val="1"/>
                <w:sz w:val="28"/>
              </w:rPr>
            </w:pPr>
          </w:p>
        </w:tc>
        <w:tc>
          <w:tcPr>
            <w:tcW w:type="dxa" w:w="6343"/>
            <w:tcBorders>
              <w:top w:color="000000" w:sz="4" w:val="single"/>
            </w:tcBorders>
            <w:shd w:fill="auto" w:val="clear"/>
            <w:tcMar>
              <w:top w:type="dxa" w:w="0"/>
              <w:left w:type="dxa" w:w="108"/>
              <w:bottom w:type="dxa" w:w="0"/>
              <w:right w:type="dxa" w:w="108"/>
            </w:tcMar>
          </w:tcPr>
          <w:p w14:paraId="18010000">
            <w:pPr>
              <w:widowControl w:val="1"/>
              <w:spacing w:after="0" w:line="240" w:lineRule="auto"/>
              <w:ind/>
              <w:jc w:val="center"/>
              <w:rPr>
                <w:rFonts w:ascii="Times New Roman" w:hAnsi="Times New Roman"/>
                <w:i w:val="1"/>
                <w:sz w:val="28"/>
              </w:rPr>
            </w:pPr>
            <w:r>
              <w:rPr>
                <w:rFonts w:ascii="Times New Roman" w:hAnsi="Times New Roman"/>
                <w:sz w:val="20"/>
              </w:rPr>
              <w:t>(фамилия, имя и (при наличии) отчество заявителя)</w:t>
            </w:r>
            <w:r>
              <w:rPr>
                <w:rFonts w:ascii="Times New Roman" w:hAnsi="Times New Roman"/>
                <w:i w:val="1"/>
                <w:sz w:val="28"/>
              </w:rPr>
              <w:t xml:space="preserve"> </w:t>
            </w:r>
          </w:p>
        </w:tc>
      </w:tr>
      <w:tr>
        <w:tc>
          <w:tcPr>
            <w:tcW w:type="dxa" w:w="2457"/>
            <w:shd w:fill="auto" w:val="clear"/>
            <w:tcMar>
              <w:top w:type="dxa" w:w="0"/>
              <w:left w:type="dxa" w:w="108"/>
              <w:bottom w:type="dxa" w:w="0"/>
              <w:right w:type="dxa" w:w="108"/>
            </w:tcMar>
          </w:tcPr>
          <w:p w14:paraId="19010000">
            <w:pPr>
              <w:widowControl w:val="1"/>
              <w:spacing w:after="0" w:line="240" w:lineRule="auto"/>
              <w:ind/>
              <w:jc w:val="center"/>
              <w:rPr>
                <w:rFonts w:ascii="Times New Roman" w:hAnsi="Times New Roman"/>
                <w:i w:val="1"/>
                <w:sz w:val="28"/>
              </w:rPr>
            </w:pPr>
          </w:p>
        </w:tc>
        <w:tc>
          <w:tcPr>
            <w:tcW w:type="dxa" w:w="486"/>
            <w:shd w:fill="auto" w:val="clear"/>
            <w:tcMar>
              <w:top w:type="dxa" w:w="0"/>
              <w:left w:type="dxa" w:w="108"/>
              <w:bottom w:type="dxa" w:w="0"/>
              <w:right w:type="dxa" w:w="108"/>
            </w:tcMar>
          </w:tcPr>
          <w:p w14:paraId="1A010000">
            <w:pPr>
              <w:widowControl w:val="1"/>
              <w:spacing w:after="0" w:line="240" w:lineRule="auto"/>
              <w:ind/>
              <w:jc w:val="center"/>
              <w:rPr>
                <w:rFonts w:ascii="Times New Roman" w:hAnsi="Times New Roman"/>
                <w:i w:val="1"/>
                <w:sz w:val="28"/>
              </w:rPr>
            </w:pPr>
          </w:p>
        </w:tc>
        <w:tc>
          <w:tcPr>
            <w:tcW w:type="dxa" w:w="6343"/>
            <w:tcBorders>
              <w:bottom w:color="000000" w:sz="4" w:val="single"/>
            </w:tcBorders>
            <w:shd w:fill="auto" w:val="clear"/>
            <w:tcMar>
              <w:top w:type="dxa" w:w="0"/>
              <w:left w:type="dxa" w:w="108"/>
              <w:bottom w:type="dxa" w:w="0"/>
              <w:right w:type="dxa" w:w="108"/>
            </w:tcMar>
          </w:tcPr>
          <w:p w14:paraId="1B010000">
            <w:pPr>
              <w:widowControl w:val="1"/>
              <w:spacing w:after="0" w:line="240" w:lineRule="auto"/>
              <w:ind/>
              <w:jc w:val="center"/>
              <w:rPr>
                <w:rFonts w:ascii="Times New Roman" w:hAnsi="Times New Roman"/>
                <w:i w:val="1"/>
                <w:sz w:val="28"/>
              </w:rPr>
            </w:pPr>
          </w:p>
        </w:tc>
      </w:tr>
      <w:tr>
        <w:tc>
          <w:tcPr>
            <w:tcW w:type="dxa" w:w="2457"/>
            <w:shd w:fill="auto" w:val="clear"/>
            <w:tcMar>
              <w:top w:type="dxa" w:w="0"/>
              <w:left w:type="dxa" w:w="108"/>
              <w:bottom w:type="dxa" w:w="0"/>
              <w:right w:type="dxa" w:w="108"/>
            </w:tcMar>
          </w:tcPr>
          <w:p w14:paraId="1C010000">
            <w:pPr>
              <w:widowControl w:val="1"/>
              <w:spacing w:after="0" w:line="240" w:lineRule="auto"/>
              <w:ind/>
              <w:jc w:val="center"/>
              <w:rPr>
                <w:rFonts w:ascii="Times New Roman" w:hAnsi="Times New Roman"/>
                <w:sz w:val="28"/>
              </w:rPr>
            </w:pPr>
            <w:r>
              <w:rPr>
                <w:rFonts w:ascii="Times New Roman" w:hAnsi="Times New Roman"/>
                <w:sz w:val="28"/>
              </w:rPr>
              <w:t>М.П.</w:t>
            </w:r>
            <w:r>
              <w:rPr>
                <w:rFonts w:ascii="Times New Roman" w:hAnsi="Times New Roman"/>
                <w:sz w:val="28"/>
              </w:rPr>
              <w:br/>
            </w:r>
            <w:r>
              <w:rPr>
                <w:rFonts w:ascii="Times New Roman" w:hAnsi="Times New Roman"/>
                <w:sz w:val="20"/>
              </w:rPr>
              <w:t>(при наличии печати)</w:t>
            </w:r>
          </w:p>
        </w:tc>
        <w:tc>
          <w:tcPr>
            <w:tcW w:type="dxa" w:w="486"/>
            <w:shd w:fill="auto" w:val="clear"/>
            <w:tcMar>
              <w:top w:type="dxa" w:w="0"/>
              <w:left w:type="dxa" w:w="108"/>
              <w:bottom w:type="dxa" w:w="0"/>
              <w:right w:type="dxa" w:w="108"/>
            </w:tcMar>
          </w:tcPr>
          <w:p w14:paraId="1D010000">
            <w:pPr>
              <w:widowControl w:val="1"/>
              <w:spacing w:after="0" w:line="240" w:lineRule="auto"/>
              <w:ind/>
              <w:jc w:val="center"/>
              <w:rPr>
                <w:rFonts w:ascii="Times New Roman" w:hAnsi="Times New Roman"/>
                <w:i w:val="1"/>
                <w:sz w:val="28"/>
              </w:rPr>
            </w:pPr>
          </w:p>
        </w:tc>
        <w:tc>
          <w:tcPr>
            <w:tcW w:type="dxa" w:w="6343"/>
            <w:tcBorders>
              <w:top w:color="000000" w:sz="4" w:val="single"/>
            </w:tcBorders>
            <w:shd w:fill="auto" w:val="clear"/>
            <w:tcMar>
              <w:top w:type="dxa" w:w="0"/>
              <w:left w:type="dxa" w:w="108"/>
              <w:bottom w:type="dxa" w:w="0"/>
              <w:right w:type="dxa" w:w="108"/>
            </w:tcMar>
          </w:tcPr>
          <w:p w14:paraId="1E010000">
            <w:pPr>
              <w:widowControl w:val="1"/>
              <w:spacing w:after="0" w:line="240" w:lineRule="auto"/>
              <w:ind/>
              <w:jc w:val="center"/>
              <w:rPr>
                <w:rFonts w:ascii="Times New Roman" w:hAnsi="Times New Roman"/>
                <w:sz w:val="20"/>
              </w:rPr>
            </w:pPr>
            <w:r>
              <w:rPr>
                <w:rFonts w:ascii="Times New Roman" w:hAnsi="Times New Roman"/>
                <w:sz w:val="20"/>
              </w:rPr>
              <w:t>(наименование должности подписавшего лица либо указание на то, что подписавшее лицо является представителем по</w:t>
            </w:r>
            <w:r>
              <w:rPr>
                <w:rFonts w:ascii="Times New Roman" w:hAnsi="Times New Roman"/>
                <w:i w:val="1"/>
                <w:sz w:val="28"/>
              </w:rPr>
              <w:t xml:space="preserve"> </w:t>
            </w:r>
            <w:r>
              <w:rPr>
                <w:rFonts w:ascii="Times New Roman" w:hAnsi="Times New Roman"/>
                <w:sz w:val="20"/>
              </w:rPr>
              <w:t>доверенности</w:t>
            </w:r>
          </w:p>
        </w:tc>
      </w:tr>
    </w:tbl>
    <w:p w14:paraId="1F010000">
      <w:pPr>
        <w:widowControl w:val="1"/>
        <w:spacing w:before="240"/>
        <w:ind w:firstLine="540"/>
        <w:jc w:val="center"/>
        <w:rPr>
          <w:sz w:val="24"/>
        </w:rPr>
      </w:pPr>
    </w:p>
    <w:sectPr>
      <w:type w:val="nextPage"/>
      <w:pgSz w:h="16838" w:orient="portrait" w:w="11906"/>
      <w:pgMar w:bottom="1134" w:left="1304" w:right="737" w:top="1134"/>
      <w:pgNumType w:fmt="decimal"/>
    </w:sectPr>
  </w:body>
</w:document>
</file>

<file path=word/endnotes.xml><?xml version="1.0" encoding="utf-8"?>
<w:endnot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endnote w:id="-1" w:type="separator">
    <w:p w14:paraId="22010000">
      <w:pPr>
        <w:widowControl w:val="1"/>
        <w:spacing w:after="0" w:line="240" w:lineRule="auto"/>
        <w:ind/>
      </w:pPr>
      <w:r>
        <w:separator/>
      </w:r>
    </w:p>
  </w:endnote>
  <w:endnote w:id="0" w:type="continuationSeparator">
    <w:p w14:paraId="23010000">
      <w:pPr>
        <w:widowControl w:val="1"/>
        <w:spacing w:after="0" w:line="240" w:lineRule="auto"/>
        <w:ind/>
      </w:pPr>
      <w:r>
        <w:continuationSeparator/>
      </w:r>
    </w:p>
  </w:endnote>
  <w:endnote w:id="1">
    <w:p w14:paraId="24010000">
      <w:pPr>
        <w:pStyle w:val="Style_6"/>
        <w:widowControl w:val="1"/>
        <w:ind/>
        <w:jc w:val="both"/>
        <w:rPr>
          <w:rFonts w:ascii="Times New Roman" w:hAnsi="Times New Roman"/>
        </w:rPr>
      </w:pPr>
      <w:r>
        <w:rPr>
          <w:rFonts w:ascii="Times New Roman" w:hAnsi="Times New Roman"/>
          <w:vertAlign w:val="superscript"/>
        </w:rPr>
        <w:endnoteRef/>
      </w:r>
      <w:r>
        <w:rPr>
          <w:rFonts w:ascii="Times New Roman" w:hAnsi="Times New Roman"/>
        </w:rPr>
        <w:t xml:space="preserve"> Указывается в случае, если заявителем является индивидуальный предприниматель, </w:t>
      </w:r>
      <w:r>
        <w:rPr>
          <w:rFonts w:ascii="Times New Roman" w:hAnsi="Times New Roman"/>
        </w:rPr>
        <w:t>физическое лицо, применяющее специальный налоговый режим</w:t>
      </w:r>
    </w:p>
  </w:endnote>
</w:endnotes>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notes.xml><?xml version="1.0" encoding="utf-8"?>
<w:footnot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footnote w:id="-1" w:type="separator">
    <w:p w14:paraId="20010000">
      <w:pPr>
        <w:widowControl w:val="1"/>
        <w:spacing w:after="0" w:line="240" w:lineRule="auto"/>
        <w:ind/>
      </w:pPr>
      <w:r>
        <w:separator/>
      </w:r>
    </w:p>
  </w:footnote>
  <w:footnote w:id="0" w:type="continuationSeparator">
    <w:p w14:paraId="21010000">
      <w:pPr>
        <w:widowControl w:val="1"/>
        <w:spacing w:after="0" w:line="240" w:lineRule="auto"/>
        <w:ind/>
      </w:pPr>
      <w:r>
        <w:continuationSeparator/>
      </w:r>
    </w:p>
  </w:footnote>
</w:footnotes>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numFmt w:val="bullet"/>
      <w:lvlText w:val="-"/>
      <w:pPr>
        <w:widowControl w:val="1"/>
        <w:ind w:hanging="360" w:left="720"/>
      </w:pPr>
      <w:rPr>
        <w:rFonts w:ascii="Calibri" w:hAnsi="Calibri"/>
      </w:rPr>
    </w:lvl>
    <w:lvl w:ilvl="1">
      <w:numFmt w:val="bullet"/>
      <w:lvlText w:val="o"/>
      <w:pPr>
        <w:widowControl w:val="1"/>
        <w:ind w:hanging="360" w:left="1440"/>
      </w:pPr>
      <w:rPr>
        <w:rFonts w:ascii="Courier New" w:hAnsi="Courier New"/>
      </w:rPr>
    </w:lvl>
    <w:lvl w:ilvl="2">
      <w:numFmt w:val="bullet"/>
      <w:lvlText w:val=""/>
      <w:pPr>
        <w:widowControl w:val="1"/>
        <w:ind w:hanging="360" w:left="2160"/>
      </w:pPr>
      <w:rPr>
        <w:rFonts w:ascii="Wingdings" w:hAnsi="Wingdings"/>
      </w:rPr>
    </w:lvl>
    <w:lvl w:ilvl="3">
      <w:numFmt w:val="bullet"/>
      <w:lvlText w:val="-"/>
      <w:pPr>
        <w:widowControl w:val="1"/>
        <w:ind w:hanging="360" w:left="2880"/>
      </w:pPr>
      <w:rPr>
        <w:rFonts w:ascii="Calibri" w:hAnsi="Calibri"/>
      </w:rPr>
    </w:lvl>
    <w:lvl w:ilvl="4">
      <w:numFmt w:val="bullet"/>
      <w:lvlText w:val="o"/>
      <w:pPr>
        <w:widowControl w:val="1"/>
        <w:ind w:hanging="360" w:left="3600"/>
      </w:pPr>
      <w:rPr>
        <w:rFonts w:ascii="Courier New" w:hAnsi="Courier New"/>
      </w:rPr>
    </w:lvl>
    <w:lvl w:ilvl="5">
      <w:numFmt w:val="bullet"/>
      <w:lvlText w:val=""/>
      <w:pPr>
        <w:widowControl w:val="1"/>
        <w:ind w:hanging="360" w:left="4320"/>
      </w:pPr>
      <w:rPr>
        <w:rFonts w:ascii="Wingdings" w:hAnsi="Wingdings"/>
      </w:rPr>
    </w:lvl>
    <w:lvl w:ilvl="6">
      <w:numFmt w:val="bullet"/>
      <w:lvlText w:val="-"/>
      <w:pPr>
        <w:widowControl w:val="1"/>
        <w:ind w:hanging="360" w:left="5040"/>
      </w:pPr>
      <w:rPr>
        <w:rFonts w:ascii="Calibri" w:hAnsi="Calibri"/>
      </w:rPr>
    </w:lvl>
    <w:lvl w:ilvl="7">
      <w:numFmt w:val="bullet"/>
      <w:lvlText w:val="o"/>
      <w:pPr>
        <w:widowControl w:val="1"/>
        <w:ind w:hanging="360" w:left="5760"/>
      </w:pPr>
      <w:rPr>
        <w:rFonts w:ascii="Courier New" w:hAnsi="Courier New"/>
      </w:rPr>
    </w:lvl>
    <w:lvl w:ilvl="8">
      <w:numFmt w:val="bullet"/>
      <w:lvlText w:val=""/>
      <w:pPr>
        <w:widowControl w:val="1"/>
        <w:ind w:hanging="360" w:left="6480"/>
      </w:pPr>
      <w:rPr>
        <w:rFonts w:ascii="Wingdings" w:hAnsi="Wingdings"/>
      </w:rPr>
    </w:lvl>
  </w:abstractNum>
  <w:abstractNum w:abstractNumId="1">
    <w:lvl w:ilvl="0">
      <w:numFmt w:val="bullet"/>
      <w:lvlText w:val="-"/>
      <w:pPr>
        <w:widowControl w:val="1"/>
        <w:ind w:hanging="360" w:left="720"/>
      </w:pPr>
      <w:rPr>
        <w:rFonts w:ascii="Calibri" w:hAnsi="Calibri"/>
      </w:rPr>
    </w:lvl>
    <w:lvl w:ilvl="1">
      <w:numFmt w:val="bullet"/>
      <w:lvlText w:val="o"/>
      <w:pPr>
        <w:widowControl w:val="1"/>
        <w:ind w:hanging="360" w:left="1440"/>
      </w:pPr>
      <w:rPr>
        <w:rFonts w:ascii="Courier New" w:hAnsi="Courier New"/>
      </w:rPr>
    </w:lvl>
    <w:lvl w:ilvl="2">
      <w:numFmt w:val="bullet"/>
      <w:lvlText w:val=""/>
      <w:pPr>
        <w:widowControl w:val="1"/>
        <w:ind w:hanging="360" w:left="2160"/>
      </w:pPr>
      <w:rPr>
        <w:rFonts w:ascii="Wingdings" w:hAnsi="Wingdings"/>
      </w:rPr>
    </w:lvl>
    <w:lvl w:ilvl="3">
      <w:numFmt w:val="bullet"/>
      <w:lvlText w:val="-"/>
      <w:pPr>
        <w:widowControl w:val="1"/>
        <w:ind w:hanging="360" w:left="2880"/>
      </w:pPr>
      <w:rPr>
        <w:rFonts w:ascii="Calibri" w:hAnsi="Calibri"/>
      </w:rPr>
    </w:lvl>
    <w:lvl w:ilvl="4">
      <w:numFmt w:val="bullet"/>
      <w:lvlText w:val="o"/>
      <w:pPr>
        <w:widowControl w:val="1"/>
        <w:ind w:hanging="360" w:left="3600"/>
      </w:pPr>
      <w:rPr>
        <w:rFonts w:ascii="Courier New" w:hAnsi="Courier New"/>
      </w:rPr>
    </w:lvl>
    <w:lvl w:ilvl="5">
      <w:numFmt w:val="bullet"/>
      <w:lvlText w:val=""/>
      <w:pPr>
        <w:widowControl w:val="1"/>
        <w:ind w:hanging="360" w:left="4320"/>
      </w:pPr>
      <w:rPr>
        <w:rFonts w:ascii="Wingdings" w:hAnsi="Wingdings"/>
      </w:rPr>
    </w:lvl>
    <w:lvl w:ilvl="6">
      <w:numFmt w:val="bullet"/>
      <w:lvlText w:val="-"/>
      <w:pPr>
        <w:widowControl w:val="1"/>
        <w:ind w:hanging="360" w:left="5040"/>
      </w:pPr>
      <w:rPr>
        <w:rFonts w:ascii="Calibri" w:hAnsi="Calibri"/>
      </w:rPr>
    </w:lvl>
    <w:lvl w:ilvl="7">
      <w:numFmt w:val="bullet"/>
      <w:lvlText w:val="o"/>
      <w:pPr>
        <w:widowControl w:val="1"/>
        <w:ind w:hanging="360" w:left="5760"/>
      </w:pPr>
      <w:rPr>
        <w:rFonts w:ascii="Courier New" w:hAnsi="Courier New"/>
      </w:rPr>
    </w:lvl>
    <w:lvl w:ilvl="8">
      <w:numFmt w:val="bullet"/>
      <w:lvlText w:val=""/>
      <w:pPr>
        <w:widowControl w:val="1"/>
        <w:ind w:hanging="360" w:left="6480"/>
      </w:pPr>
      <w:rPr>
        <w:rFonts w:ascii="Wingdings" w:hAnsi="Wingdings"/>
      </w:rPr>
    </w:lvl>
  </w:abstractNum>
  <w:abstractNum w:abstractNumId="2">
    <w:lvl w:ilvl="0">
      <w:numFmt w:val="bullet"/>
      <w:lvlText w:val="-"/>
      <w:pPr>
        <w:widowControl w:val="1"/>
        <w:ind w:hanging="360" w:left="720"/>
      </w:pPr>
      <w:rPr>
        <w:rFonts w:ascii="Calibri" w:hAnsi="Calibri"/>
      </w:rPr>
    </w:lvl>
    <w:lvl w:ilvl="1">
      <w:numFmt w:val="bullet"/>
      <w:lvlText w:val="o"/>
      <w:pPr>
        <w:widowControl w:val="1"/>
        <w:ind w:hanging="360" w:left="1440"/>
      </w:pPr>
      <w:rPr>
        <w:rFonts w:ascii="Courier New" w:hAnsi="Courier New"/>
      </w:rPr>
    </w:lvl>
    <w:lvl w:ilvl="2">
      <w:numFmt w:val="bullet"/>
      <w:lvlText w:val=""/>
      <w:pPr>
        <w:widowControl w:val="1"/>
        <w:ind w:hanging="360" w:left="2160"/>
      </w:pPr>
      <w:rPr>
        <w:rFonts w:ascii="Wingdings" w:hAnsi="Wingdings"/>
      </w:rPr>
    </w:lvl>
    <w:lvl w:ilvl="3">
      <w:numFmt w:val="bullet"/>
      <w:lvlText w:val="-"/>
      <w:pPr>
        <w:widowControl w:val="1"/>
        <w:ind w:hanging="360" w:left="2880"/>
      </w:pPr>
      <w:rPr>
        <w:rFonts w:ascii="Calibri" w:hAnsi="Calibri"/>
      </w:rPr>
    </w:lvl>
    <w:lvl w:ilvl="4">
      <w:numFmt w:val="bullet"/>
      <w:lvlText w:val="o"/>
      <w:pPr>
        <w:widowControl w:val="1"/>
        <w:ind w:hanging="360" w:left="3600"/>
      </w:pPr>
      <w:rPr>
        <w:rFonts w:ascii="Courier New" w:hAnsi="Courier New"/>
      </w:rPr>
    </w:lvl>
    <w:lvl w:ilvl="5">
      <w:numFmt w:val="bullet"/>
      <w:lvlText w:val=""/>
      <w:pPr>
        <w:widowControl w:val="1"/>
        <w:ind w:hanging="360" w:left="4320"/>
      </w:pPr>
      <w:rPr>
        <w:rFonts w:ascii="Wingdings" w:hAnsi="Wingdings"/>
      </w:rPr>
    </w:lvl>
    <w:lvl w:ilvl="6">
      <w:numFmt w:val="bullet"/>
      <w:lvlText w:val="-"/>
      <w:pPr>
        <w:widowControl w:val="1"/>
        <w:ind w:hanging="360" w:left="5040"/>
      </w:pPr>
      <w:rPr>
        <w:rFonts w:ascii="Calibri" w:hAnsi="Calibri"/>
      </w:rPr>
    </w:lvl>
    <w:lvl w:ilvl="7">
      <w:numFmt w:val="bullet"/>
      <w:lvlText w:val="o"/>
      <w:pPr>
        <w:widowControl w:val="1"/>
        <w:ind w:hanging="360" w:left="5760"/>
      </w:pPr>
      <w:rPr>
        <w:rFonts w:ascii="Courier New" w:hAnsi="Courier New"/>
      </w:rPr>
    </w:lvl>
    <w:lvl w:ilvl="8">
      <w:numFmt w:val="bullet"/>
      <w:lvlText w:val=""/>
      <w:pPr>
        <w:widowControl w:val="1"/>
        <w:ind w:hanging="360" w:left="6480"/>
      </w:pPr>
      <w:rPr>
        <w:rFonts w:ascii="Wingdings" w:hAnsi="Wingdings"/>
      </w:rPr>
    </w:lvl>
  </w:abstractNum>
  <w:abstractNum w:abstractNumId="3">
    <w:lvl w:ilvl="0">
      <w:numFmt w:val="bullet"/>
      <w:lvlText w:val="-"/>
      <w:pPr>
        <w:widowControl w:val="1"/>
        <w:ind w:hanging="360" w:left="720"/>
      </w:pPr>
      <w:rPr>
        <w:rFonts w:ascii="Calibri" w:hAnsi="Calibri"/>
      </w:rPr>
    </w:lvl>
    <w:lvl w:ilvl="1">
      <w:numFmt w:val="bullet"/>
      <w:lvlText w:val="o"/>
      <w:pPr>
        <w:widowControl w:val="1"/>
        <w:ind w:hanging="360" w:left="1440"/>
      </w:pPr>
      <w:rPr>
        <w:rFonts w:ascii="Courier New" w:hAnsi="Courier New"/>
      </w:rPr>
    </w:lvl>
    <w:lvl w:ilvl="2">
      <w:numFmt w:val="bullet"/>
      <w:lvlText w:val=""/>
      <w:pPr>
        <w:widowControl w:val="1"/>
        <w:ind w:hanging="360" w:left="2160"/>
      </w:pPr>
      <w:rPr>
        <w:rFonts w:ascii="Wingdings" w:hAnsi="Wingdings"/>
      </w:rPr>
    </w:lvl>
    <w:lvl w:ilvl="3">
      <w:numFmt w:val="bullet"/>
      <w:lvlText w:val="-"/>
      <w:pPr>
        <w:widowControl w:val="1"/>
        <w:ind w:hanging="360" w:left="2880"/>
      </w:pPr>
      <w:rPr>
        <w:rFonts w:ascii="Calibri" w:hAnsi="Calibri"/>
      </w:rPr>
    </w:lvl>
    <w:lvl w:ilvl="4">
      <w:numFmt w:val="bullet"/>
      <w:lvlText w:val="o"/>
      <w:pPr>
        <w:widowControl w:val="1"/>
        <w:ind w:hanging="360" w:left="3600"/>
      </w:pPr>
      <w:rPr>
        <w:rFonts w:ascii="Courier New" w:hAnsi="Courier New"/>
      </w:rPr>
    </w:lvl>
    <w:lvl w:ilvl="5">
      <w:numFmt w:val="bullet"/>
      <w:lvlText w:val=""/>
      <w:pPr>
        <w:widowControl w:val="1"/>
        <w:ind w:hanging="360" w:left="4320"/>
      </w:pPr>
      <w:rPr>
        <w:rFonts w:ascii="Wingdings" w:hAnsi="Wingdings"/>
      </w:rPr>
    </w:lvl>
    <w:lvl w:ilvl="6">
      <w:numFmt w:val="bullet"/>
      <w:lvlText w:val="-"/>
      <w:pPr>
        <w:widowControl w:val="1"/>
        <w:ind w:hanging="360" w:left="5040"/>
      </w:pPr>
      <w:rPr>
        <w:rFonts w:ascii="Calibri" w:hAnsi="Calibri"/>
      </w:rPr>
    </w:lvl>
    <w:lvl w:ilvl="7">
      <w:numFmt w:val="bullet"/>
      <w:lvlText w:val="o"/>
      <w:pPr>
        <w:widowControl w:val="1"/>
        <w:ind w:hanging="360" w:left="5760"/>
      </w:pPr>
      <w:rPr>
        <w:rFonts w:ascii="Courier New" w:hAnsi="Courier New"/>
      </w:rPr>
    </w:lvl>
    <w:lvl w:ilvl="8">
      <w:numFmt w:val="bullet"/>
      <w:lvlText w:val=""/>
      <w:pPr>
        <w:widowControl w:val="1"/>
        <w:ind w:hanging="360" w:left="6480"/>
      </w:pPr>
      <w:rPr>
        <w:rFonts w:ascii="Wingdings" w:hAnsi="Wingdings"/>
      </w:rPr>
    </w:lvl>
  </w:abstractNum>
  <w:abstractNum w:abstractNumId="4">
    <w:lvl w:ilvl="0">
      <w:numFmt w:val="bullet"/>
      <w:lvlText w:val="-"/>
      <w:pPr>
        <w:widowControl w:val="1"/>
        <w:ind w:hanging="360" w:left="720"/>
      </w:pPr>
      <w:rPr>
        <w:rFonts w:ascii="Calibri" w:hAnsi="Calibri"/>
      </w:rPr>
    </w:lvl>
    <w:lvl w:ilvl="1">
      <w:numFmt w:val="bullet"/>
      <w:lvlText w:val="o"/>
      <w:pPr>
        <w:widowControl w:val="1"/>
        <w:ind w:hanging="360" w:left="1440"/>
      </w:pPr>
      <w:rPr>
        <w:rFonts w:ascii="Courier New" w:hAnsi="Courier New"/>
      </w:rPr>
    </w:lvl>
    <w:lvl w:ilvl="2">
      <w:numFmt w:val="bullet"/>
      <w:lvlText w:val=""/>
      <w:pPr>
        <w:widowControl w:val="1"/>
        <w:ind w:hanging="360" w:left="2160"/>
      </w:pPr>
      <w:rPr>
        <w:rFonts w:ascii="Wingdings" w:hAnsi="Wingdings"/>
      </w:rPr>
    </w:lvl>
    <w:lvl w:ilvl="3">
      <w:numFmt w:val="bullet"/>
      <w:lvlText w:val="-"/>
      <w:pPr>
        <w:widowControl w:val="1"/>
        <w:ind w:hanging="360" w:left="2880"/>
      </w:pPr>
      <w:rPr>
        <w:rFonts w:ascii="Calibri" w:hAnsi="Calibri"/>
      </w:rPr>
    </w:lvl>
    <w:lvl w:ilvl="4">
      <w:numFmt w:val="bullet"/>
      <w:lvlText w:val="o"/>
      <w:pPr>
        <w:widowControl w:val="1"/>
        <w:ind w:hanging="360" w:left="3600"/>
      </w:pPr>
      <w:rPr>
        <w:rFonts w:ascii="Courier New" w:hAnsi="Courier New"/>
      </w:rPr>
    </w:lvl>
    <w:lvl w:ilvl="5">
      <w:numFmt w:val="bullet"/>
      <w:lvlText w:val=""/>
      <w:pPr>
        <w:widowControl w:val="1"/>
        <w:ind w:hanging="360" w:left="4320"/>
      </w:pPr>
      <w:rPr>
        <w:rFonts w:ascii="Wingdings" w:hAnsi="Wingdings"/>
      </w:rPr>
    </w:lvl>
    <w:lvl w:ilvl="6">
      <w:numFmt w:val="bullet"/>
      <w:lvlText w:val="-"/>
      <w:pPr>
        <w:widowControl w:val="1"/>
        <w:ind w:hanging="360" w:left="5040"/>
      </w:pPr>
      <w:rPr>
        <w:rFonts w:ascii="Calibri" w:hAnsi="Calibri"/>
      </w:rPr>
    </w:lvl>
    <w:lvl w:ilvl="7">
      <w:numFmt w:val="bullet"/>
      <w:lvlText w:val="o"/>
      <w:pPr>
        <w:widowControl w:val="1"/>
        <w:ind w:hanging="360" w:left="5760"/>
      </w:pPr>
      <w:rPr>
        <w:rFonts w:ascii="Courier New" w:hAnsi="Courier New"/>
      </w:rPr>
    </w:lvl>
    <w:lvl w:ilvl="8">
      <w:numFmt w:val="bullet"/>
      <w:lvlText w:val=""/>
      <w:pPr>
        <w:widowControl w:val="1"/>
        <w:ind w:hanging="360" w:left="6480"/>
      </w:pPr>
      <w:rPr>
        <w:rFonts w:ascii="Wingdings" w:hAnsi="Wingdings"/>
      </w:rPr>
    </w:lvl>
  </w:abstractNum>
  <w:abstractNum w:abstractNumId="5">
    <w:lvl w:ilvl="0">
      <w:numFmt w:val="bullet"/>
      <w:lvlText w:val="-"/>
      <w:pPr>
        <w:widowControl w:val="1"/>
        <w:ind w:hanging="360" w:left="720"/>
      </w:pPr>
      <w:rPr>
        <w:rFonts w:ascii="Calibri" w:hAnsi="Calibri"/>
      </w:rPr>
    </w:lvl>
    <w:lvl w:ilvl="1">
      <w:numFmt w:val="bullet"/>
      <w:lvlText w:val="o"/>
      <w:pPr>
        <w:widowControl w:val="1"/>
        <w:ind w:hanging="360" w:left="1440"/>
      </w:pPr>
      <w:rPr>
        <w:rFonts w:ascii="Courier New" w:hAnsi="Courier New"/>
      </w:rPr>
    </w:lvl>
    <w:lvl w:ilvl="2">
      <w:numFmt w:val="bullet"/>
      <w:lvlText w:val=""/>
      <w:pPr>
        <w:widowControl w:val="1"/>
        <w:ind w:hanging="360" w:left="2160"/>
      </w:pPr>
      <w:rPr>
        <w:rFonts w:ascii="Wingdings" w:hAnsi="Wingdings"/>
      </w:rPr>
    </w:lvl>
    <w:lvl w:ilvl="3">
      <w:numFmt w:val="bullet"/>
      <w:lvlText w:val="-"/>
      <w:pPr>
        <w:widowControl w:val="1"/>
        <w:ind w:hanging="360" w:left="2880"/>
      </w:pPr>
      <w:rPr>
        <w:rFonts w:ascii="Calibri" w:hAnsi="Calibri"/>
      </w:rPr>
    </w:lvl>
    <w:lvl w:ilvl="4">
      <w:numFmt w:val="bullet"/>
      <w:lvlText w:val="o"/>
      <w:pPr>
        <w:widowControl w:val="1"/>
        <w:ind w:hanging="360" w:left="3600"/>
      </w:pPr>
      <w:rPr>
        <w:rFonts w:ascii="Courier New" w:hAnsi="Courier New"/>
      </w:rPr>
    </w:lvl>
    <w:lvl w:ilvl="5">
      <w:numFmt w:val="bullet"/>
      <w:lvlText w:val=""/>
      <w:pPr>
        <w:widowControl w:val="1"/>
        <w:ind w:hanging="360" w:left="4320"/>
      </w:pPr>
      <w:rPr>
        <w:rFonts w:ascii="Wingdings" w:hAnsi="Wingdings"/>
      </w:rPr>
    </w:lvl>
    <w:lvl w:ilvl="6">
      <w:numFmt w:val="bullet"/>
      <w:lvlText w:val="-"/>
      <w:pPr>
        <w:widowControl w:val="1"/>
        <w:ind w:hanging="360" w:left="5040"/>
      </w:pPr>
      <w:rPr>
        <w:rFonts w:ascii="Calibri" w:hAnsi="Calibri"/>
      </w:rPr>
    </w:lvl>
    <w:lvl w:ilvl="7">
      <w:numFmt w:val="bullet"/>
      <w:lvlText w:val="o"/>
      <w:pPr>
        <w:widowControl w:val="1"/>
        <w:ind w:hanging="360" w:left="5760"/>
      </w:pPr>
      <w:rPr>
        <w:rFonts w:ascii="Courier New" w:hAnsi="Courier New"/>
      </w:rPr>
    </w:lvl>
    <w:lvl w:ilvl="8">
      <w:numFmt w:val="bullet"/>
      <w:lvlText w:val=""/>
      <w:pPr>
        <w:widowControl w:val="1"/>
        <w:ind w:hanging="360" w:left="6480"/>
      </w:pPr>
      <w:rPr>
        <w:rFonts w:ascii="Wingdings" w:hAnsi="Wingdings"/>
      </w:rPr>
    </w:lvl>
  </w:abstractNum>
  <w:abstractNum w:abstractNumId="6">
    <w:lvl w:ilvl="0">
      <w:start w:val="1"/>
      <w:numFmt w:val="decimal"/>
      <w:lvlText w:val="%1)"/>
      <w:pPr>
        <w:widowControl w:val="1"/>
        <w:ind w:hanging="360" w:left="720"/>
      </w:pPr>
    </w:lvl>
    <w:lvl w:ilvl="1">
      <w:start w:val="1"/>
      <w:numFmt w:val="russianLower"/>
      <w:lvlText w:val="%2)"/>
      <w:pPr>
        <w:widowControl w:val="1"/>
        <w:ind w:hanging="360" w:left="1440"/>
      </w:pPr>
    </w:lvl>
    <w:lvl w:ilvl="2">
      <w:start w:val="1"/>
      <w:numFmt w:val="lowerRoman"/>
      <w:lvlText w:val="%3)"/>
      <w:lvlJc w:val="right"/>
      <w:pPr>
        <w:widowControl w:val="1"/>
        <w:ind w:hanging="360" w:left="2160"/>
      </w:pPr>
    </w:lvl>
    <w:lvl w:ilvl="3">
      <w:start w:val="1"/>
      <w:numFmt w:val="decimal"/>
      <w:lvlText w:val="%4)"/>
      <w:pPr>
        <w:widowControl w:val="1"/>
        <w:ind w:hanging="360" w:left="2880"/>
      </w:pPr>
    </w:lvl>
    <w:lvl w:ilvl="4">
      <w:start w:val="1"/>
      <w:numFmt w:val="russianLower"/>
      <w:lvlText w:val="%5)"/>
      <w:pPr>
        <w:widowControl w:val="1"/>
        <w:ind w:hanging="360" w:left="3600"/>
      </w:pPr>
    </w:lvl>
    <w:lvl w:ilvl="5">
      <w:start w:val="1"/>
      <w:numFmt w:val="lowerRoman"/>
      <w:lvlText w:val="%6)"/>
      <w:lvlJc w:val="right"/>
      <w:pPr>
        <w:widowControl w:val="1"/>
        <w:ind w:hanging="360" w:left="4320"/>
      </w:pPr>
    </w:lvl>
    <w:lvl w:ilvl="6">
      <w:start w:val="1"/>
      <w:numFmt w:val="decimal"/>
      <w:lvlText w:val="%7."/>
      <w:pPr>
        <w:widowControl w:val="1"/>
        <w:ind w:hanging="360" w:left="5040"/>
      </w:pPr>
    </w:lvl>
    <w:lvl w:ilvl="7">
      <w:start w:val="1"/>
      <w:numFmt w:val="russianLower"/>
      <w:lvlText w:val="%8."/>
      <w:pPr>
        <w:widowControl w:val="1"/>
        <w:ind w:hanging="360" w:left="5760"/>
      </w:pPr>
    </w:lvl>
    <w:lvl w:ilvl="8">
      <w:start w:val="1"/>
      <w:numFmt w:val="lowerRoman"/>
      <w:lvlText w:val="%9."/>
      <w:lvlJc w:val="right"/>
      <w:pPr>
        <w:widowControl w:val="1"/>
        <w:ind w:hanging="360" w:left="64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20"/>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XO Thames" w:hAnsi="XO Thames"/>
        <w:color w:val="000000"/>
        <w:spacing w:val="0"/>
        <w:sz w:val="24"/>
      </w:rPr>
    </w:rPrDefault>
    <w:pPrDefault>
      <w:pPr>
        <w:widowControl w:val="1"/>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1" w:type="paragraph">
    <w:name w:val="Normal"/>
    <w:link w:val="Style_1_ch"/>
    <w:uiPriority w:val="0"/>
    <w:qFormat/>
    <w:pPr>
      <w:widowControl w:val="1"/>
      <w:spacing w:line="240" w:lineRule="auto"/>
      <w:ind/>
      <w:jc w:val="both"/>
    </w:pPr>
    <w:rPr>
      <w:rFonts w:ascii="XO Thames" w:hAnsi="XO Thames"/>
      <w:sz w:val="28"/>
    </w:rPr>
  </w:style>
  <w:style w:default="1" w:styleId="Style_1_ch" w:type="character">
    <w:name w:val="Normal"/>
    <w:link w:val="Style_1"/>
    <w:rPr>
      <w:rFonts w:ascii="XO Thames" w:hAnsi="XO Thames"/>
      <w:sz w:val="28"/>
    </w:rPr>
  </w:style>
  <w:style w:styleId="Style_2" w:type="paragraph">
    <w:name w:val="toc 2"/>
    <w:next w:val="Style_1"/>
    <w:link w:val="Style_2_ch"/>
    <w:uiPriority w:val="39"/>
    <w:pPr>
      <w:widowControl w:val="1"/>
      <w:ind w:firstLine="0" w:left="200"/>
      <w:jc w:val="left"/>
    </w:pPr>
    <w:rPr>
      <w:rFonts w:ascii="XO Thames" w:hAnsi="XO Thames"/>
      <w:sz w:val="28"/>
    </w:rPr>
  </w:style>
  <w:style w:styleId="Style_2_ch" w:type="character">
    <w:name w:val="toc 2"/>
    <w:link w:val="Style_2"/>
    <w:rPr>
      <w:rFonts w:ascii="XO Thames" w:hAnsi="XO Thames"/>
      <w:sz w:val="28"/>
    </w:rPr>
  </w:style>
  <w:style w:styleId="Style_3" w:type="paragraph">
    <w:name w:val="toc 4"/>
    <w:next w:val="Style_1"/>
    <w:link w:val="Style_3_ch"/>
    <w:uiPriority w:val="39"/>
    <w:pPr>
      <w:widowControl w:val="1"/>
      <w:ind w:firstLine="0" w:left="600"/>
      <w:jc w:val="left"/>
    </w:pPr>
    <w:rPr>
      <w:rFonts w:ascii="XO Thames" w:hAnsi="XO Thames"/>
      <w:sz w:val="28"/>
    </w:rPr>
  </w:style>
  <w:style w:styleId="Style_3_ch" w:type="character">
    <w:name w:val="toc 4"/>
    <w:link w:val="Style_3"/>
    <w:rPr>
      <w:rFonts w:ascii="XO Thames" w:hAnsi="XO Thames"/>
      <w:sz w:val="28"/>
    </w:rPr>
  </w:style>
  <w:style w:styleId="Style_4" w:type="paragraph">
    <w:name w:val="toc 6"/>
    <w:next w:val="Style_1"/>
    <w:link w:val="Style_4_ch"/>
    <w:uiPriority w:val="39"/>
    <w:pPr>
      <w:widowControl w:val="1"/>
      <w:ind w:firstLine="0" w:left="1000"/>
      <w:jc w:val="left"/>
    </w:pPr>
    <w:rPr>
      <w:rFonts w:ascii="XO Thames" w:hAnsi="XO Thames"/>
      <w:sz w:val="28"/>
    </w:rPr>
  </w:style>
  <w:style w:styleId="Style_4_ch" w:type="character">
    <w:name w:val="toc 6"/>
    <w:link w:val="Style_4"/>
    <w:rPr>
      <w:rFonts w:ascii="XO Thames" w:hAnsi="XO Thames"/>
      <w:sz w:val="28"/>
    </w:rPr>
  </w:style>
  <w:style w:styleId="Style_5" w:type="paragraph">
    <w:name w:val="toc 7"/>
    <w:next w:val="Style_1"/>
    <w:link w:val="Style_5_ch"/>
    <w:uiPriority w:val="39"/>
    <w:pPr>
      <w:widowControl w:val="1"/>
      <w:ind w:firstLine="0" w:left="1200"/>
      <w:jc w:val="left"/>
    </w:pPr>
    <w:rPr>
      <w:rFonts w:ascii="XO Thames" w:hAnsi="XO Thames"/>
      <w:sz w:val="28"/>
    </w:rPr>
  </w:style>
  <w:style w:styleId="Style_5_ch" w:type="character">
    <w:name w:val="toc 7"/>
    <w:link w:val="Style_5"/>
    <w:rPr>
      <w:rFonts w:ascii="XO Thames" w:hAnsi="XO Thames"/>
      <w:sz w:val="28"/>
    </w:rPr>
  </w:style>
  <w:style w:styleId="Style_6" w:type="paragraph">
    <w:name w:val="Endnote"/>
    <w:link w:val="Style_6_ch"/>
    <w:pPr>
      <w:widowControl w:val="1"/>
      <w:ind w:firstLine="851" w:left="0"/>
      <w:jc w:val="both"/>
    </w:pPr>
    <w:rPr>
      <w:rFonts w:ascii="XO Thames" w:hAnsi="XO Thames"/>
      <w:sz w:val="22"/>
    </w:rPr>
  </w:style>
  <w:style w:styleId="Style_6_ch" w:type="character">
    <w:name w:val="Endnote"/>
    <w:link w:val="Style_6"/>
    <w:rPr>
      <w:rFonts w:ascii="XO Thames" w:hAnsi="XO Thames"/>
      <w:sz w:val="22"/>
    </w:rPr>
  </w:style>
  <w:style w:styleId="Style_7" w:type="paragraph">
    <w:name w:val="heading 3"/>
    <w:next w:val="Style_1"/>
    <w:link w:val="Style_7_ch"/>
    <w:uiPriority w:val="9"/>
    <w:qFormat/>
    <w:pPr>
      <w:widowControl w:val="1"/>
      <w:spacing w:after="120" w:before="120"/>
      <w:ind/>
      <w:jc w:val="both"/>
      <w:outlineLvl w:val="2"/>
    </w:pPr>
    <w:rPr>
      <w:rFonts w:ascii="XO Thames" w:hAnsi="XO Thames"/>
      <w:b w:val="1"/>
      <w:sz w:val="26"/>
    </w:rPr>
  </w:style>
  <w:style w:styleId="Style_7_ch" w:type="character">
    <w:name w:val="heading 3"/>
    <w:link w:val="Style_7"/>
    <w:rPr>
      <w:rFonts w:ascii="XO Thames" w:hAnsi="XO Thames"/>
      <w:b w:val="1"/>
      <w:sz w:val="26"/>
    </w:rPr>
  </w:style>
  <w:style w:styleId="Style_8" w:type="paragraph">
    <w:name w:val="toc 3"/>
    <w:next w:val="Style_1"/>
    <w:link w:val="Style_8_ch"/>
    <w:uiPriority w:val="39"/>
    <w:pPr>
      <w:widowControl w:val="1"/>
      <w:ind w:firstLine="0" w:left="400"/>
      <w:jc w:val="left"/>
    </w:pPr>
    <w:rPr>
      <w:rFonts w:ascii="XO Thames" w:hAnsi="XO Thames"/>
      <w:sz w:val="28"/>
    </w:rPr>
  </w:style>
  <w:style w:styleId="Style_8_ch" w:type="character">
    <w:name w:val="toc 3"/>
    <w:link w:val="Style_8"/>
    <w:rPr>
      <w:rFonts w:ascii="XO Thames" w:hAnsi="XO Thames"/>
      <w:sz w:val="28"/>
    </w:rPr>
  </w:style>
  <w:style w:styleId="Style_9" w:type="paragraph">
    <w:name w:val="heading 5"/>
    <w:next w:val="Style_1"/>
    <w:link w:val="Style_9_ch"/>
    <w:uiPriority w:val="9"/>
    <w:qFormat/>
    <w:pPr>
      <w:widowControl w:val="1"/>
      <w:spacing w:after="120" w:before="120"/>
      <w:ind/>
      <w:jc w:val="both"/>
      <w:outlineLvl w:val="4"/>
    </w:pPr>
    <w:rPr>
      <w:rFonts w:ascii="XO Thames" w:hAnsi="XO Thames"/>
      <w:b w:val="1"/>
      <w:sz w:val="22"/>
    </w:rPr>
  </w:style>
  <w:style w:styleId="Style_9_ch" w:type="character">
    <w:name w:val="heading 5"/>
    <w:link w:val="Style_9"/>
    <w:rPr>
      <w:rFonts w:ascii="XO Thames" w:hAnsi="XO Thames"/>
      <w:b w:val="1"/>
      <w:sz w:val="22"/>
    </w:rPr>
  </w:style>
  <w:style w:styleId="Style_10" w:type="paragraph">
    <w:name w:val="heading 1"/>
    <w:next w:val="Style_1"/>
    <w:link w:val="Style_10_ch"/>
    <w:uiPriority w:val="9"/>
    <w:qFormat/>
    <w:pPr>
      <w:widowControl w:val="1"/>
      <w:spacing w:after="120" w:before="120"/>
      <w:ind/>
      <w:jc w:val="both"/>
      <w:outlineLvl w:val="0"/>
    </w:pPr>
    <w:rPr>
      <w:rFonts w:ascii="XO Thames" w:hAnsi="XO Thames"/>
      <w:b w:val="1"/>
      <w:sz w:val="32"/>
    </w:rPr>
  </w:style>
  <w:style w:styleId="Style_10_ch" w:type="character">
    <w:name w:val="heading 1"/>
    <w:link w:val="Style_10"/>
    <w:rPr>
      <w:rFonts w:ascii="XO Thames" w:hAnsi="XO Thames"/>
      <w:b w:val="1"/>
      <w:sz w:val="32"/>
    </w:rPr>
  </w:style>
  <w:style w:styleId="Style_11" w:type="paragraph">
    <w:name w:val="Hyperlink"/>
    <w:link w:val="Style_11_ch"/>
    <w:rPr>
      <w:color w:val="0000FF"/>
      <w:u w:val="single"/>
    </w:rPr>
  </w:style>
  <w:style w:styleId="Style_11_ch" w:type="character">
    <w:name w:val="Hyperlink"/>
    <w:link w:val="Style_11"/>
    <w:rPr>
      <w:color w:val="0000FF"/>
      <w:u w:val="single"/>
    </w:rPr>
  </w:style>
  <w:style w:styleId="Style_12" w:type="paragraph">
    <w:name w:val="Footnote"/>
    <w:link w:val="Style_12_ch"/>
    <w:pPr>
      <w:widowControl w:val="1"/>
      <w:ind w:firstLine="851" w:left="0"/>
      <w:jc w:val="both"/>
    </w:pPr>
    <w:rPr>
      <w:rFonts w:ascii="XO Thames" w:hAnsi="XO Thames"/>
      <w:sz w:val="22"/>
    </w:rPr>
  </w:style>
  <w:style w:styleId="Style_12_ch" w:type="character">
    <w:name w:val="Footnote"/>
    <w:link w:val="Style_12"/>
    <w:rPr>
      <w:rFonts w:ascii="XO Thames" w:hAnsi="XO Thames"/>
      <w:sz w:val="22"/>
    </w:rPr>
  </w:style>
  <w:style w:styleId="Style_13" w:type="paragraph">
    <w:name w:val="toc 1"/>
    <w:next w:val="Style_1"/>
    <w:link w:val="Style_13_ch"/>
    <w:uiPriority w:val="39"/>
    <w:pPr>
      <w:widowControl w:val="1"/>
      <w:ind w:firstLine="0" w:left="0"/>
      <w:jc w:val="left"/>
    </w:pPr>
    <w:rPr>
      <w:rFonts w:ascii="XO Thames" w:hAnsi="XO Thames"/>
      <w:b w:val="1"/>
      <w:sz w:val="28"/>
    </w:rPr>
  </w:style>
  <w:style w:styleId="Style_13_ch" w:type="character">
    <w:name w:val="toc 1"/>
    <w:link w:val="Style_13"/>
    <w:rPr>
      <w:rFonts w:ascii="XO Thames" w:hAnsi="XO Thames"/>
      <w:b w:val="1"/>
      <w:sz w:val="28"/>
    </w:rPr>
  </w:style>
  <w:style w:styleId="Style_14" w:type="paragraph">
    <w:name w:val="Header and Footer"/>
    <w:link w:val="Style_14_ch"/>
    <w:pPr>
      <w:widowControl w:val="1"/>
      <w:spacing w:line="240" w:lineRule="auto"/>
      <w:ind/>
      <w:jc w:val="both"/>
    </w:pPr>
    <w:rPr>
      <w:rFonts w:ascii="XO Thames" w:hAnsi="XO Thames"/>
      <w:sz w:val="28"/>
    </w:rPr>
  </w:style>
  <w:style w:styleId="Style_14_ch" w:type="character">
    <w:name w:val="Header and Footer"/>
    <w:link w:val="Style_14"/>
    <w:rPr>
      <w:rFonts w:ascii="XO Thames" w:hAnsi="XO Thames"/>
      <w:sz w:val="28"/>
    </w:rPr>
  </w:style>
  <w:style w:styleId="Style_15" w:type="paragraph">
    <w:name w:val="toc 9"/>
    <w:next w:val="Style_1"/>
    <w:link w:val="Style_15_ch"/>
    <w:uiPriority w:val="39"/>
    <w:pPr>
      <w:widowControl w:val="1"/>
      <w:ind w:firstLine="0" w:left="1600"/>
      <w:jc w:val="left"/>
    </w:pPr>
    <w:rPr>
      <w:rFonts w:ascii="XO Thames" w:hAnsi="XO Thames"/>
      <w:sz w:val="28"/>
    </w:rPr>
  </w:style>
  <w:style w:styleId="Style_15_ch" w:type="character">
    <w:name w:val="toc 9"/>
    <w:link w:val="Style_15"/>
    <w:rPr>
      <w:rFonts w:ascii="XO Thames" w:hAnsi="XO Thames"/>
      <w:sz w:val="28"/>
    </w:rPr>
  </w:style>
  <w:style w:styleId="Style_16" w:type="paragraph">
    <w:name w:val="toc 8"/>
    <w:next w:val="Style_1"/>
    <w:link w:val="Style_16_ch"/>
    <w:uiPriority w:val="39"/>
    <w:pPr>
      <w:widowControl w:val="1"/>
      <w:ind w:firstLine="0" w:left="1400"/>
      <w:jc w:val="left"/>
    </w:pPr>
    <w:rPr>
      <w:rFonts w:ascii="XO Thames" w:hAnsi="XO Thames"/>
      <w:sz w:val="28"/>
    </w:rPr>
  </w:style>
  <w:style w:styleId="Style_16_ch" w:type="character">
    <w:name w:val="toc 8"/>
    <w:link w:val="Style_16"/>
    <w:rPr>
      <w:rFonts w:ascii="XO Thames" w:hAnsi="XO Thames"/>
      <w:sz w:val="28"/>
    </w:rPr>
  </w:style>
  <w:style w:styleId="Style_17" w:type="paragraph">
    <w:name w:val="toc 5"/>
    <w:next w:val="Style_1"/>
    <w:link w:val="Style_17_ch"/>
    <w:uiPriority w:val="39"/>
    <w:pPr>
      <w:widowControl w:val="1"/>
      <w:ind w:firstLine="0" w:left="800"/>
      <w:jc w:val="left"/>
    </w:pPr>
    <w:rPr>
      <w:rFonts w:ascii="XO Thames" w:hAnsi="XO Thames"/>
      <w:sz w:val="28"/>
    </w:rPr>
  </w:style>
  <w:style w:styleId="Style_17_ch" w:type="character">
    <w:name w:val="toc 5"/>
    <w:link w:val="Style_17"/>
    <w:rPr>
      <w:rFonts w:ascii="XO Thames" w:hAnsi="XO Thames"/>
      <w:sz w:val="28"/>
    </w:rPr>
  </w:style>
  <w:style w:styleId="Style_18" w:type="paragraph">
    <w:name w:val="Subtitle"/>
    <w:next w:val="Style_1"/>
    <w:link w:val="Style_18_ch"/>
    <w:uiPriority w:val="11"/>
    <w:qFormat/>
    <w:pPr>
      <w:widowControl w:val="1"/>
      <w:ind/>
      <w:jc w:val="both"/>
    </w:pPr>
    <w:rPr>
      <w:rFonts w:ascii="XO Thames" w:hAnsi="XO Thames"/>
      <w:i w:val="1"/>
      <w:sz w:val="24"/>
    </w:rPr>
  </w:style>
  <w:style w:styleId="Style_18_ch" w:type="character">
    <w:name w:val="Subtitle"/>
    <w:link w:val="Style_18"/>
    <w:rPr>
      <w:rFonts w:ascii="XO Thames" w:hAnsi="XO Thames"/>
      <w:i w:val="1"/>
      <w:sz w:val="24"/>
    </w:rPr>
  </w:style>
  <w:style w:styleId="Style_19" w:type="paragraph">
    <w:name w:val="Title"/>
    <w:next w:val="Style_1"/>
    <w:link w:val="Style_19_ch"/>
    <w:uiPriority w:val="10"/>
    <w:qFormat/>
    <w:pPr>
      <w:widowControl w:val="1"/>
      <w:spacing w:after="567" w:before="567"/>
      <w:ind/>
      <w:jc w:val="center"/>
    </w:pPr>
    <w:rPr>
      <w:rFonts w:ascii="XO Thames" w:hAnsi="XO Thames"/>
      <w:b w:val="1"/>
      <w:caps w:val="1"/>
      <w:sz w:val="40"/>
    </w:rPr>
  </w:style>
  <w:style w:styleId="Style_19_ch" w:type="character">
    <w:name w:val="Title"/>
    <w:link w:val="Style_19"/>
    <w:rPr>
      <w:rFonts w:ascii="XO Thames" w:hAnsi="XO Thames"/>
      <w:b w:val="1"/>
      <w:caps w:val="1"/>
      <w:sz w:val="40"/>
    </w:rPr>
  </w:style>
  <w:style w:styleId="Style_20" w:type="paragraph">
    <w:name w:val="heading 4"/>
    <w:next w:val="Style_1"/>
    <w:link w:val="Style_20_ch"/>
    <w:uiPriority w:val="9"/>
    <w:qFormat/>
    <w:pPr>
      <w:widowControl w:val="1"/>
      <w:spacing w:after="120" w:before="120"/>
      <w:ind/>
      <w:jc w:val="both"/>
      <w:outlineLvl w:val="3"/>
    </w:pPr>
    <w:rPr>
      <w:rFonts w:ascii="XO Thames" w:hAnsi="XO Thames"/>
      <w:b w:val="1"/>
      <w:sz w:val="24"/>
    </w:rPr>
  </w:style>
  <w:style w:styleId="Style_20_ch" w:type="character">
    <w:name w:val="heading 4"/>
    <w:link w:val="Style_20"/>
    <w:rPr>
      <w:rFonts w:ascii="XO Thames" w:hAnsi="XO Thames"/>
      <w:b w:val="1"/>
      <w:sz w:val="24"/>
    </w:rPr>
  </w:style>
  <w:style w:styleId="Style_21" w:type="paragraph">
    <w:name w:val="heading 2"/>
    <w:next w:val="Style_1"/>
    <w:link w:val="Style_21_ch"/>
    <w:uiPriority w:val="9"/>
    <w:qFormat/>
    <w:pPr>
      <w:widowControl w:val="1"/>
      <w:spacing w:after="120" w:before="120"/>
      <w:ind/>
      <w:jc w:val="both"/>
      <w:outlineLvl w:val="1"/>
    </w:pPr>
    <w:rPr>
      <w:rFonts w:ascii="XO Thames" w:hAnsi="XO Thames"/>
      <w:b w:val="1"/>
      <w:sz w:val="28"/>
    </w:rPr>
  </w:style>
  <w:style w:styleId="Style_21_ch" w:type="character">
    <w:name w:val="heading 2"/>
    <w:link w:val="Style_21"/>
    <w:rPr>
      <w:rFonts w:ascii="XO Thames" w:hAnsi="XO Thames"/>
      <w:b w:val="1"/>
      <w:sz w:val="28"/>
    </w:r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1" Target="fontTable.xml" Type="http://schemas.openxmlformats.org/officeDocument/2006/relationships/fontTable"/>
  <Relationship Id="rId2" Target="settings.xml" Type="http://schemas.openxmlformats.org/officeDocument/2006/relationships/settings"/>
  <Relationship Id="rId3" Target="styles.xml" Type="http://schemas.openxmlformats.org/officeDocument/2006/relationships/styles"/>
  <Relationship Id="rId8" Target="endnotes.xml" Type="http://schemas.openxmlformats.org/officeDocument/2006/relationships/endnotes"/>
  <Relationship Id="rId4" Target="stylesWithEffects.xml" Type="http://schemas.microsoft.com/office/2007/relationships/stylesWithEffects"/>
  <Relationship Id="rId9" Target="numbering.xml" Type="http://schemas.openxmlformats.org/officeDocument/2006/relationships/numbering"/>
  <Relationship Id="rId7" Target="footnotes.xml" Type="http://schemas.openxmlformats.org/officeDocument/2006/relationships/footnotes"/>
  <Relationship Id="rId5" Target="webSettings.xml" Type="http://schemas.openxmlformats.org/officeDocument/2006/relationships/webSetting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63000"/>
                <a:satMod val="300000"/>
              </a:schemeClr>
            </a:gs>
            <a:gs pos="100000">
              <a:schemeClr val="phClr">
                <a:tint val="8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6350">
          <a:solidFill>
            <a:schemeClr val="phClr">
              <a:shade val="95000"/>
              <a:satMod val="105000"/>
            </a:scheme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60000"/>
                <a:satMod val="350000"/>
              </a:schemeClr>
            </a:gs>
            <a:gs pos="40000">
              <a:schemeClr val="phClr">
                <a:tint val="55000"/>
                <a:shade val="99000"/>
                <a:satMod val="350000"/>
              </a:schemeClr>
            </a:gs>
            <a:gs pos="100000">
              <a:schemeClr val="phClr">
                <a:shade val="20000"/>
                <a:satMod val="255000"/>
              </a:schemeClr>
            </a:gs>
          </a:gsLst>
        </a:gradFill>
        <a:gradFill>
          <a:gsLst>
            <a:gs pos="0">
              <a:schemeClr val="phClr">
                <a:tint val="2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MyOffice-CoreFramework-Linux/38-1384.1107.10199.1019.1@18975027e3ee4b688e27426d4a78178cb841a344</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2026-08-03T00:40:39Z</dcterms:created>
  <dcterms:modified xsi:type="dcterms:W3CDTF">2026-08-06T06:43:53Z</dcterms:modified>
</cp:coreProperties>
</file>