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W w:type="auto" w:w="0"/>
        <w:tblLayout w:type="fixed"/>
      </w:tblPr>
      <w:tblGrid>
        <w:gridCol w:w="4045"/>
        <w:gridCol w:w="1296"/>
        <w:gridCol w:w="4722"/>
      </w:tblGrid>
      <w:tr>
        <w:tc>
          <w:tcPr>
            <w:tcW w:type="dxa" w:w="4045"/>
            <w:shd w:fill="auto" w:val="clear"/>
          </w:tcPr>
          <w:p w14:paraId="01000000">
            <w:pPr>
              <w:widowControl w:val="0"/>
              <w:ind/>
              <w:jc w:val="center"/>
              <w:rPr>
                <w:b w:val="1"/>
              </w:rPr>
            </w:pPr>
          </w:p>
          <w:p w14:paraId="02000000">
            <w:pPr>
              <w:widowControl w:val="0"/>
              <w:ind/>
              <w:jc w:val="center"/>
              <w:rPr>
                <w:b w:val="1"/>
              </w:rPr>
            </w:pPr>
            <w:r>
              <w:rPr>
                <w:b w:val="1"/>
              </w:rPr>
              <w:t xml:space="preserve">Министерство </w:t>
            </w:r>
            <w:r>
              <w:rPr>
                <w:b w:val="1"/>
              </w:rPr>
              <w:t xml:space="preserve">предпринимательства, </w:t>
            </w:r>
          </w:p>
          <w:p w14:paraId="03000000">
            <w:pPr>
              <w:widowControl w:val="0"/>
              <w:ind/>
              <w:jc w:val="center"/>
              <w:rPr>
                <w:b w:val="1"/>
              </w:rPr>
            </w:pPr>
            <w:r>
              <w:rPr>
                <w:b w:val="1"/>
              </w:rPr>
              <w:t xml:space="preserve">торговли и туризма </w:t>
            </w:r>
          </w:p>
          <w:p w14:paraId="04000000">
            <w:pPr>
              <w:widowControl w:val="0"/>
              <w:ind/>
              <w:jc w:val="center"/>
            </w:pPr>
            <w:r>
              <w:rPr>
                <w:b w:val="1"/>
              </w:rPr>
              <w:t>Республики Саха (Якутия)</w:t>
            </w:r>
          </w:p>
        </w:tc>
        <w:tc>
          <w:tcPr>
            <w:tcW w:type="dxa" w:w="1296"/>
            <w:shd w:fill="auto" w:val="clear"/>
          </w:tcPr>
          <w:p w14:paraId="05000000">
            <w:r>
              <w:rPr>
                <w:rFonts w:ascii="Times Sakha" w:hAnsi="Times Sakha"/>
                <w:color w:val="0000FF"/>
              </w:rPr>
              <w:drawing>
                <wp:inline>
                  <wp:extent cx="676275" cy="676275"/>
                  <wp:effectExtent b="0" l="0" r="0" t="0"/>
                  <wp:docPr hidden="false" id="2" name="Picture 2"/>
                  <a:graphic>
                    <a:graphicData uri="http://schemas.openxmlformats.org/drawingml/2006/picture">
                      <pic:pic>
                        <pic:nvPicPr>
                          <pic:cNvPr hidden="false" id="1" name="Picture 1"/>
                          <pic:cNvPicPr preferRelativeResize="true"/>
                        </pic:nvPicPr>
                        <pic:blipFill>
                          <a:blip r:embed="rId1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676275" cy="6762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22"/>
            <w:shd w:fill="auto" w:val="clear"/>
          </w:tcPr>
          <w:p w14:paraId="06000000">
            <w:pPr>
              <w:widowControl w:val="0"/>
              <w:ind/>
              <w:jc w:val="center"/>
              <w:rPr>
                <w:b w:val="1"/>
              </w:rPr>
            </w:pPr>
          </w:p>
          <w:p w14:paraId="07000000">
            <w:pPr>
              <w:widowControl w:val="0"/>
              <w:ind/>
              <w:jc w:val="center"/>
              <w:rPr>
                <w:b w:val="1"/>
              </w:rPr>
            </w:pPr>
            <w:r>
              <w:rPr>
                <w:b w:val="1"/>
              </w:rPr>
              <w:t xml:space="preserve">Саха Өрөспүүбүлүкэтин </w:t>
            </w:r>
          </w:p>
          <w:p w14:paraId="08000000">
            <w:pPr>
              <w:widowControl w:val="0"/>
              <w:ind/>
              <w:jc w:val="center"/>
              <w:rPr>
                <w:b w:val="1"/>
              </w:rPr>
            </w:pPr>
            <w:r>
              <w:rPr>
                <w:b w:val="1"/>
              </w:rPr>
              <w:t xml:space="preserve">Урбааҥҥа, эргиэҥҥэ уонна туризмҥа министиэристибэтэ </w:t>
            </w:r>
          </w:p>
          <w:p w14:paraId="09000000">
            <w:pPr>
              <w:widowControl w:val="0"/>
              <w:ind/>
              <w:jc w:val="center"/>
              <w:rPr>
                <w:b w:val="1"/>
              </w:rPr>
            </w:pPr>
          </w:p>
          <w:p w14:paraId="0A000000"/>
        </w:tc>
      </w:tr>
      <w:tr>
        <w:tc>
          <w:tcPr>
            <w:tcW w:type="dxa" w:w="10063"/>
            <w:gridSpan w:val="3"/>
            <w:shd w:fill="auto" w:val="clear"/>
          </w:tcPr>
          <w:p w14:paraId="0B000000">
            <w:pPr>
              <w:widowControl w:val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 xml:space="preserve">677000, пр.Ленина, </w:t>
            </w:r>
            <w:r>
              <w:rPr>
                <w:sz w:val="20"/>
              </w:rPr>
              <w:t>22</w:t>
            </w:r>
            <w:r>
              <w:rPr>
                <w:sz w:val="20"/>
              </w:rPr>
              <w:t>, Якутск, Республика Саха (Якутия)</w:t>
            </w:r>
          </w:p>
          <w:p w14:paraId="0C000000">
            <w:pPr>
              <w:widowControl w:val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тел.</w:t>
            </w:r>
            <w:r>
              <w:rPr>
                <w:sz w:val="20"/>
              </w:rPr>
              <w:t xml:space="preserve">: (4112) </w:t>
            </w:r>
            <w:r>
              <w:rPr>
                <w:sz w:val="20"/>
              </w:rPr>
              <w:t>506-224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e-mail</w:t>
            </w:r>
            <w:r>
              <w:rPr>
                <w:sz w:val="20"/>
              </w:rPr>
              <w:t xml:space="preserve">: </w:t>
            </w:r>
            <w:r>
              <w:rPr>
                <w:rStyle w:val="Style_2_ch"/>
                <w:sz w:val="20"/>
              </w:rPr>
              <w:fldChar w:fldCharType="begin"/>
            </w:r>
            <w:r>
              <w:rPr>
                <w:rStyle w:val="Style_2_ch"/>
                <w:sz w:val="20"/>
              </w:rPr>
              <w:instrText>HYPERLINK "mailto:minpred@sakha.gov.ru"</w:instrText>
            </w:r>
            <w:r>
              <w:rPr>
                <w:rStyle w:val="Style_2_ch"/>
                <w:sz w:val="20"/>
              </w:rPr>
              <w:fldChar w:fldCharType="separate"/>
            </w:r>
            <w:r>
              <w:rPr>
                <w:rStyle w:val="Style_2_ch"/>
                <w:sz w:val="20"/>
              </w:rPr>
              <w:t>minpred@sakha.gov.ru</w:t>
            </w:r>
            <w:r>
              <w:rPr>
                <w:rStyle w:val="Style_2_ch"/>
                <w:sz w:val="20"/>
              </w:rPr>
              <w:fldChar w:fldCharType="end"/>
            </w:r>
            <w:r>
              <w:rPr>
                <w:sz w:val="20"/>
              </w:rPr>
              <w:t>;</w:t>
            </w:r>
            <w:r>
              <w:rPr>
                <w:sz w:val="20"/>
              </w:rPr>
              <w:t xml:space="preserve"> https:// </w:t>
            </w:r>
            <w:r>
              <w:rPr>
                <w:rStyle w:val="Style_2_ch"/>
                <w:sz w:val="20"/>
              </w:rPr>
              <w:fldChar w:fldCharType="begin"/>
            </w:r>
            <w:r>
              <w:rPr>
                <w:rStyle w:val="Style_2_ch"/>
                <w:sz w:val="20"/>
              </w:rPr>
              <w:instrText>HYPERLINK "mailto:mininvest@sakha.gov.ru"</w:instrText>
            </w:r>
            <w:r>
              <w:rPr>
                <w:rStyle w:val="Style_2_ch"/>
                <w:sz w:val="20"/>
              </w:rPr>
              <w:fldChar w:fldCharType="separate"/>
            </w:r>
            <w:r>
              <w:rPr>
                <w:rStyle w:val="Style_2_ch"/>
                <w:sz w:val="20"/>
              </w:rPr>
              <w:t>minpred</w:t>
            </w:r>
            <w:r>
              <w:rPr>
                <w:rStyle w:val="Style_2_ch"/>
                <w:sz w:val="20"/>
              </w:rPr>
              <w:t>.sakha.gov.ru</w:t>
            </w:r>
            <w:r>
              <w:rPr>
                <w:rStyle w:val="Style_2_ch"/>
                <w:sz w:val="20"/>
              </w:rPr>
              <w:fldChar w:fldCharType="end"/>
            </w:r>
            <w:r>
              <w:rPr>
                <w:sz w:val="20"/>
              </w:rPr>
              <w:t>/</w:t>
            </w:r>
            <w:r>
              <w:rPr>
                <w:sz w:val="20"/>
              </w:rPr>
              <w:t xml:space="preserve">  </w:t>
            </w:r>
          </w:p>
          <w:p w14:paraId="0D000000">
            <w:pPr>
              <w:widowControl w:val="0"/>
              <w:ind/>
              <w:jc w:val="center"/>
            </w:pPr>
          </w:p>
        </w:tc>
      </w:tr>
      <w:tr>
        <w:trPr>
          <w:trHeight w:hRule="atLeast" w:val="267"/>
        </w:trPr>
        <w:tc>
          <w:tcPr>
            <w:tcW w:type="dxa" w:w="10063"/>
            <w:gridSpan w:val="3"/>
            <w:shd w:fill="auto" w:val="clear"/>
          </w:tcPr>
          <w:p w14:paraId="0E000000">
            <w:pPr>
              <w:rPr>
                <w:color w:val="FFFFFF"/>
                <w:sz w:val="20"/>
              </w:rPr>
            </w:pPr>
            <w:bookmarkStart w:id="1" w:name="regnumdatestamp"/>
            <w:r>
              <w:rPr>
                <w:color w:val="FFFFFF"/>
                <w:sz w:val="20"/>
              </w:rPr>
              <w:t>Дата и номер</w:t>
            </w:r>
            <w:bookmarkEnd w:id="1"/>
          </w:p>
          <w:p w14:paraId="0F000000">
            <w:pPr>
              <w:widowControl w:val="0"/>
              <w:ind/>
              <w:jc w:val="center"/>
              <w:rPr>
                <w:b w:val="1"/>
              </w:rPr>
            </w:pPr>
          </w:p>
        </w:tc>
      </w:tr>
    </w:tbl>
    <w:p w14:paraId="10000000">
      <w:pPr>
        <w:widowControl w:val="0"/>
        <w:ind w:firstLine="708" w:left="0"/>
        <w:jc w:val="center"/>
        <w:rPr>
          <w:sz w:val="24"/>
        </w:rPr>
      </w:pPr>
    </w:p>
    <w:p w14:paraId="11000000">
      <w:pPr>
        <w:widowControl w:val="0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СВОДНЫЙ ОТЧЕТ</w:t>
      </w:r>
    </w:p>
    <w:p w14:paraId="12000000">
      <w:pPr>
        <w:widowControl w:val="0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 результатах проведения оценки регулирующего</w:t>
      </w:r>
    </w:p>
    <w:p w14:paraId="13000000">
      <w:pPr>
        <w:widowControl w:val="0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воздействия проекта нормативного правового акта</w:t>
      </w:r>
    </w:p>
    <w:p w14:paraId="14000000">
      <w:pPr>
        <w:widowControl w:val="0"/>
        <w:ind/>
        <w:jc w:val="both"/>
        <w:rPr>
          <w:rFonts w:ascii="Times New Roman" w:hAnsi="Times New Roman"/>
          <w:sz w:val="24"/>
        </w:rPr>
      </w:pPr>
    </w:p>
    <w:p w14:paraId="15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1.</w:t>
      </w: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>Общая информация</w:t>
      </w:r>
    </w:p>
    <w:p w14:paraId="16000000">
      <w:pPr>
        <w:widowControl w:val="0"/>
        <w:tabs>
          <w:tab w:leader="none" w:pos="1134" w:val="left"/>
        </w:tabs>
        <w:ind w:firstLine="567" w:left="0"/>
        <w:jc w:val="both"/>
      </w:pPr>
      <w:r>
        <w:rPr>
          <w:rFonts w:ascii="Times New Roman" w:hAnsi="Times New Roman"/>
          <w:sz w:val="24"/>
          <w:u w:val="single"/>
        </w:rPr>
        <w:t>1.1.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>Орган-разработчик:</w:t>
      </w:r>
      <w:r>
        <w:rPr>
          <w:rFonts w:ascii="Times New Roman" w:hAnsi="Times New Roman"/>
          <w:sz w:val="24"/>
        </w:rPr>
        <w:t xml:space="preserve"> Министерство предпринимательства, торговли и туризма Республики Саха (Якутия)</w:t>
      </w:r>
    </w:p>
    <w:p w14:paraId="17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sz w:val="24"/>
        </w:rPr>
      </w:pPr>
    </w:p>
    <w:p w14:paraId="18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>1.2.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>Вид и наименование проекта нормативного правового акта:</w:t>
      </w:r>
      <w:r>
        <w:rPr>
          <w:rFonts w:ascii="Times New Roman" w:hAnsi="Times New Roman"/>
          <w:sz w:val="24"/>
          <w:u w:val="none"/>
        </w:rPr>
        <w:t xml:space="preserve"> </w:t>
      </w:r>
      <w:r>
        <w:rPr>
          <w:rFonts w:ascii="Times New Roman" w:hAnsi="Times New Roman"/>
          <w:sz w:val="24"/>
        </w:rPr>
        <w:t>Постановление Правительс</w:t>
      </w:r>
      <w:r>
        <w:rPr>
          <w:rFonts w:ascii="Times New Roman" w:hAnsi="Times New Roman"/>
          <w:sz w:val="24"/>
        </w:rPr>
        <w:t>тва Республики Саха (Якутия) «</w:t>
      </w:r>
      <w:r>
        <w:rPr>
          <w:rFonts w:ascii="Times New Roman" w:hAnsi="Times New Roman"/>
          <w:sz w:val="24"/>
        </w:rPr>
        <w:t>О внесении изменений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постановление Правительства Республики Саха (Якутия) от 24 сентября 2021 № 387 «Об утверждении </w:t>
      </w:r>
      <w:r>
        <w:rPr>
          <w:rFonts w:ascii="Times New Roman" w:hAnsi="Times New Roman"/>
          <w:sz w:val="24"/>
        </w:rPr>
        <w:t xml:space="preserve">положения о </w:t>
      </w:r>
      <w:r>
        <w:rPr>
          <w:rFonts w:ascii="Times New Roman" w:hAnsi="Times New Roman"/>
          <w:sz w:val="24"/>
        </w:rPr>
        <w:t>региональном государственном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контроле (надзоре) в области розничной продажи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алкогольной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 спиртосодержащей продукции на территории</w:t>
      </w:r>
      <w:r>
        <w:rPr>
          <w:rFonts w:ascii="Times New Roman" w:hAnsi="Times New Roman"/>
          <w:sz w:val="24"/>
        </w:rPr>
        <w:t xml:space="preserve"> Р</w:t>
      </w:r>
      <w:r>
        <w:rPr>
          <w:rFonts w:ascii="Times New Roman" w:hAnsi="Times New Roman"/>
          <w:sz w:val="24"/>
        </w:rPr>
        <w:t xml:space="preserve">еспублики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>аха (</w:t>
      </w:r>
      <w:r>
        <w:rPr>
          <w:rFonts w:ascii="Times New Roman" w:hAnsi="Times New Roman"/>
          <w:sz w:val="24"/>
        </w:rPr>
        <w:t>Я</w:t>
      </w:r>
      <w:r>
        <w:rPr>
          <w:rFonts w:ascii="Times New Roman" w:hAnsi="Times New Roman"/>
          <w:sz w:val="24"/>
        </w:rPr>
        <w:t>кутия)»</w:t>
      </w:r>
    </w:p>
    <w:p w14:paraId="19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sz w:val="24"/>
          <w:u w:val="none"/>
        </w:rPr>
      </w:pPr>
    </w:p>
    <w:p w14:paraId="1A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sz w:val="24"/>
          <w:u w:val="none"/>
        </w:rPr>
      </w:pPr>
      <w:r>
        <w:rPr>
          <w:rFonts w:ascii="Times New Roman" w:hAnsi="Times New Roman"/>
          <w:sz w:val="24"/>
          <w:u w:val="single"/>
        </w:rPr>
        <w:t>1.3.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 xml:space="preserve">Краткое описание проблемы, на </w:t>
      </w:r>
      <w:r>
        <w:rPr>
          <w:rFonts w:ascii="Times New Roman" w:hAnsi="Times New Roman"/>
          <w:sz w:val="24"/>
          <w:u w:val="single"/>
        </w:rPr>
        <w:t>решение которой направлено предлагаемое правовое регулирование:</w:t>
      </w:r>
      <w:r>
        <w:rPr>
          <w:rFonts w:ascii="Times New Roman" w:hAnsi="Times New Roman"/>
          <w:sz w:val="24"/>
          <w:u w:val="none"/>
        </w:rPr>
        <w:t xml:space="preserve"> </w:t>
      </w:r>
      <w:r>
        <w:rPr>
          <w:rFonts w:ascii="Times New Roman" w:hAnsi="Times New Roman"/>
          <w:sz w:val="24"/>
          <w:u w:val="none"/>
        </w:rPr>
        <w:t>приведение республиканского законодательства в соответствие  с федеральным.</w:t>
      </w:r>
    </w:p>
    <w:p w14:paraId="1B000000">
      <w:pPr>
        <w:widowControl w:val="0"/>
        <w:tabs>
          <w:tab w:leader="none" w:pos="1134" w:val="left"/>
        </w:tabs>
        <w:ind w:firstLine="567" w:left="0"/>
        <w:jc w:val="both"/>
        <w:rPr>
          <w:rFonts w:ascii="PT Astra Serif" w:hAnsi="PT Astra Serif"/>
          <w:sz w:val="24"/>
        </w:rPr>
      </w:pPr>
      <w:r>
        <w:rPr>
          <w:rStyle w:val="Style_3_ch"/>
          <w:rFonts w:ascii="PT Astra Serif" w:hAnsi="PT Astra Serif"/>
          <w:sz w:val="24"/>
        </w:rPr>
        <w:t xml:space="preserve"> Cовершенствование системы регионального государственного контроля (надзора) в области розничной продажи алкогольной и спиртосодержащей продукции</w:t>
      </w:r>
      <w:r>
        <w:rPr>
          <w:rStyle w:val="Style_3_ch"/>
          <w:rFonts w:ascii="PT Astra Serif" w:hAnsi="PT Astra Serif"/>
          <w:sz w:val="24"/>
        </w:rPr>
        <w:t>.</w:t>
      </w:r>
      <w:r>
        <w:rPr>
          <w:rFonts w:ascii="PT Astra Serif" w:hAnsi="PT Astra Serif"/>
          <w:sz w:val="24"/>
        </w:rPr>
        <w:t xml:space="preserve"> а также для</w:t>
      </w:r>
      <w:r>
        <w:rPr>
          <w:rFonts w:ascii="PT Astra Serif" w:hAnsi="PT Astra Serif"/>
          <w:sz w:val="24"/>
        </w:rPr>
        <w:t xml:space="preserve"> снижения административного барьера,</w:t>
      </w:r>
      <w:r>
        <w:rPr>
          <w:rFonts w:ascii="PT Astra Serif" w:hAnsi="PT Astra Serif"/>
          <w:sz w:val="24"/>
        </w:rPr>
        <w:t xml:space="preserve"> создания прозрачного и контролируемого рынка в сфере оборота алкогольной продукции</w:t>
      </w:r>
      <w:r>
        <w:rPr>
          <w:rFonts w:ascii="PT Astra Serif" w:hAnsi="PT Astra Serif"/>
          <w:sz w:val="24"/>
        </w:rPr>
        <w:t>.</w:t>
      </w:r>
    </w:p>
    <w:p w14:paraId="1C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sz w:val="24"/>
        </w:rPr>
      </w:pPr>
    </w:p>
    <w:p w14:paraId="1D000000">
      <w:pPr>
        <w:widowControl w:val="0"/>
        <w:tabs>
          <w:tab w:leader="none" w:pos="1134" w:val="left"/>
        </w:tabs>
        <w:ind w:firstLine="567" w:left="0"/>
        <w:jc w:val="both"/>
      </w:pPr>
      <w:r>
        <w:rPr>
          <w:rFonts w:ascii="Times New Roman" w:hAnsi="Times New Roman"/>
          <w:sz w:val="24"/>
          <w:u w:val="single"/>
        </w:rPr>
        <w:t>1.4.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>Краткое описание целей предлагаемого правового регулирования:</w:t>
      </w:r>
      <w:r>
        <w:rPr>
          <w:rFonts w:ascii="Times New Roman" w:hAnsi="Times New Roman"/>
          <w:sz w:val="24"/>
          <w:u w:val="none"/>
        </w:rPr>
        <w:t xml:space="preserve"> осуществление </w:t>
      </w:r>
      <w:r>
        <w:rPr>
          <w:rFonts w:ascii="Times New Roman" w:hAnsi="Times New Roman"/>
          <w:sz w:val="24"/>
        </w:rPr>
        <w:t>регионального государственного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контроля (надзора) в области розничной продажи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алкогольной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 спиртосодержащей продукции в соответствии с Федеральным законом от 31.07.2020 № 248-ФЗ «О государственном контроле (надзоре) и муниципальном контроле в Российской Федерации».</w:t>
      </w:r>
    </w:p>
    <w:p w14:paraId="1E000000">
      <w:pPr>
        <w:widowControl w:val="0"/>
        <w:ind w:firstLine="567" w:left="0"/>
        <w:jc w:val="both"/>
        <w:rPr>
          <w:rFonts w:ascii="Times New Roman" w:hAnsi="Times New Roman"/>
          <w:sz w:val="24"/>
        </w:rPr>
      </w:pPr>
    </w:p>
    <w:p w14:paraId="1F000000">
      <w:pPr>
        <w:widowControl w:val="0"/>
        <w:tabs>
          <w:tab w:leader="none" w:pos="1134" w:val="left"/>
        </w:tabs>
        <w:ind w:firstLine="567" w:left="0"/>
        <w:jc w:val="both"/>
        <w:rPr>
          <w:rFonts w:ascii="PT Astra Serif" w:hAnsi="PT Astra Serif"/>
          <w:sz w:val="24"/>
        </w:rPr>
      </w:pPr>
      <w:r>
        <w:rPr>
          <w:rFonts w:ascii="Times New Roman" w:hAnsi="Times New Roman"/>
          <w:sz w:val="24"/>
          <w:u w:val="single"/>
        </w:rPr>
        <w:t>1.5.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>Краткое описание содержания предлагаемого правового регулирования</w:t>
      </w:r>
      <w:r>
        <w:rPr>
          <w:rFonts w:ascii="Times New Roman" w:hAnsi="Times New Roman"/>
          <w:sz w:val="24"/>
          <w:u w:val="none"/>
        </w:rPr>
        <w:t xml:space="preserve">: </w:t>
      </w:r>
      <w:r>
        <w:rPr>
          <w:rFonts w:ascii="PT Astra Serif" w:hAnsi="PT Astra Serif"/>
          <w:sz w:val="24"/>
        </w:rPr>
        <w:t>Индикаторы риска нарушения обязательных требований для проведения внеплановых проверок в рамках регионального государственного контроля за розничной продажей алкогольной и спиртосодержащей продукции на территории Республики Саха (Якутия) разработаны на основе типовых индикаторов Федеральной службы по контролю за алкогольным и табачным рынками (Росалкогольтабакконтроль).</w:t>
      </w:r>
      <w:r>
        <w:rPr>
          <w:rFonts w:ascii="PT Astra Serif" w:hAnsi="PT Astra Serif"/>
          <w:sz w:val="24"/>
        </w:rPr>
        <w:t xml:space="preserve">Основанием послужил протокол совещания в Минэкономразвития России от 9 апреля 2026 г. № 16-Д24 «Об организации и осуществлении регионального государственного контроля </w:t>
      </w:r>
      <w:r>
        <w:rPr>
          <w:rFonts w:ascii="PT Astra Serif" w:hAnsi="PT Astra Serif"/>
          <w:sz w:val="24"/>
        </w:rPr>
        <w:t>(надзора) в области розничной продажи алкогольной и спиртосодержащей продукции»</w:t>
      </w:r>
      <w:r>
        <w:rPr>
          <w:rFonts w:ascii="PT Astra Serif" w:hAnsi="PT Astra Serif"/>
          <w:sz w:val="24"/>
        </w:rPr>
        <w:t>.</w:t>
      </w:r>
    </w:p>
    <w:p w14:paraId="20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sz w:val="24"/>
          <w:u w:val="none"/>
        </w:rPr>
      </w:pPr>
    </w:p>
    <w:p w14:paraId="21000000">
      <w:pPr>
        <w:widowControl w:val="0"/>
        <w:tabs>
          <w:tab w:leader="none" w:pos="1134" w:val="left"/>
        </w:tabs>
        <w:ind w:firstLine="567" w:left="0"/>
        <w:jc w:val="both"/>
      </w:pPr>
      <w:r>
        <w:rPr>
          <w:rFonts w:ascii="Times New Roman" w:hAnsi="Times New Roman"/>
          <w:sz w:val="24"/>
          <w:u w:val="single"/>
        </w:rPr>
        <w:t>1.6.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>Контактная информация исполнителя в органе-р</w:t>
      </w:r>
      <w:r>
        <w:rPr>
          <w:rFonts w:ascii="Times New Roman" w:hAnsi="Times New Roman"/>
          <w:sz w:val="24"/>
          <w:u w:val="single"/>
        </w:rPr>
        <w:t>азработчике:</w:t>
      </w:r>
    </w:p>
    <w:p w14:paraId="22000000">
      <w:pPr>
        <w:widowControl w:val="0"/>
        <w:ind w:firstLine="567" w:left="0"/>
        <w:jc w:val="both"/>
      </w:pPr>
      <w:r>
        <w:rPr>
          <w:rFonts w:ascii="Times New Roman" w:hAnsi="Times New Roman"/>
          <w:sz w:val="24"/>
        </w:rPr>
        <w:t xml:space="preserve">Ф.И.О: Григорьев Василий Петрович </w:t>
      </w:r>
    </w:p>
    <w:p w14:paraId="23000000">
      <w:pPr>
        <w:widowControl w:val="0"/>
        <w:ind w:firstLine="567" w:left="0"/>
        <w:jc w:val="both"/>
      </w:pPr>
      <w:r>
        <w:rPr>
          <w:rFonts w:ascii="Times New Roman" w:hAnsi="Times New Roman"/>
          <w:sz w:val="24"/>
        </w:rPr>
        <w:t>Должность: руководитель отдела регулирования алкогольного рынка</w:t>
      </w:r>
    </w:p>
    <w:p w14:paraId="24000000">
      <w:pPr>
        <w:widowControl w:val="0"/>
        <w:ind w:firstLine="567" w:left="0"/>
        <w:jc w:val="both"/>
      </w:pPr>
      <w:r>
        <w:rPr>
          <w:rFonts w:ascii="Times New Roman" w:hAnsi="Times New Roman"/>
          <w:sz w:val="24"/>
        </w:rPr>
        <w:t xml:space="preserve">Телефон, адрес электронной почты: 8(4112) 507-512, IP 6-38-12, </w:t>
      </w:r>
      <w:r>
        <w:rPr>
          <w:rStyle w:val="Style_2_ch"/>
          <w:rFonts w:ascii="Times New Roman" w:hAnsi="Times New Roman"/>
          <w:sz w:val="24"/>
        </w:rPr>
        <w:fldChar w:fldCharType="begin"/>
      </w:r>
      <w:r>
        <w:rPr>
          <w:rStyle w:val="Style_2_ch"/>
          <w:rFonts w:ascii="Times New Roman" w:hAnsi="Times New Roman"/>
          <w:sz w:val="24"/>
        </w:rPr>
        <w:instrText>HYPERLINK "mailto:grigoryev.vp@sakha.gov.ru"</w:instrText>
      </w:r>
      <w:r>
        <w:rPr>
          <w:rStyle w:val="Style_2_ch"/>
          <w:rFonts w:ascii="Times New Roman" w:hAnsi="Times New Roman"/>
          <w:sz w:val="24"/>
        </w:rPr>
        <w:fldChar w:fldCharType="separate"/>
      </w:r>
      <w:r>
        <w:rPr>
          <w:rStyle w:val="Style_2_ch"/>
          <w:rFonts w:ascii="Times New Roman" w:hAnsi="Times New Roman"/>
          <w:sz w:val="24"/>
        </w:rPr>
        <w:t>grigoryev.vp@sakha.gov.ru</w:t>
      </w:r>
      <w:r>
        <w:rPr>
          <w:rStyle w:val="Style_2_ch"/>
          <w:rFonts w:ascii="Times New Roman" w:hAnsi="Times New Roman"/>
          <w:sz w:val="24"/>
        </w:rPr>
        <w:fldChar w:fldCharType="end"/>
      </w:r>
      <w:r>
        <w:t xml:space="preserve"> </w:t>
      </w:r>
    </w:p>
    <w:p w14:paraId="25000000">
      <w:pPr>
        <w:widowControl w:val="0"/>
        <w:ind w:firstLine="567" w:left="0"/>
        <w:jc w:val="both"/>
      </w:pPr>
    </w:p>
    <w:p w14:paraId="26000000">
      <w:pPr>
        <w:widowControl w:val="0"/>
        <w:tabs>
          <w:tab w:leader="none" w:pos="1134" w:val="left"/>
        </w:tabs>
        <w:ind w:firstLine="567" w:left="0"/>
        <w:jc w:val="both"/>
        <w:rPr>
          <w:u w:val="none"/>
        </w:rPr>
      </w:pPr>
      <w:r>
        <w:rPr>
          <w:rFonts w:ascii="Times New Roman" w:hAnsi="Times New Roman"/>
          <w:sz w:val="24"/>
          <w:u w:val="single"/>
        </w:rPr>
        <w:t>1.7.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>Степень регулирующего воздействия проекта нормативного правового акта:</w:t>
      </w:r>
      <w:r>
        <w:rPr>
          <w:rFonts w:ascii="Times New Roman" w:hAnsi="Times New Roman"/>
          <w:sz w:val="24"/>
          <w:u w:val="none"/>
        </w:rPr>
        <w:t xml:space="preserve"> низкая степень регулирующего воздействия.</w:t>
      </w:r>
    </w:p>
    <w:p w14:paraId="27000000">
      <w:pPr>
        <w:widowControl w:val="0"/>
        <w:ind w:firstLine="567" w:left="0"/>
        <w:jc w:val="both"/>
        <w:rPr>
          <w:rFonts w:ascii="Times New Roman" w:hAnsi="Times New Roman"/>
          <w:sz w:val="24"/>
        </w:rPr>
      </w:pPr>
    </w:p>
    <w:p w14:paraId="28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sz w:val="24"/>
          <w:u w:val="none"/>
        </w:rPr>
      </w:pPr>
      <w:r>
        <w:rPr>
          <w:rFonts w:ascii="Times New Roman" w:hAnsi="Times New Roman"/>
          <w:sz w:val="24"/>
          <w:u w:val="single"/>
        </w:rPr>
        <w:t>1.8.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>Обоснование отнесения проекта нормативного правового акта к определенной степени регулирующего воздействи</w:t>
      </w:r>
      <w:r>
        <w:rPr>
          <w:rFonts w:ascii="Times New Roman" w:hAnsi="Times New Roman"/>
          <w:sz w:val="24"/>
          <w:u w:val="single"/>
        </w:rPr>
        <w:t>я:</w:t>
      </w:r>
      <w:r>
        <w:rPr>
          <w:rFonts w:ascii="Times New Roman" w:hAnsi="Times New Roman"/>
          <w:sz w:val="24"/>
          <w:u w:val="none"/>
        </w:rPr>
        <w:t xml:space="preserve"> п</w:t>
      </w:r>
      <w:r>
        <w:rPr>
          <w:rFonts w:ascii="Times New Roman" w:hAnsi="Times New Roman"/>
          <w:sz w:val="24"/>
          <w:u w:val="none"/>
        </w:rPr>
        <w:t>роект не содержит положений, предусмотренных абзацами 2,</w:t>
      </w:r>
      <w:r>
        <w:rPr>
          <w:rFonts w:ascii="Times New Roman" w:hAnsi="Times New Roman"/>
          <w:sz w:val="24"/>
          <w:u w:val="none"/>
        </w:rPr>
        <w:t xml:space="preserve"> 3 пункта 1.12 Положения об оценке регулирующего воздействия проектов нормативных актов Республики Саха (Якутия), подготовленных органами исполнительной власти Республики Саха (Якутия), утвержденное Указом Главы Республики Саха (Якутия) от 19.06.2023 № 2911.</w:t>
      </w:r>
    </w:p>
    <w:p w14:paraId="29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sz w:val="24"/>
        </w:rPr>
      </w:pPr>
    </w:p>
    <w:p w14:paraId="2A000000">
      <w:pPr>
        <w:widowControl w:val="0"/>
        <w:tabs>
          <w:tab w:leader="none" w:pos="1134" w:val="left"/>
        </w:tabs>
        <w:ind w:firstLine="567" w:left="0"/>
        <w:jc w:val="both"/>
        <w:rPr>
          <w:u w:val="single"/>
        </w:rPr>
      </w:pPr>
      <w:r>
        <w:rPr>
          <w:rFonts w:ascii="Times New Roman" w:hAnsi="Times New Roman"/>
          <w:b w:val="1"/>
          <w:sz w:val="24"/>
        </w:rPr>
        <w:t>2.</w:t>
      </w: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>Описание проблемы, на решение которой направлено предлагаемое правовое регулирование</w:t>
      </w:r>
    </w:p>
    <w:p w14:paraId="2B000000">
      <w:pPr>
        <w:widowControl w:val="0"/>
        <w:tabs>
          <w:tab w:leader="none" w:pos="1134" w:val="left"/>
        </w:tabs>
        <w:ind w:firstLine="567" w:left="0"/>
        <w:jc w:val="both"/>
        <w:rPr>
          <w:rFonts w:ascii="PT Astra Serif" w:hAnsi="PT Astra Serif"/>
          <w:sz w:val="24"/>
        </w:rPr>
      </w:pPr>
      <w:r>
        <w:rPr>
          <w:rFonts w:ascii="Times New Roman" w:hAnsi="Times New Roman"/>
          <w:sz w:val="24"/>
          <w:u w:val="single"/>
        </w:rPr>
        <w:t>2.1.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>Формулировка проблемы:</w:t>
      </w:r>
      <w:r>
        <w:rPr>
          <w:rStyle w:val="Style_3_ch"/>
          <w:rFonts w:ascii="PT Astra Serif" w:hAnsi="PT Astra Serif"/>
          <w:sz w:val="24"/>
        </w:rPr>
        <w:t xml:space="preserve"> Cовершенствование системы регионального государственного контроля (надзора) в области розничной продажи алкогольной и спиртосодержащей продукции</w:t>
      </w:r>
      <w:r>
        <w:rPr>
          <w:rStyle w:val="Style_3_ch"/>
          <w:rFonts w:ascii="PT Astra Serif" w:hAnsi="PT Astra Serif"/>
          <w:sz w:val="24"/>
        </w:rPr>
        <w:t>.</w:t>
      </w:r>
      <w:r>
        <w:rPr>
          <w:rFonts w:ascii="PT Astra Serif" w:hAnsi="PT Astra Serif"/>
          <w:sz w:val="24"/>
        </w:rPr>
        <w:t xml:space="preserve"> а также для</w:t>
      </w:r>
      <w:r>
        <w:rPr>
          <w:rFonts w:ascii="PT Astra Serif" w:hAnsi="PT Astra Serif"/>
          <w:sz w:val="24"/>
        </w:rPr>
        <w:t xml:space="preserve"> снижения административного барьера,</w:t>
      </w:r>
      <w:r>
        <w:rPr>
          <w:rFonts w:ascii="PT Astra Serif" w:hAnsi="PT Astra Serif"/>
          <w:sz w:val="24"/>
        </w:rPr>
        <w:t xml:space="preserve"> создания прозрачного и контролируемого рынка в сфере оборота алкогольной продукции</w:t>
      </w:r>
      <w:r>
        <w:rPr>
          <w:rFonts w:ascii="PT Astra Serif" w:hAnsi="PT Astra Serif"/>
          <w:sz w:val="24"/>
        </w:rPr>
        <w:t>.</w:t>
      </w:r>
    </w:p>
    <w:p w14:paraId="2C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sz w:val="24"/>
          <w:u w:val="single"/>
        </w:rPr>
      </w:pPr>
    </w:p>
    <w:p w14:paraId="2D000000">
      <w:pPr>
        <w:widowControl w:val="0"/>
        <w:spacing w:after="0"/>
        <w:ind w:firstLine="567" w:left="0"/>
        <w:jc w:val="left"/>
      </w:pPr>
    </w:p>
    <w:p w14:paraId="2E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sz w:val="24"/>
          <w:u w:val="none"/>
        </w:rPr>
      </w:pPr>
      <w:r>
        <w:rPr>
          <w:rFonts w:ascii="Times New Roman" w:hAnsi="Times New Roman"/>
          <w:sz w:val="24"/>
          <w:u w:val="single"/>
        </w:rPr>
        <w:t>2.2.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 xml:space="preserve">Информация о возникновении, выявлении проблемы и мерах, принятых ранее для ее решения, достигнутых результатах и затраченных </w:t>
      </w:r>
      <w:r>
        <w:rPr>
          <w:rFonts w:ascii="Times New Roman" w:hAnsi="Times New Roman"/>
          <w:sz w:val="24"/>
          <w:u w:val="single"/>
        </w:rPr>
        <w:t>ресурсах:</w:t>
      </w:r>
      <w:r>
        <w:rPr>
          <w:rFonts w:ascii="Times New Roman" w:hAnsi="Times New Roman"/>
          <w:sz w:val="24"/>
          <w:u w:val="none"/>
        </w:rPr>
        <w:t xml:space="preserve"> отсутствует.</w:t>
      </w:r>
    </w:p>
    <w:p w14:paraId="2F000000">
      <w:pPr>
        <w:widowControl w:val="0"/>
        <w:spacing w:after="0"/>
        <w:ind w:firstLine="567" w:left="0"/>
        <w:rPr>
          <w:rFonts w:ascii="Times New Roman" w:hAnsi="Times New Roman"/>
          <w:sz w:val="24"/>
        </w:rPr>
      </w:pPr>
    </w:p>
    <w:p w14:paraId="30000000">
      <w:pPr>
        <w:widowControl w:val="0"/>
        <w:tabs>
          <w:tab w:leader="none" w:pos="1134" w:val="left"/>
        </w:tabs>
        <w:ind w:firstLine="567" w:left="0"/>
        <w:jc w:val="both"/>
        <w:rPr>
          <w:u w:val="none"/>
        </w:rPr>
      </w:pPr>
      <w:r>
        <w:rPr>
          <w:rFonts w:ascii="Times New Roman" w:hAnsi="Times New Roman"/>
          <w:sz w:val="24"/>
          <w:u w:val="single"/>
        </w:rPr>
        <w:t>2.3.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>Социальные группы, заинтересованные в устранении проблемы, их количественная оценка:</w:t>
      </w:r>
      <w:r>
        <w:rPr>
          <w:rFonts w:ascii="Times New Roman" w:hAnsi="Times New Roman"/>
          <w:sz w:val="24"/>
          <w:u w:val="none"/>
        </w:rPr>
        <w:t xml:space="preserve"> лица, ответственные за осуществление контроля за розничной продажей алкогольной продукции.</w:t>
      </w:r>
    </w:p>
    <w:p w14:paraId="31000000">
      <w:pPr>
        <w:widowControl w:val="0"/>
        <w:ind w:firstLine="567" w:left="0"/>
        <w:jc w:val="both"/>
        <w:rPr>
          <w:rFonts w:ascii="Times New Roman" w:hAnsi="Times New Roman"/>
          <w:sz w:val="24"/>
        </w:rPr>
      </w:pPr>
    </w:p>
    <w:p w14:paraId="32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sz w:val="24"/>
          <w:u w:val="none"/>
        </w:rPr>
      </w:pPr>
      <w:r>
        <w:rPr>
          <w:rFonts w:ascii="Times New Roman" w:hAnsi="Times New Roman"/>
          <w:sz w:val="24"/>
          <w:u w:val="single"/>
        </w:rPr>
        <w:t>2.4.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>Характеристика негативных эффектов, возникающих в связи с наличием проблемы, их количественная оценка:</w:t>
      </w:r>
      <w:r>
        <w:rPr>
          <w:rFonts w:ascii="Times New Roman" w:hAnsi="Times New Roman"/>
          <w:sz w:val="24"/>
          <w:u w:val="none"/>
        </w:rPr>
        <w:t xml:space="preserve"> </w:t>
      </w:r>
      <w:r>
        <w:rPr>
          <w:rFonts w:ascii="Times New Roman" w:hAnsi="Times New Roman"/>
          <w:sz w:val="24"/>
          <w:u w:val="none"/>
        </w:rPr>
        <w:t>отсутству</w:t>
      </w:r>
      <w:r>
        <w:rPr>
          <w:rFonts w:ascii="Times New Roman" w:hAnsi="Times New Roman"/>
          <w:sz w:val="24"/>
          <w:u w:val="none"/>
        </w:rPr>
        <w:t>ют.</w:t>
      </w:r>
    </w:p>
    <w:p w14:paraId="33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sz w:val="24"/>
        </w:rPr>
      </w:pPr>
    </w:p>
    <w:p w14:paraId="34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sz w:val="24"/>
          <w:u w:val="none"/>
        </w:rPr>
      </w:pPr>
      <w:r>
        <w:rPr>
          <w:rFonts w:ascii="Times New Roman" w:hAnsi="Times New Roman"/>
          <w:sz w:val="24"/>
          <w:u w:val="single"/>
        </w:rPr>
        <w:t>2.5.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>Причины возникновения проблемы и фактор</w:t>
      </w:r>
      <w:r>
        <w:rPr>
          <w:rFonts w:ascii="Times New Roman" w:hAnsi="Times New Roman"/>
          <w:sz w:val="24"/>
          <w:u w:val="single"/>
        </w:rPr>
        <w:t>ы, поддерживающие ее существование: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u w:val="none"/>
        </w:rPr>
        <w:t xml:space="preserve"> </w:t>
      </w:r>
      <w:r>
        <w:rPr>
          <w:rFonts w:ascii="Times New Roman" w:hAnsi="Times New Roman"/>
          <w:sz w:val="24"/>
          <w:u w:val="none"/>
        </w:rPr>
        <w:t>отсутству</w:t>
      </w:r>
      <w:r>
        <w:rPr>
          <w:rFonts w:ascii="Times New Roman" w:hAnsi="Times New Roman"/>
          <w:sz w:val="24"/>
          <w:u w:val="none"/>
        </w:rPr>
        <w:t>ют.</w:t>
      </w:r>
    </w:p>
    <w:p w14:paraId="35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sz w:val="24"/>
        </w:rPr>
      </w:pPr>
    </w:p>
    <w:p w14:paraId="36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sz w:val="24"/>
          <w:u w:val="none"/>
        </w:rPr>
      </w:pPr>
      <w:r>
        <w:rPr>
          <w:rFonts w:ascii="Times New Roman" w:hAnsi="Times New Roman"/>
          <w:sz w:val="24"/>
          <w:u w:val="single"/>
        </w:rPr>
        <w:t>2.6.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>Причины невозможности решения проблемы участниками соответствующих отношений самостоятельно, без вмешательства государства: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u w:val="none"/>
        </w:rPr>
        <w:t xml:space="preserve"> </w:t>
      </w:r>
      <w:r>
        <w:rPr>
          <w:rFonts w:ascii="Times New Roman" w:hAnsi="Times New Roman"/>
          <w:sz w:val="24"/>
          <w:u w:val="none"/>
        </w:rPr>
        <w:t>отсутству</w:t>
      </w:r>
      <w:r>
        <w:rPr>
          <w:rFonts w:ascii="Times New Roman" w:hAnsi="Times New Roman"/>
          <w:sz w:val="24"/>
          <w:u w:val="none"/>
        </w:rPr>
        <w:t>ют.</w:t>
      </w:r>
    </w:p>
    <w:p w14:paraId="37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sz w:val="24"/>
        </w:rPr>
      </w:pPr>
    </w:p>
    <w:p w14:paraId="38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>2.7.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>Опыт решения аналогичных проблем в других субъектах Российской Федерации, иностран</w:t>
      </w:r>
      <w:r>
        <w:rPr>
          <w:rFonts w:ascii="Times New Roman" w:hAnsi="Times New Roman"/>
          <w:sz w:val="24"/>
          <w:u w:val="single"/>
        </w:rPr>
        <w:t>ных государствах:</w:t>
      </w:r>
      <w:r>
        <w:rPr>
          <w:rFonts w:ascii="Times New Roman" w:hAnsi="Times New Roman"/>
          <w:sz w:val="24"/>
        </w:rPr>
        <w:t xml:space="preserve"> принятие нормативно-правовых актов. </w:t>
      </w:r>
    </w:p>
    <w:p w14:paraId="39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sz w:val="24"/>
        </w:rPr>
      </w:pPr>
    </w:p>
    <w:p w14:paraId="3A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sz w:val="24"/>
          <w:u w:val="none"/>
        </w:rPr>
      </w:pPr>
      <w:r>
        <w:rPr>
          <w:rFonts w:ascii="Times New Roman" w:hAnsi="Times New Roman"/>
          <w:sz w:val="24"/>
          <w:u w:val="single"/>
        </w:rPr>
        <w:t>2.8.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>Источники данных:</w:t>
      </w:r>
      <w:r>
        <w:rPr>
          <w:rFonts w:ascii="Times New Roman" w:hAnsi="Times New Roman"/>
          <w:sz w:val="24"/>
          <w:u w:val="none"/>
        </w:rPr>
        <w:t xml:space="preserve"> - </w:t>
      </w:r>
    </w:p>
    <w:p w14:paraId="3B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sz w:val="24"/>
        </w:rPr>
      </w:pPr>
    </w:p>
    <w:p w14:paraId="3C000000">
      <w:pPr>
        <w:widowControl w:val="0"/>
        <w:tabs>
          <w:tab w:leader="none" w:pos="1134" w:val="left"/>
        </w:tabs>
        <w:ind w:firstLine="567" w:left="0"/>
        <w:jc w:val="both"/>
      </w:pPr>
      <w:r>
        <w:rPr>
          <w:rFonts w:ascii="Times New Roman" w:hAnsi="Times New Roman"/>
          <w:sz w:val="24"/>
          <w:u w:val="single"/>
        </w:rPr>
        <w:t>2.9.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>Иная информация о проблеме</w:t>
      </w:r>
      <w:r>
        <w:rPr>
          <w:rFonts w:ascii="Times New Roman" w:hAnsi="Times New Roman"/>
          <w:sz w:val="24"/>
        </w:rPr>
        <w:t xml:space="preserve">: - </w:t>
      </w:r>
    </w:p>
    <w:p w14:paraId="3D000000">
      <w:pPr>
        <w:widowControl w:val="0"/>
        <w:tabs>
          <w:tab w:leader="none" w:pos="1134" w:val="left"/>
        </w:tabs>
        <w:ind w:firstLine="567" w:left="0"/>
        <w:jc w:val="both"/>
      </w:pPr>
      <w:r>
        <w:rPr>
          <w:rFonts w:ascii="Times New Roman" w:hAnsi="Times New Roman"/>
          <w:b w:val="1"/>
          <w:sz w:val="24"/>
        </w:rPr>
        <w:t>3.</w:t>
      </w: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>Определение целей предлагаемого правового регулирования и индикаторов для оценки их достижения</w:t>
      </w:r>
      <w:r>
        <w:t xml:space="preserve"> </w:t>
      </w:r>
    </w:p>
    <w:tbl>
      <w:tblPr>
        <w:tblStyle w:val="Style_1"/>
        <w:tblW w:type="auto" w:w="0"/>
        <w:tblInd w:type="dxa" w:w="-5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3542"/>
        <w:gridCol w:w="3117"/>
        <w:gridCol w:w="2701"/>
      </w:tblGrid>
      <w:tr>
        <w:tc>
          <w:tcPr>
            <w:tcW w:type="dxa" w:w="3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E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 Цели предлагаемого правового регулиро</w:t>
            </w:r>
            <w:r>
              <w:rPr>
                <w:rFonts w:ascii="Times New Roman" w:hAnsi="Times New Roman"/>
                <w:sz w:val="24"/>
              </w:rPr>
              <w:t>вания</w:t>
            </w:r>
          </w:p>
        </w:tc>
        <w:tc>
          <w:tcPr>
            <w:tcW w:type="dxa" w:w="31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F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type="dxa" w:w="2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0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3.3. Периодичность мониторинга достижения целей </w:t>
            </w:r>
            <w:r>
              <w:rPr>
                <w:rFonts w:ascii="Times New Roman" w:hAnsi="Times New Roman"/>
                <w:sz w:val="24"/>
              </w:rPr>
              <w:t>предлагаемого правового регулирования</w:t>
            </w:r>
          </w:p>
        </w:tc>
      </w:tr>
      <w:tr>
        <w:trPr>
          <w:trHeight w:hRule="atLeast" w:val="1056"/>
        </w:trPr>
        <w:tc>
          <w:tcPr>
            <w:tcW w:type="dxa" w:w="3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1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Обеспечение деятельности Министерства в области регионального государственного контроля (надзора) за розничной продажей алкогольной продукции</w:t>
            </w:r>
          </w:p>
        </w:tc>
        <w:tc>
          <w:tcPr>
            <w:tcW w:type="dxa" w:w="31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2000000">
            <w:pPr>
              <w:ind/>
              <w:jc w:val="center"/>
            </w:pPr>
            <w:r>
              <w:t xml:space="preserve">постоянно </w:t>
            </w:r>
          </w:p>
        </w:tc>
        <w:tc>
          <w:tcPr>
            <w:tcW w:type="dxa" w:w="2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3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постоянно</w:t>
            </w:r>
          </w:p>
        </w:tc>
      </w:tr>
    </w:tbl>
    <w:p w14:paraId="44000000">
      <w:pPr>
        <w:widowControl w:val="0"/>
        <w:spacing w:after="0"/>
        <w:ind w:firstLine="567" w:left="0"/>
        <w:rPr>
          <w:rFonts w:ascii="Times New Roman" w:hAnsi="Times New Roman"/>
          <w:color w:val="00B0F0"/>
          <w:sz w:val="24"/>
        </w:rPr>
      </w:pPr>
    </w:p>
    <w:p w14:paraId="45000000">
      <w:pPr>
        <w:widowControl w:val="0"/>
        <w:tabs>
          <w:tab w:leader="none" w:pos="1134" w:val="left"/>
        </w:tabs>
        <w:ind w:firstLine="567" w:left="0"/>
        <w:jc w:val="both"/>
      </w:pPr>
      <w:r>
        <w:rPr>
          <w:rFonts w:ascii="Times New Roman" w:hAnsi="Times New Roman"/>
          <w:sz w:val="24"/>
          <w:u w:val="single"/>
        </w:rPr>
        <w:t>3.4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 xml:space="preserve">Методы расчета индикаторов достижения целей предлагаемого правового регулирования, </w:t>
      </w:r>
      <w:r>
        <w:rPr>
          <w:rFonts w:ascii="Times New Roman" w:hAnsi="Times New Roman"/>
          <w:sz w:val="24"/>
          <w:u w:val="single"/>
        </w:rPr>
        <w:t>источники информации для расчетов:</w:t>
      </w:r>
      <w:r>
        <w:rPr>
          <w:rFonts w:ascii="Times New Roman" w:hAnsi="Times New Roman"/>
          <w:sz w:val="24"/>
        </w:rPr>
        <w:t xml:space="preserve"> -</w:t>
      </w:r>
    </w:p>
    <w:p w14:paraId="46000000">
      <w:pPr>
        <w:widowControl w:val="0"/>
        <w:tabs>
          <w:tab w:leader="none" w:pos="1134" w:val="left"/>
        </w:tabs>
        <w:ind w:firstLine="567" w:left="0"/>
        <w:jc w:val="both"/>
      </w:pPr>
      <w:r>
        <w:rPr>
          <w:rFonts w:ascii="Times New Roman" w:hAnsi="Times New Roman"/>
          <w:sz w:val="24"/>
          <w:u w:val="single"/>
        </w:rPr>
        <w:t>3.5.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>Проведение мониторинга и иные способы (методы) оценки достижения целей предлагаемого правового регулирования:</w:t>
      </w:r>
      <w:r>
        <w:rPr>
          <w:rFonts w:ascii="Times New Roman" w:hAnsi="Times New Roman"/>
          <w:sz w:val="24"/>
          <w:u w:val="none"/>
        </w:rPr>
        <w:t xml:space="preserve"> -</w:t>
      </w:r>
    </w:p>
    <w:p w14:paraId="47000000">
      <w:pPr>
        <w:widowControl w:val="0"/>
        <w:tabs>
          <w:tab w:leader="none" w:pos="1134" w:val="left"/>
        </w:tabs>
        <w:ind w:firstLine="567" w:left="0"/>
        <w:jc w:val="both"/>
      </w:pPr>
      <w:r>
        <w:rPr>
          <w:rFonts w:ascii="Times New Roman" w:hAnsi="Times New Roman"/>
          <w:sz w:val="24"/>
          <w:u w:val="single"/>
        </w:rPr>
        <w:t>3.6.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>Оценка затрат на проведение мониторинга достижения целей предлагаемого правового регулирования</w:t>
      </w:r>
      <w:r>
        <w:rPr>
          <w:rFonts w:ascii="Times New Roman" w:hAnsi="Times New Roman"/>
          <w:sz w:val="24"/>
        </w:rPr>
        <w:t>: -</w:t>
      </w:r>
    </w:p>
    <w:p w14:paraId="48000000">
      <w:pPr>
        <w:widowControl w:val="0"/>
        <w:tabs>
          <w:tab w:leader="none" w:pos="1134" w:val="left"/>
        </w:tabs>
        <w:ind w:firstLine="567" w:left="0"/>
        <w:jc w:val="both"/>
      </w:pPr>
      <w:r>
        <w:rPr>
          <w:rFonts w:ascii="Times New Roman" w:hAnsi="Times New Roman"/>
          <w:sz w:val="24"/>
          <w:u w:val="single"/>
        </w:rPr>
        <w:t>3.7.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>Источники информации для расчета индикаторов:</w:t>
      </w:r>
      <w:r>
        <w:rPr>
          <w:rFonts w:ascii="Times New Roman" w:hAnsi="Times New Roman"/>
          <w:sz w:val="24"/>
          <w:u w:val="none"/>
        </w:rPr>
        <w:t xml:space="preserve"> -</w:t>
      </w:r>
    </w:p>
    <w:p w14:paraId="49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sz w:val="24"/>
        </w:rPr>
      </w:pPr>
    </w:p>
    <w:p w14:paraId="4A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4.</w:t>
      </w: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>К</w:t>
      </w:r>
      <w:r>
        <w:rPr>
          <w:rFonts w:ascii="Times New Roman" w:hAnsi="Times New Roman"/>
          <w:b w:val="1"/>
          <w:sz w:val="24"/>
        </w:rPr>
        <w:t xml:space="preserve">ачественная характеристика и оценка численности потенциальных адресатов </w:t>
      </w:r>
      <w:r>
        <w:rPr>
          <w:rFonts w:ascii="Times New Roman" w:hAnsi="Times New Roman"/>
          <w:b w:val="1"/>
          <w:sz w:val="24"/>
        </w:rPr>
        <w:t>предлагаемого правового регулирования (их групп)</w:t>
      </w:r>
    </w:p>
    <w:tbl>
      <w:tblPr>
        <w:tblStyle w:val="Style_1"/>
        <w:tblW w:type="auto" w:w="0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3569"/>
        <w:gridCol w:w="2225"/>
        <w:gridCol w:w="3561"/>
      </w:tblGrid>
      <w:tr>
        <w:tc>
          <w:tcPr>
            <w:tcW w:type="dxa" w:w="3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B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4.1. Группы потенциальных адресатов предлагаемого правового регулирования (кра</w:t>
            </w:r>
            <w:r>
              <w:rPr>
                <w:rFonts w:ascii="Times New Roman" w:hAnsi="Times New Roman"/>
                <w:sz w:val="24"/>
              </w:rPr>
              <w:t>ткое описание их качественных характеристик)</w:t>
            </w:r>
          </w:p>
        </w:tc>
        <w:tc>
          <w:tcPr>
            <w:tcW w:type="dxa" w:w="22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C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4.2. Количество участников группы</w:t>
            </w:r>
          </w:p>
        </w:tc>
        <w:tc>
          <w:tcPr>
            <w:tcW w:type="dxa" w:w="3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D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4.3. Источники данных</w:t>
            </w:r>
          </w:p>
        </w:tc>
      </w:tr>
      <w:tr>
        <w:tc>
          <w:tcPr>
            <w:tcW w:type="dxa" w:w="3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E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контролируемые лица в рамках регионального государственного контроля (надзора) за розничной продажей алкогольной и спиртосодержащей продукции</w:t>
            </w:r>
          </w:p>
          <w:p w14:paraId="4F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2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0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1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52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sz w:val="24"/>
        </w:rPr>
      </w:pPr>
    </w:p>
    <w:p w14:paraId="53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5.</w:t>
      </w: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>Изменение функций (полномочий, обязанностей, прав) органов государственной власти Республики Саха (Якутия) (органов местного самоуправления), а та</w:t>
      </w:r>
      <w:r>
        <w:rPr>
          <w:rFonts w:ascii="Times New Roman" w:hAnsi="Times New Roman"/>
          <w:b w:val="1"/>
          <w:sz w:val="24"/>
        </w:rPr>
        <w:t xml:space="preserve">кже порядка их реализации в связи с введением предлагаемого правового регулирования </w:t>
      </w:r>
    </w:p>
    <w:p w14:paraId="54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b w:val="1"/>
          <w:sz w:val="24"/>
        </w:rPr>
      </w:pPr>
    </w:p>
    <w:tbl>
      <w:tblPr>
        <w:tblStyle w:val="Style_1"/>
        <w:tblW w:type="auto" w:w="0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133"/>
        <w:gridCol w:w="1834"/>
        <w:gridCol w:w="1835"/>
        <w:gridCol w:w="1977"/>
        <w:gridCol w:w="1575"/>
      </w:tblGrid>
      <w:tr>
        <w:tc>
          <w:tcPr>
            <w:tcW w:type="dxa" w:w="2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5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5.1. Наименование функции (полномочия, обязанности или права)</w:t>
            </w:r>
          </w:p>
        </w:tc>
        <w:tc>
          <w:tcPr>
            <w:tcW w:type="dxa" w:w="18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6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5.2. Характер функции (новая / изменяемая / отменяемая)</w:t>
            </w:r>
          </w:p>
        </w:tc>
        <w:tc>
          <w:tcPr>
            <w:tcW w:type="dxa" w:w="1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7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5.3. Предполагаемый порядок реализации</w:t>
            </w:r>
          </w:p>
        </w:tc>
        <w:tc>
          <w:tcPr>
            <w:tcW w:type="dxa" w:w="1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8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5.4. Оценка </w:t>
            </w:r>
            <w:r>
              <w:rPr>
                <w:rFonts w:ascii="Times New Roman" w:hAnsi="Times New Roman"/>
                <w:sz w:val="24"/>
              </w:rPr>
              <w:t>изменения трудовых затрат (чел./час в год), изменения численности сотрудников (чел.)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9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5.5. Оценка изменения потребностей в других ресурсах</w:t>
            </w:r>
          </w:p>
        </w:tc>
      </w:tr>
      <w:tr>
        <w:tc>
          <w:tcPr>
            <w:tcW w:type="dxa" w:w="2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A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изменяется</w:t>
            </w:r>
          </w:p>
        </w:tc>
        <w:tc>
          <w:tcPr>
            <w:tcW w:type="dxa" w:w="18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B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изменяется</w:t>
            </w:r>
          </w:p>
        </w:tc>
        <w:tc>
          <w:tcPr>
            <w:tcW w:type="dxa" w:w="1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C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изменяется</w:t>
            </w:r>
          </w:p>
        </w:tc>
        <w:tc>
          <w:tcPr>
            <w:tcW w:type="dxa" w:w="1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D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изменяется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E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изменяется</w:t>
            </w:r>
          </w:p>
        </w:tc>
      </w:tr>
    </w:tbl>
    <w:p w14:paraId="5F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sz w:val="24"/>
        </w:rPr>
      </w:pPr>
    </w:p>
    <w:p w14:paraId="60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6</w:t>
      </w:r>
      <w:r>
        <w:rPr>
          <w:rFonts w:ascii="Times New Roman" w:hAnsi="Times New Roman"/>
          <w:b w:val="1"/>
          <w:sz w:val="24"/>
        </w:rPr>
        <w:t>.</w:t>
      </w: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>Оценка рисков неблагоприятных последствий применения предлагаемого правового регулирования</w:t>
      </w:r>
    </w:p>
    <w:tbl>
      <w:tblPr>
        <w:tblStyle w:val="Style_1"/>
        <w:tblW w:type="auto" w:w="0"/>
        <w:tblInd w:type="dxa" w:w="-5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267"/>
        <w:gridCol w:w="3117"/>
        <w:gridCol w:w="1842"/>
        <w:gridCol w:w="2135"/>
      </w:tblGrid>
      <w:tr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1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.1. Виды рисков</w:t>
            </w:r>
          </w:p>
        </w:tc>
        <w:tc>
          <w:tcPr>
            <w:tcW w:type="dxa" w:w="31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2000000">
            <w:pPr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.2. Оценка вероятности наступления неблагоприятных последствий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3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.3. Методы контроля рисков</w:t>
            </w:r>
          </w:p>
        </w:tc>
        <w:tc>
          <w:tcPr>
            <w:tcW w:type="dxa" w:w="2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4000000">
            <w:pPr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.4. Степень контроля рисков (полный/частичный/отсутствует)</w:t>
            </w:r>
          </w:p>
        </w:tc>
      </w:tr>
      <w:tr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5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31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6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7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8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</w:tbl>
    <w:p w14:paraId="69000000">
      <w:pPr>
        <w:widowControl w:val="0"/>
        <w:tabs>
          <w:tab w:leader="none" w:pos="1134" w:val="left"/>
        </w:tabs>
        <w:ind w:firstLine="567" w:left="0"/>
        <w:jc w:val="both"/>
      </w:pPr>
    </w:p>
    <w:p w14:paraId="6A000000">
      <w:pPr>
        <w:widowControl w:val="0"/>
        <w:tabs>
          <w:tab w:leader="none" w:pos="1134" w:val="left"/>
        </w:tabs>
        <w:ind w:firstLine="567" w:left="0"/>
        <w:jc w:val="both"/>
      </w:pPr>
      <w:r>
        <w:rPr>
          <w:rFonts w:ascii="Times New Roman" w:hAnsi="Times New Roman"/>
          <w:sz w:val="24"/>
          <w:u w:val="single"/>
        </w:rPr>
        <w:t>6</w:t>
      </w:r>
      <w:r>
        <w:rPr>
          <w:rFonts w:ascii="Times New Roman" w:hAnsi="Times New Roman"/>
          <w:sz w:val="24"/>
          <w:u w:val="single"/>
        </w:rPr>
        <w:t>.5.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>Источники данных:</w:t>
      </w:r>
      <w:r>
        <w:rPr>
          <w:rFonts w:ascii="Times New Roman" w:hAnsi="Times New Roman"/>
          <w:sz w:val="24"/>
        </w:rPr>
        <w:t xml:space="preserve"> -</w:t>
      </w:r>
    </w:p>
    <w:p w14:paraId="6B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b w:val="1"/>
          <w:sz w:val="24"/>
        </w:rPr>
      </w:pPr>
    </w:p>
    <w:p w14:paraId="6C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7</w:t>
      </w:r>
      <w:r>
        <w:rPr>
          <w:rFonts w:ascii="Times New Roman" w:hAnsi="Times New Roman"/>
          <w:b w:val="1"/>
          <w:sz w:val="24"/>
        </w:rPr>
        <w:t>.</w:t>
      </w: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Сравнение возможных вариантов решения проблемы </w:t>
      </w:r>
    </w:p>
    <w:tbl>
      <w:tblPr>
        <w:tblStyle w:val="Style_1"/>
        <w:tblW w:type="auto" w:w="0"/>
        <w:tblInd w:type="dxa" w:w="-5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4767"/>
        <w:gridCol w:w="2267"/>
        <w:gridCol w:w="2326"/>
      </w:tblGrid>
      <w:tr>
        <w:tc>
          <w:tcPr>
            <w:tcW w:type="dxa" w:w="47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D000000">
            <w:pPr>
              <w:widowControl w:val="0"/>
              <w:ind w:firstLine="567"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E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Вариант 1 </w:t>
            </w:r>
          </w:p>
        </w:tc>
        <w:tc>
          <w:tcPr>
            <w:tcW w:type="dxa" w:w="2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F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Вариант 2 </w:t>
            </w:r>
          </w:p>
        </w:tc>
      </w:tr>
      <w:tr>
        <w:tc>
          <w:tcPr>
            <w:tcW w:type="dxa" w:w="47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0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>.1. Содержание варианта решения проблемы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1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принятие проекта</w:t>
            </w:r>
          </w:p>
        </w:tc>
        <w:tc>
          <w:tcPr>
            <w:tcW w:type="dxa" w:w="2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2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отклонение проекта</w:t>
            </w:r>
          </w:p>
        </w:tc>
      </w:tr>
      <w:tr>
        <w:trPr>
          <w:trHeight w:hRule="atLeast" w:val="2778"/>
        </w:trPr>
        <w:tc>
          <w:tcPr>
            <w:tcW w:type="dxa" w:w="47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3000000">
            <w:pPr>
              <w:widowControl w:val="0"/>
              <w:ind/>
              <w:jc w:val="both"/>
            </w:pPr>
            <w:r>
              <w:rPr>
                <w:rFonts w:ascii="Times New Roman" w:hAnsi="Times New Roman"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>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4000000">
            <w:pPr>
              <w:widowControl w:val="0"/>
              <w:ind/>
              <w:jc w:val="center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Обеспечение деятельности Министерства в области регионального государственного контроля (надзора) за розничной продажей алкогольной продукции</w:t>
            </w:r>
          </w:p>
        </w:tc>
        <w:tc>
          <w:tcPr>
            <w:tcW w:type="dxa" w:w="2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75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Нарушение сроков приведения республиканского законодательства в соответствие с федеральным</w:t>
            </w:r>
          </w:p>
        </w:tc>
      </w:tr>
      <w:tr>
        <w:tc>
          <w:tcPr>
            <w:tcW w:type="dxa" w:w="47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6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 xml:space="preserve">.3. Оценка рисков неблагоприятных последствий 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77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предусматривается</w:t>
            </w:r>
          </w:p>
        </w:tc>
        <w:tc>
          <w:tcPr>
            <w:tcW w:type="dxa" w:w="2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78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предусматривается</w:t>
            </w:r>
          </w:p>
        </w:tc>
      </w:tr>
      <w:tr>
        <w:tc>
          <w:tcPr>
            <w:tcW w:type="dxa" w:w="47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9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>.4. Необходимые для достижения заявленных целей регулирования организационно-технические, методологические, информационные и иные мероприятия, общий объем затрат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7A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3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7B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</w:tbl>
    <w:p w14:paraId="7C000000">
      <w:pPr>
        <w:widowControl w:val="0"/>
        <w:ind w:firstLine="567" w:left="0"/>
        <w:jc w:val="both"/>
        <w:rPr>
          <w:rFonts w:ascii="Times New Roman" w:hAnsi="Times New Roman"/>
          <w:sz w:val="24"/>
        </w:rPr>
      </w:pPr>
    </w:p>
    <w:p w14:paraId="7D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sz w:val="24"/>
          <w:u w:val="none"/>
        </w:rPr>
      </w:pPr>
      <w:r>
        <w:rPr>
          <w:rFonts w:ascii="Times New Roman" w:hAnsi="Times New Roman"/>
          <w:sz w:val="24"/>
          <w:u w:val="single"/>
        </w:rPr>
        <w:t>7</w:t>
      </w:r>
      <w:r>
        <w:rPr>
          <w:rFonts w:ascii="Times New Roman" w:hAnsi="Times New Roman"/>
          <w:sz w:val="24"/>
          <w:u w:val="single"/>
        </w:rPr>
        <w:t>.5.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 xml:space="preserve">Детальное описание предлагаемого </w:t>
      </w:r>
      <w:r>
        <w:rPr>
          <w:rFonts w:ascii="Times New Roman" w:hAnsi="Times New Roman"/>
          <w:sz w:val="24"/>
          <w:u w:val="single"/>
        </w:rPr>
        <w:t>варианта решения проблемы:</w:t>
      </w:r>
      <w:r>
        <w:rPr>
          <w:rFonts w:ascii="Times New Roman" w:hAnsi="Times New Roman"/>
          <w:sz w:val="24"/>
          <w:u w:val="none"/>
        </w:rPr>
        <w:t xml:space="preserve"> в целях недопущения нарушения сроков приведения </w:t>
      </w:r>
      <w:r>
        <w:rPr>
          <w:rFonts w:ascii="Times New Roman" w:hAnsi="Times New Roman"/>
          <w:sz w:val="24"/>
          <w:u w:val="none"/>
        </w:rPr>
        <w:t>республиканского законодательства в соответствие  с федеральным, предпочтительным является вариант № 1.</w:t>
      </w:r>
    </w:p>
    <w:p w14:paraId="7E000000">
      <w:pPr>
        <w:widowControl w:val="0"/>
        <w:tabs>
          <w:tab w:leader="none" w:pos="1134" w:val="left"/>
        </w:tabs>
        <w:ind w:firstLine="567" w:left="0"/>
        <w:jc w:val="both"/>
        <w:rPr>
          <w:u w:val="none"/>
        </w:rPr>
      </w:pPr>
    </w:p>
    <w:p w14:paraId="7F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sz w:val="24"/>
          <w:u w:val="single"/>
        </w:rPr>
      </w:pPr>
    </w:p>
    <w:p w14:paraId="80000000">
      <w:pPr>
        <w:widowControl w:val="0"/>
        <w:ind w:firstLine="567" w:left="0"/>
        <w:jc w:val="both"/>
      </w:pPr>
      <w:r>
        <w:rPr>
          <w:rFonts w:ascii="Times New Roman" w:hAnsi="Times New Roman"/>
          <w:b w:val="1"/>
          <w:sz w:val="24"/>
        </w:rPr>
        <w:t>Заполняется по итогам проведения публичных консультаций по проекту нормативного правового акта и сводного отчета:</w:t>
      </w:r>
    </w:p>
    <w:p w14:paraId="81000000">
      <w:pPr>
        <w:widowControl w:val="0"/>
        <w:ind w:firstLine="567" w:left="0"/>
        <w:jc w:val="both"/>
      </w:pP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Информация о сроках проведения публичных консультаций по проекту нормативного правового акта и сводному отчету</w:t>
      </w:r>
      <w:r>
        <w:rPr>
          <w:rFonts w:ascii="Times New Roman" w:hAnsi="Times New Roman"/>
          <w:sz w:val="24"/>
        </w:rPr>
        <w:t xml:space="preserve">: </w:t>
      </w:r>
    </w:p>
    <w:p w14:paraId="82000000">
      <w:pPr>
        <w:widowControl w:val="0"/>
        <w:ind w:firstLine="567" w:left="0"/>
        <w:jc w:val="both"/>
      </w:pP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 xml:space="preserve">.1. Срок, в течение которого принимались предложения в связи с публичными консультациями по проекту нормативного правового акта и сводному отчету об оценке регулирующего воздействия: </w:t>
      </w:r>
    </w:p>
    <w:p w14:paraId="83000000">
      <w:pPr>
        <w:widowControl w:val="0"/>
        <w:ind w:firstLine="567" w:left="0"/>
        <w:jc w:val="both"/>
      </w:pPr>
      <w:r>
        <w:rPr>
          <w:rFonts w:ascii="Times New Roman" w:hAnsi="Times New Roman"/>
          <w:sz w:val="24"/>
        </w:rPr>
        <w:t xml:space="preserve">начало: </w:t>
      </w:r>
    </w:p>
    <w:p w14:paraId="84000000">
      <w:pPr>
        <w:widowControl w:val="0"/>
        <w:ind w:firstLine="567" w:left="0"/>
        <w:jc w:val="both"/>
      </w:pPr>
      <w:r>
        <w:rPr>
          <w:rFonts w:ascii="Times New Roman" w:hAnsi="Times New Roman"/>
          <w:sz w:val="24"/>
        </w:rPr>
        <w:t xml:space="preserve">окончание: </w:t>
      </w:r>
    </w:p>
    <w:p w14:paraId="85000000">
      <w:pPr>
        <w:widowControl w:val="0"/>
        <w:ind w:firstLine="567" w:left="0"/>
        <w:jc w:val="both"/>
      </w:pP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.2. Сведения о количестве замечаний и предлож</w:t>
      </w:r>
      <w:r>
        <w:rPr>
          <w:rFonts w:ascii="Times New Roman" w:hAnsi="Times New Roman"/>
          <w:sz w:val="24"/>
        </w:rPr>
        <w:t>ений, полученных в ходе публичных консультаций по проекту нормативного правового акта: .</w:t>
      </w:r>
    </w:p>
    <w:p w14:paraId="86000000">
      <w:pPr>
        <w:widowControl w:val="0"/>
        <w:ind w:firstLine="567" w:left="0"/>
        <w:jc w:val="both"/>
      </w:pPr>
      <w:r>
        <w:rPr>
          <w:rFonts w:ascii="Times New Roman" w:hAnsi="Times New Roman"/>
          <w:sz w:val="24"/>
        </w:rPr>
        <w:t xml:space="preserve">Всего замечаний и предложений: </w:t>
      </w:r>
    </w:p>
    <w:p w14:paraId="87000000">
      <w:pPr>
        <w:widowControl w:val="0"/>
        <w:ind w:firstLine="567" w:left="0"/>
        <w:jc w:val="both"/>
      </w:pPr>
      <w:r>
        <w:rPr>
          <w:rFonts w:ascii="Times New Roman" w:hAnsi="Times New Roman"/>
          <w:sz w:val="24"/>
        </w:rPr>
        <w:t xml:space="preserve">полностью: ,           учтено частично:  </w:t>
      </w:r>
    </w:p>
    <w:p w14:paraId="88000000">
      <w:pPr>
        <w:widowControl w:val="0"/>
        <w:ind w:firstLine="567" w:left="0"/>
        <w:jc w:val="both"/>
      </w:pP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.3. Полный электронный адрес размещения сводки предложений, поступивших по итогам проведения публичных к</w:t>
      </w:r>
      <w:r>
        <w:rPr>
          <w:rFonts w:ascii="Times New Roman" w:hAnsi="Times New Roman"/>
          <w:sz w:val="24"/>
        </w:rPr>
        <w:t>онсультаций по проекту нормативного правового акта: - .</w:t>
      </w:r>
      <w:r>
        <w:rPr>
          <w:sz w:val="24"/>
        </w:rPr>
        <w:t xml:space="preserve"> </w:t>
      </w:r>
    </w:p>
    <w:p w14:paraId="89000000">
      <w:pPr>
        <w:widowControl w:val="0"/>
        <w:ind/>
        <w:jc w:val="both"/>
        <w:rPr>
          <w:sz w:val="24"/>
        </w:rPr>
      </w:pPr>
      <w:r>
        <w:rPr>
          <w:sz w:val="24"/>
        </w:rPr>
        <w:t xml:space="preserve"> </w:t>
      </w:r>
    </w:p>
    <w:p w14:paraId="8A000000">
      <w:pPr>
        <w:widowControl w:val="0"/>
        <w:ind/>
        <w:jc w:val="both"/>
        <w:rPr>
          <w:sz w:val="24"/>
        </w:rPr>
      </w:pPr>
    </w:p>
    <w:tbl>
      <w:tblPr>
        <w:tblStyle w:val="Style_4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2097"/>
        <w:gridCol w:w="5730"/>
        <w:gridCol w:w="2236"/>
      </w:tblGrid>
      <w:tr>
        <w:trPr>
          <w:trHeight w:hRule="atLeast" w:val="700"/>
        </w:trPr>
        <w:tc>
          <w:tcPr>
            <w:tcW w:type="dxa" w:w="209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8B000000">
            <w:pPr>
              <w:widowControl w:val="0"/>
              <w:spacing w:after="160" w:line="264" w:lineRule="auto"/>
              <w:ind/>
              <w:rPr>
                <w:sz w:val="26"/>
              </w:rPr>
            </w:pPr>
            <w:bookmarkStart w:id="2" w:name="SIGNERPOST1"/>
            <w:r>
              <w:rPr>
                <w:sz w:val="26"/>
              </w:rPr>
              <w:t>Должность</w:t>
            </w:r>
            <w:bookmarkEnd w:id="2"/>
          </w:p>
        </w:tc>
        <w:tc>
          <w:tcPr>
            <w:tcW w:type="dxa" w:w="5730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8C000000">
            <w:pPr>
              <w:widowControl w:val="0"/>
              <w:spacing w:after="160" w:line="264" w:lineRule="auto"/>
              <w:ind/>
              <w:rPr>
                <w:sz w:val="26"/>
              </w:rPr>
            </w:pPr>
            <w:bookmarkStart w:id="3" w:name="SIGNERSTAMP1"/>
            <w:bookmarkEnd w:id="3"/>
            <w:r>
              <w:rPr>
                <w:sz w:val="28"/>
              </w:rPr>
              <w:t>[</w:t>
            </w:r>
            <w:r>
              <w:rPr>
                <w:sz w:val="28"/>
              </w:rPr>
              <w:t>ШТАМП</w:t>
            </w:r>
            <w:r>
              <w:rPr>
                <w:sz w:val="28"/>
              </w:rPr>
              <w:t>]</w:t>
            </w:r>
          </w:p>
        </w:tc>
        <w:tc>
          <w:tcPr>
            <w:tcW w:type="dxa" w:w="223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8D000000">
            <w:pPr>
              <w:widowControl w:val="0"/>
              <w:spacing w:after="160" w:line="264" w:lineRule="auto"/>
              <w:ind/>
              <w:jc w:val="center"/>
              <w:rPr>
                <w:sz w:val="26"/>
              </w:rPr>
            </w:pPr>
            <w:bookmarkStart w:id="4" w:name="SIGNERNAME1"/>
            <w:r>
              <w:rPr>
                <w:sz w:val="26"/>
              </w:rPr>
              <w:t>ФИО</w:t>
            </w:r>
            <w:bookmarkEnd w:id="4"/>
          </w:p>
        </w:tc>
      </w:tr>
    </w:tbl>
    <w:p w14:paraId="8E000000">
      <w:pPr>
        <w:rPr>
          <w:i w:val="0"/>
          <w:sz w:val="18"/>
        </w:rPr>
      </w:pPr>
    </w:p>
    <w:p w14:paraId="8F000000">
      <w:pPr>
        <w:rPr>
          <w:i w:val="0"/>
          <w:sz w:val="18"/>
        </w:rPr>
      </w:pPr>
    </w:p>
    <w:p w14:paraId="90000000">
      <w:pPr>
        <w:rPr>
          <w:i w:val="0"/>
          <w:sz w:val="18"/>
        </w:rPr>
      </w:pPr>
    </w:p>
    <w:p w14:paraId="91000000">
      <w:pPr>
        <w:rPr>
          <w:i w:val="0"/>
          <w:sz w:val="18"/>
        </w:rPr>
      </w:pPr>
    </w:p>
    <w:p w14:paraId="92000000">
      <w:pPr>
        <w:rPr>
          <w:i w:val="0"/>
          <w:sz w:val="18"/>
        </w:rPr>
      </w:pPr>
    </w:p>
    <w:p w14:paraId="93000000">
      <w:pPr>
        <w:rPr>
          <w:i w:val="0"/>
          <w:sz w:val="18"/>
        </w:rPr>
      </w:pPr>
    </w:p>
    <w:p w14:paraId="94000000">
      <w:pPr>
        <w:rPr>
          <w:i w:val="0"/>
          <w:sz w:val="18"/>
        </w:rPr>
      </w:pPr>
    </w:p>
    <w:p w14:paraId="95000000">
      <w:pPr>
        <w:rPr>
          <w:i w:val="0"/>
          <w:sz w:val="18"/>
        </w:rPr>
      </w:pPr>
    </w:p>
    <w:p w14:paraId="96000000">
      <w:pPr>
        <w:rPr>
          <w:i w:val="0"/>
          <w:sz w:val="18"/>
        </w:rPr>
      </w:pPr>
    </w:p>
    <w:p w14:paraId="97000000">
      <w:pPr>
        <w:rPr>
          <w:i w:val="0"/>
          <w:sz w:val="18"/>
        </w:rPr>
      </w:pPr>
    </w:p>
    <w:p w14:paraId="98000000">
      <w:pPr>
        <w:rPr>
          <w:i w:val="0"/>
          <w:sz w:val="18"/>
        </w:rPr>
      </w:pPr>
    </w:p>
    <w:p w14:paraId="99000000">
      <w:pPr>
        <w:rPr>
          <w:i w:val="0"/>
          <w:sz w:val="18"/>
        </w:rPr>
      </w:pPr>
    </w:p>
    <w:p w14:paraId="9A000000">
      <w:pPr>
        <w:rPr>
          <w:i w:val="0"/>
          <w:sz w:val="18"/>
        </w:rPr>
      </w:pPr>
    </w:p>
    <w:p w14:paraId="9B000000">
      <w:pPr>
        <w:rPr>
          <w:i w:val="0"/>
          <w:sz w:val="18"/>
        </w:rPr>
      </w:pPr>
    </w:p>
    <w:p w14:paraId="9C000000">
      <w:pPr>
        <w:rPr>
          <w:i w:val="0"/>
          <w:sz w:val="18"/>
        </w:rPr>
      </w:pPr>
    </w:p>
    <w:p w14:paraId="9D000000">
      <w:pPr>
        <w:rPr>
          <w:i w:val="0"/>
          <w:sz w:val="18"/>
        </w:rPr>
      </w:pPr>
    </w:p>
    <w:p w14:paraId="9E000000">
      <w:pPr>
        <w:rPr>
          <w:i w:val="0"/>
          <w:sz w:val="18"/>
        </w:rPr>
      </w:pPr>
    </w:p>
    <w:p w14:paraId="9F000000">
      <w:pPr>
        <w:rPr>
          <w:i w:val="0"/>
          <w:sz w:val="18"/>
        </w:rPr>
      </w:pPr>
    </w:p>
    <w:p w14:paraId="A0000000">
      <w:pPr>
        <w:rPr>
          <w:i w:val="0"/>
          <w:sz w:val="18"/>
        </w:rPr>
      </w:pPr>
    </w:p>
    <w:p w14:paraId="A1000000">
      <w:pPr>
        <w:rPr>
          <w:i w:val="0"/>
          <w:sz w:val="18"/>
        </w:rPr>
      </w:pPr>
    </w:p>
    <w:p w14:paraId="A2000000">
      <w:pPr>
        <w:rPr>
          <w:i w:val="0"/>
          <w:sz w:val="18"/>
        </w:rPr>
      </w:pPr>
    </w:p>
    <w:p w14:paraId="A3000000">
      <w:pPr>
        <w:rPr>
          <w:i w:val="0"/>
          <w:sz w:val="18"/>
        </w:rPr>
      </w:pPr>
      <w:r>
        <w:rPr>
          <w:i w:val="0"/>
          <w:sz w:val="18"/>
        </w:rPr>
        <w:t>Григорьев</w:t>
      </w:r>
    </w:p>
    <w:p w14:paraId="A4000000">
      <w:pPr>
        <w:rPr>
          <w:i w:val="0"/>
          <w:sz w:val="18"/>
        </w:rPr>
      </w:pPr>
      <w:r>
        <w:rPr>
          <w:i w:val="0"/>
          <w:sz w:val="18"/>
        </w:rPr>
        <w:t>8 (4112) 507-512, 63812</w:t>
      </w:r>
    </w:p>
    <w:sectPr>
      <w:pgSz w:h="16838" w:orient="portrait" w:w="11906"/>
      <w:pgMar w:bottom="426" w:footer="709" w:gutter="0" w:header="709" w:left="1276" w:right="567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sz w:val="24"/>
    </w:rPr>
  </w:style>
  <w:style w:default="1" w:styleId="Style_3_ch" w:type="character">
    <w:name w:val="Normal"/>
    <w:link w:val="Style_3"/>
    <w:rPr>
      <w:sz w:val="24"/>
    </w:rPr>
  </w:style>
  <w:style w:styleId="Style_5" w:type="paragraph">
    <w:name w:val="toc 2"/>
    <w:next w:val="Style_3"/>
    <w:link w:val="Style_5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Основной текст 21"/>
    <w:basedOn w:val="Style_3"/>
    <w:link w:val="Style_6_ch"/>
    <w:pPr>
      <w:widowControl w:val="0"/>
      <w:ind/>
      <w:jc w:val="both"/>
    </w:pPr>
    <w:rPr>
      <w:b w:val="1"/>
      <w:i w:val="1"/>
    </w:rPr>
  </w:style>
  <w:style w:styleId="Style_6_ch" w:type="character">
    <w:name w:val="Основной текст 21"/>
    <w:basedOn w:val="Style_3_ch"/>
    <w:link w:val="Style_6"/>
    <w:rPr>
      <w:b w:val="1"/>
      <w:i w:val="1"/>
    </w:rPr>
  </w:style>
  <w:style w:styleId="Style_7" w:type="paragraph">
    <w:name w:val="toc 4"/>
    <w:next w:val="Style_3"/>
    <w:link w:val="Style_7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Normal (Web)"/>
    <w:basedOn w:val="Style_3"/>
    <w:link w:val="Style_8_ch"/>
    <w:pPr>
      <w:widowControl w:val="0"/>
      <w:spacing w:afterAutospacing="on" w:beforeAutospacing="on"/>
      <w:ind/>
    </w:pPr>
  </w:style>
  <w:style w:styleId="Style_8_ch" w:type="character">
    <w:name w:val="Normal (Web)"/>
    <w:basedOn w:val="Style_3_ch"/>
    <w:link w:val="Style_8"/>
  </w:style>
  <w:style w:styleId="Style_9" w:type="paragraph">
    <w:name w:val="toc 6"/>
    <w:next w:val="Style_3"/>
    <w:link w:val="Style_9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3"/>
    <w:link w:val="Style_10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List Paragraph"/>
    <w:basedOn w:val="Style_3"/>
    <w:link w:val="Style_11_ch"/>
    <w:pPr>
      <w:widowControl w:val="0"/>
      <w:ind w:firstLine="0" w:left="720"/>
      <w:contextualSpacing w:val="1"/>
    </w:pPr>
  </w:style>
  <w:style w:styleId="Style_11_ch" w:type="character">
    <w:name w:val="List Paragraph"/>
    <w:basedOn w:val="Style_3_ch"/>
    <w:link w:val="Style_11"/>
  </w:style>
  <w:style w:styleId="Style_12" w:type="paragraph">
    <w:name w:val="End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3"/>
    <w:link w:val="Style_13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header"/>
    <w:basedOn w:val="Style_3"/>
    <w:link w:val="Style_14_ch"/>
    <w:pPr>
      <w:widowControl w:val="0"/>
      <w:tabs>
        <w:tab w:leader="none" w:pos="4677" w:val="center"/>
        <w:tab w:leader="none" w:pos="9355" w:val="right"/>
      </w:tabs>
      <w:ind/>
    </w:pPr>
  </w:style>
  <w:style w:styleId="Style_14_ch" w:type="character">
    <w:name w:val="header"/>
    <w:basedOn w:val="Style_3_ch"/>
    <w:link w:val="Style_14"/>
  </w:style>
  <w:style w:styleId="Style_15" w:type="paragraph">
    <w:name w:val="No Spacing"/>
    <w:link w:val="Style_15_ch"/>
    <w:rPr>
      <w:rFonts w:asciiTheme="minorAscii" w:hAnsiTheme="minorHAnsi"/>
      <w:sz w:val="22"/>
    </w:rPr>
  </w:style>
  <w:style w:styleId="Style_15_ch" w:type="character">
    <w:name w:val="No Spacing"/>
    <w:link w:val="Style_15"/>
    <w:rPr>
      <w:rFonts w:asciiTheme="minorAscii" w:hAnsiTheme="minorHAnsi"/>
      <w:sz w:val="22"/>
    </w:rPr>
  </w:style>
  <w:style w:styleId="Style_16" w:type="paragraph">
    <w:name w:val="Balloon Text"/>
    <w:basedOn w:val="Style_3"/>
    <w:link w:val="Style_16_ch"/>
    <w:rPr>
      <w:rFonts w:ascii="Tahoma" w:hAnsi="Tahoma"/>
      <w:sz w:val="16"/>
    </w:rPr>
  </w:style>
  <w:style w:styleId="Style_16_ch" w:type="character">
    <w:name w:val="Balloon Text"/>
    <w:basedOn w:val="Style_3_ch"/>
    <w:link w:val="Style_16"/>
    <w:rPr>
      <w:rFonts w:ascii="Tahoma" w:hAnsi="Tahoma"/>
      <w:sz w:val="16"/>
    </w:rPr>
  </w:style>
  <w:style w:styleId="Style_17" w:type="paragraph">
    <w:name w:val="toc 3"/>
    <w:next w:val="Style_3"/>
    <w:link w:val="Style_17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heading 5"/>
    <w:next w:val="Style_3"/>
    <w:link w:val="Style_18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9" w:type="paragraph">
    <w:name w:val="heading 1"/>
    <w:next w:val="Style_3"/>
    <w:link w:val="Style_19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" w:type="paragraph">
    <w:name w:val="Hyperlink"/>
    <w:link w:val="Style_2_ch"/>
    <w:rPr>
      <w:color w:val="0000FF"/>
      <w:u w:val="single"/>
    </w:rPr>
  </w:style>
  <w:style w:styleId="Style_2_ch" w:type="character">
    <w:name w:val="Hyperlink"/>
    <w:link w:val="Style_2"/>
    <w:rPr>
      <w:color w:val="0000FF"/>
      <w:u w:val="single"/>
    </w:rPr>
  </w:style>
  <w:style w:styleId="Style_20" w:type="paragraph">
    <w:name w:val="Footnote"/>
    <w:link w:val="Style_20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3"/>
    <w:link w:val="Style_21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widowControl w:val="0"/>
      <w:spacing w:line="240" w:lineRule="auto"/>
      <w:ind/>
      <w:jc w:val="both"/>
    </w:pPr>
    <w:rPr>
      <w:rFonts w:ascii="XO Thames" w:hAnsi="XO Thames"/>
      <w:sz w:val="20"/>
    </w:rPr>
  </w:style>
  <w:style w:styleId="Style_22_ch" w:type="character">
    <w:name w:val="Header and Footer"/>
    <w:link w:val="Style_22"/>
    <w:rPr>
      <w:rFonts w:ascii="XO Thames" w:hAnsi="XO Thames"/>
      <w:sz w:val="20"/>
    </w:rPr>
  </w:style>
  <w:style w:styleId="Style_23" w:type="paragraph">
    <w:name w:val="toc 9"/>
    <w:next w:val="Style_3"/>
    <w:link w:val="Style_23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3"/>
    <w:link w:val="Style_24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3"/>
    <w:link w:val="Style_25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ConsPlusNormal"/>
    <w:link w:val="Style_26_ch"/>
    <w:pPr>
      <w:widowControl w:val="0"/>
      <w:ind w:firstLine="720" w:left="0"/>
    </w:pPr>
    <w:rPr>
      <w:rFonts w:ascii="Arial" w:hAnsi="Arial"/>
    </w:rPr>
  </w:style>
  <w:style w:styleId="Style_26_ch" w:type="character">
    <w:name w:val="ConsPlusNormal"/>
    <w:link w:val="Style_26"/>
    <w:rPr>
      <w:rFonts w:ascii="Arial" w:hAnsi="Arial"/>
    </w:rPr>
  </w:style>
  <w:style w:styleId="Style_27" w:type="paragraph">
    <w:name w:val="Subtitle"/>
    <w:next w:val="Style_3"/>
    <w:link w:val="Style_27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caption"/>
    <w:basedOn w:val="Style_3"/>
    <w:next w:val="Style_3"/>
    <w:link w:val="Style_28_ch"/>
    <w:pPr>
      <w:widowControl w:val="0"/>
      <w:spacing w:after="200"/>
      <w:ind/>
    </w:pPr>
    <w:rPr>
      <w:rFonts w:ascii="Calibri" w:hAnsi="Calibri"/>
      <w:i w:val="1"/>
      <w:color w:val="1F497D"/>
      <w:sz w:val="18"/>
    </w:rPr>
  </w:style>
  <w:style w:styleId="Style_28_ch" w:type="character">
    <w:name w:val="caption"/>
    <w:basedOn w:val="Style_3_ch"/>
    <w:link w:val="Style_28"/>
    <w:rPr>
      <w:rFonts w:ascii="Calibri" w:hAnsi="Calibri"/>
      <w:i w:val="1"/>
      <w:color w:val="1F497D"/>
      <w:sz w:val="18"/>
    </w:rPr>
  </w:style>
  <w:style w:styleId="Style_29" w:type="paragraph">
    <w:name w:val="Title"/>
    <w:next w:val="Style_3"/>
    <w:link w:val="Style_29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3"/>
    <w:link w:val="Style_30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Default Paragraph Font"/>
    <w:link w:val="Style_31_ch"/>
  </w:style>
  <w:style w:styleId="Style_31_ch" w:type="character">
    <w:name w:val="Default Paragraph Font"/>
    <w:link w:val="Style_31"/>
  </w:style>
  <w:style w:styleId="Style_32" w:type="paragraph">
    <w:name w:val="heading 2"/>
    <w:next w:val="Style_3"/>
    <w:link w:val="Style_32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33" w:type="paragraph">
    <w:name w:val="heading 6"/>
    <w:basedOn w:val="Style_3"/>
    <w:next w:val="Style_3"/>
    <w:link w:val="Style_33_ch"/>
    <w:uiPriority w:val="9"/>
    <w:qFormat/>
    <w:pPr>
      <w:keepNext w:val="1"/>
      <w:widowControl w:val="0"/>
      <w:ind/>
      <w:outlineLvl w:val="5"/>
    </w:pPr>
  </w:style>
  <w:style w:styleId="Style_33_ch" w:type="character">
    <w:name w:val="heading 6"/>
    <w:basedOn w:val="Style_3_ch"/>
    <w:link w:val="Style_33"/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4" w:type="table">
    <w:name w:val="Сетка таблицы1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" w:type="table">
    <w:name w:val="Table Grid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jpe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2026-08-19T07:28:44Z</dcterms:modified>
</cp:coreProperties>
</file>