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360" w:lineRule="atLeast"/>
        <w:ind w:firstLine="567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Проект</w:t>
      </w:r>
    </w:p>
    <w:p w14:paraId="02000000">
      <w:pPr>
        <w:ind w:firstLine="709"/>
        <w:jc w:val="both"/>
        <w:rPr>
          <w:rFonts w:ascii="PT Astra Serif" w:hAnsi="PT Astra Serif"/>
          <w:b w:val="1"/>
          <w:color w:val="000000"/>
          <w:spacing w:val="28"/>
          <w:sz w:val="28"/>
        </w:rPr>
      </w:pPr>
    </w:p>
    <w:p w14:paraId="03000000">
      <w:pPr>
        <w:ind w:firstLine="0"/>
        <w:jc w:val="center"/>
        <w:rPr>
          <w:rFonts w:ascii="PT Astra Serif" w:hAnsi="PT Astra Serif"/>
          <w:b w:val="1"/>
          <w:color w:val="000000"/>
          <w:spacing w:val="28"/>
          <w:sz w:val="28"/>
        </w:rPr>
      </w:pPr>
      <w:r>
        <w:rPr>
          <w:rFonts w:ascii="PT Astra Serif" w:hAnsi="PT Astra Serif"/>
          <w:b w:val="1"/>
          <w:sz w:val="28"/>
        </w:rPr>
        <w:t>ПРАВИТЕЛЬСТВО</w:t>
      </w:r>
      <w:r>
        <w:rPr>
          <w:rFonts w:ascii="PT Astra Serif" w:hAnsi="PT Astra Serif"/>
          <w:b w:val="1"/>
          <w:sz w:val="28"/>
        </w:rPr>
        <w:t xml:space="preserve"> РЕСПУБЛИКИ САХА (ЯКУТИЯ)</w:t>
      </w:r>
    </w:p>
    <w:p w14:paraId="04000000">
      <w:pPr>
        <w:ind/>
        <w:jc w:val="center"/>
        <w:rPr>
          <w:rFonts w:ascii="PT Astra Serif" w:hAnsi="PT Astra Serif"/>
          <w:b w:val="1"/>
          <w:sz w:val="28"/>
        </w:rPr>
      </w:pPr>
    </w:p>
    <w:p w14:paraId="05000000">
      <w:pPr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ПОСТАНОВЛЕНИЕ</w:t>
      </w:r>
    </w:p>
    <w:p w14:paraId="06000000">
      <w:pPr>
        <w:spacing w:line="240" w:lineRule="auto"/>
        <w:ind/>
        <w:contextualSpacing w:val="1"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от ________________________2026 г. №_______</w:t>
      </w:r>
    </w:p>
    <w:p w14:paraId="07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8000000">
      <w:pPr>
        <w:widowControl w:val="0"/>
        <w:spacing w:after="0" w:line="240" w:lineRule="auto"/>
        <w:ind/>
        <w:jc w:val="center"/>
        <w:outlineLvl w:val="0"/>
        <w:rPr>
          <w:rFonts w:ascii="PT Astra Serif" w:hAnsi="PT Astra Serif"/>
          <w:b w:val="1"/>
          <w:sz w:val="28"/>
        </w:rPr>
      </w:pPr>
    </w:p>
    <w:p w14:paraId="09000000">
      <w:pPr>
        <w:widowControl w:val="0"/>
        <w:spacing w:after="0" w:line="240" w:lineRule="auto"/>
        <w:ind/>
        <w:jc w:val="center"/>
        <w:outlineLvl w:val="0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внесении изменений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 xml:space="preserve">в </w:t>
      </w:r>
      <w:r>
        <w:rPr>
          <w:rFonts w:ascii="PT Astra Serif" w:hAnsi="PT Astra Serif"/>
          <w:b w:val="1"/>
          <w:sz w:val="28"/>
        </w:rPr>
        <w:t>приложение № 3 «П</w:t>
      </w:r>
      <w:r>
        <w:rPr>
          <w:rFonts w:ascii="PT Astra Serif" w:hAnsi="PT Astra Serif"/>
          <w:b w:val="1"/>
          <w:sz w:val="28"/>
        </w:rPr>
        <w:t>еречень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индикаторов риска нарушения обязательных требований,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используемых в качестве основания для проведения внеплановых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проверок при осуществлении регионального государственного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контроля (надзора) в области розничной продажи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алкогольной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и спиртосодержащей продукции на территории</w:t>
      </w:r>
      <w:r>
        <w:rPr>
          <w:rFonts w:ascii="PT Astra Serif" w:hAnsi="PT Astra Serif"/>
          <w:b w:val="1"/>
          <w:sz w:val="28"/>
        </w:rPr>
        <w:t xml:space="preserve"> Р</w:t>
      </w:r>
      <w:r>
        <w:rPr>
          <w:rFonts w:ascii="PT Astra Serif" w:hAnsi="PT Astra Serif"/>
          <w:b w:val="1"/>
          <w:sz w:val="28"/>
        </w:rPr>
        <w:t xml:space="preserve">еспублики </w:t>
      </w:r>
      <w:r>
        <w:rPr>
          <w:rFonts w:ascii="PT Astra Serif" w:hAnsi="PT Astra Serif"/>
          <w:b w:val="1"/>
          <w:sz w:val="28"/>
        </w:rPr>
        <w:t>С</w:t>
      </w:r>
      <w:r>
        <w:rPr>
          <w:rFonts w:ascii="PT Astra Serif" w:hAnsi="PT Astra Serif"/>
          <w:b w:val="1"/>
          <w:sz w:val="28"/>
        </w:rPr>
        <w:t>аха (</w:t>
      </w:r>
      <w:r>
        <w:rPr>
          <w:rFonts w:ascii="PT Astra Serif" w:hAnsi="PT Astra Serif"/>
          <w:b w:val="1"/>
          <w:sz w:val="28"/>
        </w:rPr>
        <w:t>Я</w:t>
      </w:r>
      <w:r>
        <w:rPr>
          <w:rFonts w:ascii="PT Astra Serif" w:hAnsi="PT Astra Serif"/>
          <w:b w:val="1"/>
          <w:sz w:val="28"/>
        </w:rPr>
        <w:t>кутия)</w:t>
      </w:r>
      <w:r>
        <w:rPr>
          <w:rFonts w:ascii="PT Astra Serif" w:hAnsi="PT Astra Serif"/>
          <w:b w:val="1"/>
          <w:sz w:val="28"/>
        </w:rPr>
        <w:t xml:space="preserve">» утвержденный </w:t>
      </w:r>
      <w:r>
        <w:rPr>
          <w:rFonts w:ascii="PT Astra Serif" w:hAnsi="PT Astra Serif"/>
          <w:b w:val="1"/>
          <w:sz w:val="28"/>
        </w:rPr>
        <w:t>постановление</w:t>
      </w:r>
      <w:r>
        <w:rPr>
          <w:rFonts w:ascii="PT Astra Serif" w:hAnsi="PT Astra Serif"/>
          <w:b w:val="1"/>
          <w:sz w:val="28"/>
        </w:rPr>
        <w:t>м</w:t>
      </w:r>
      <w:r>
        <w:rPr>
          <w:rFonts w:ascii="PT Astra Serif" w:hAnsi="PT Astra Serif"/>
          <w:b w:val="1"/>
          <w:sz w:val="28"/>
        </w:rPr>
        <w:t xml:space="preserve"> Правительства Республики Саха (Якутия) от 24 сентября 2021 г. № 387</w:t>
      </w:r>
    </w:p>
    <w:p w14:paraId="0A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widowControl w:val="0"/>
        <w:spacing w:after="0" w:line="240" w:lineRule="auto"/>
        <w:ind w:firstLine="850" w:left="0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соответствии </w:t>
      </w:r>
      <w:r>
        <w:rPr>
          <w:rFonts w:ascii="PT Astra Serif" w:hAnsi="PT Astra Serif"/>
          <w:sz w:val="28"/>
        </w:rPr>
        <w:t>с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пунктом 2 части </w:t>
      </w:r>
      <w:r>
        <w:rPr>
          <w:rFonts w:ascii="PT Astra Serif" w:hAnsi="PT Astra Serif"/>
          <w:sz w:val="28"/>
        </w:rPr>
        <w:t>5</w:t>
      </w:r>
      <w:r>
        <w:rPr>
          <w:rFonts w:ascii="PT Astra Serif" w:hAnsi="PT Astra Serif"/>
          <w:sz w:val="28"/>
        </w:rPr>
        <w:t xml:space="preserve"> статьи 3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част</w:t>
      </w:r>
      <w:r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10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статьи </w:t>
      </w:r>
      <w:r>
        <w:rPr>
          <w:rFonts w:ascii="PT Astra Serif" w:hAnsi="PT Astra Serif"/>
          <w:sz w:val="28"/>
        </w:rPr>
        <w:t>23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Федерального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закона от 31 июля 2020 г. № 248-ФЗ «О государственном контроле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(надзоре) и муниципальном контроле в Российской Федерации»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Правите</w:t>
      </w:r>
      <w:r>
        <w:rPr>
          <w:rFonts w:ascii="PT Astra Serif" w:hAnsi="PT Astra Serif"/>
          <w:sz w:val="28"/>
        </w:rPr>
        <w:t>льство Республики Саха (Якутия)</w:t>
      </w:r>
    </w:p>
    <w:p w14:paraId="0C000000">
      <w:pPr>
        <w:spacing w:after="0" w:line="360" w:lineRule="exact"/>
        <w:ind w:firstLine="85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 о с т а н о в л я е т</w:t>
      </w:r>
      <w:r>
        <w:rPr>
          <w:rFonts w:ascii="PT Astra Serif" w:hAnsi="PT Astra Serif"/>
          <w:sz w:val="28"/>
        </w:rPr>
        <w:t>:</w:t>
      </w:r>
    </w:p>
    <w:p w14:paraId="0D000000">
      <w:pPr>
        <w:widowControl w:val="0"/>
        <w:spacing w:after="0" w:line="240" w:lineRule="auto"/>
        <w:ind w:firstLine="850" w:left="0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 </w:t>
      </w:r>
      <w:r>
        <w:rPr>
          <w:rFonts w:ascii="PT Astra Serif" w:hAnsi="PT Astra Serif"/>
          <w:sz w:val="28"/>
        </w:rPr>
        <w:t xml:space="preserve">Внести в 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 xml:space="preserve">остановление Правительства </w:t>
      </w:r>
      <w:r>
        <w:rPr>
          <w:rFonts w:ascii="PT Astra Serif" w:hAnsi="PT Astra Serif"/>
          <w:sz w:val="28"/>
        </w:rPr>
        <w:t>Республики Саха (Якутия)</w:t>
      </w:r>
      <w:r>
        <w:rPr>
          <w:rFonts w:ascii="PT Astra Serif" w:hAnsi="PT Astra Serif"/>
          <w:sz w:val="28"/>
        </w:rPr>
        <w:t xml:space="preserve"> от </w:t>
      </w:r>
      <w:r>
        <w:rPr>
          <w:rFonts w:ascii="PT Astra Serif" w:hAnsi="PT Astra Serif"/>
          <w:sz w:val="28"/>
        </w:rPr>
        <w:t>24 сентября</w:t>
      </w:r>
      <w:r>
        <w:rPr>
          <w:rFonts w:ascii="PT Astra Serif" w:hAnsi="PT Astra Serif"/>
          <w:sz w:val="28"/>
        </w:rPr>
        <w:t xml:space="preserve"> 20</w:t>
      </w:r>
      <w:r>
        <w:rPr>
          <w:rFonts w:ascii="PT Astra Serif" w:hAnsi="PT Astra Serif"/>
          <w:sz w:val="28"/>
        </w:rPr>
        <w:t>21</w:t>
      </w:r>
      <w:r>
        <w:rPr>
          <w:rFonts w:ascii="PT Astra Serif" w:hAnsi="PT Astra Serif"/>
          <w:sz w:val="28"/>
        </w:rPr>
        <w:t xml:space="preserve"> г. № </w:t>
      </w:r>
      <w:r>
        <w:rPr>
          <w:rFonts w:ascii="PT Astra Serif" w:hAnsi="PT Astra Serif"/>
          <w:sz w:val="28"/>
        </w:rPr>
        <w:t>387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Об утверждении Положения о региональном государственном контроле (надзоре) в области розничной продажи алкогольной и спиртосодержащей продукции на терр</w:t>
      </w:r>
      <w:r>
        <w:rPr>
          <w:rFonts w:ascii="PT Astra Serif" w:hAnsi="PT Astra Serif"/>
          <w:sz w:val="28"/>
        </w:rPr>
        <w:t>итории Республики Саха (Якутия)»</w:t>
      </w:r>
      <w:r>
        <w:rPr>
          <w:rFonts w:ascii="PT Astra Serif" w:hAnsi="PT Astra Serif"/>
          <w:sz w:val="28"/>
        </w:rPr>
        <w:t xml:space="preserve"> следующие изменения:</w:t>
      </w:r>
    </w:p>
    <w:p w14:paraId="0E000000">
      <w:pPr>
        <w:numPr>
          <w:numId w:val="1"/>
        </w:numPr>
        <w:spacing w:after="0" w:line="240" w:lineRule="auto"/>
        <w:ind w:firstLine="850" w:left="0"/>
        <w:jc w:val="both"/>
        <w:rPr>
          <w:rFonts w:ascii="PT Astra Serif" w:hAnsi="PT Astra Serif"/>
          <w:sz w:val="28"/>
        </w:rPr>
      </w:pPr>
      <w:r>
        <w:rPr>
          <w:rStyle w:val="Style_1_ch"/>
          <w:rFonts w:ascii="PT Astra Serif" w:hAnsi="PT Astra Serif"/>
          <w:sz w:val="28"/>
        </w:rPr>
        <w:t xml:space="preserve">приложение № 3 </w:t>
      </w:r>
      <w:r>
        <w:rPr>
          <w:rStyle w:val="Style_1_ch"/>
          <w:rFonts w:ascii="PT Astra Serif" w:hAnsi="PT Astra Serif"/>
          <w:sz w:val="28"/>
        </w:rPr>
        <w:t>изложить в редакции согласно приложению № 1 к настоящему постановлению</w:t>
      </w:r>
      <w:r>
        <w:rPr>
          <w:rStyle w:val="Style_1_ch"/>
          <w:rFonts w:ascii="PT Astra Serif" w:hAnsi="PT Astra Serif"/>
          <w:sz w:val="28"/>
        </w:rPr>
        <w:t>.</w:t>
      </w:r>
    </w:p>
    <w:p w14:paraId="0F000000">
      <w:pPr>
        <w:widowControl w:val="0"/>
        <w:spacing w:after="0" w:line="240" w:lineRule="auto"/>
        <w:ind w:firstLine="850" w:left="0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 xml:space="preserve">. </w:t>
      </w:r>
      <w:r>
        <w:rPr>
          <w:rFonts w:ascii="PT Astra Serif" w:hAnsi="PT Astra Serif"/>
          <w:sz w:val="28"/>
        </w:rPr>
        <w:t>Опубликовать настоящее постановление в официальных средствах массовой информации.</w:t>
      </w:r>
    </w:p>
    <w:p w14:paraId="10000000">
      <w:pPr>
        <w:spacing w:after="0" w:line="360" w:lineRule="exact"/>
        <w:ind w:firstLine="851"/>
        <w:contextualSpacing w:val="1"/>
        <w:jc w:val="both"/>
        <w:rPr>
          <w:rFonts w:ascii="Times New Roman" w:hAnsi="Times New Roman"/>
          <w:sz w:val="28"/>
        </w:rPr>
      </w:pPr>
    </w:p>
    <w:p w14:paraId="11000000">
      <w:pPr>
        <w:spacing w:after="0" w:line="360" w:lineRule="exact"/>
        <w:ind w:firstLine="851"/>
        <w:contextualSpacing w:val="1"/>
        <w:jc w:val="both"/>
        <w:rPr>
          <w:rFonts w:ascii="Times New Roman" w:hAnsi="Times New Roman"/>
          <w:sz w:val="28"/>
        </w:rPr>
      </w:pPr>
    </w:p>
    <w:p w14:paraId="12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13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Правительства</w:t>
      </w:r>
    </w:p>
    <w:p w14:paraId="14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Республики Саха (</w:t>
      </w:r>
      <w:r>
        <w:rPr>
          <w:rFonts w:ascii="Times New Roman" w:hAnsi="Times New Roman"/>
          <w:sz w:val="28"/>
        </w:rPr>
        <w:t>Якутия)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                                      </w:t>
      </w:r>
      <w:r>
        <w:rPr>
          <w:rFonts w:ascii="Times New Roman" w:hAnsi="Times New Roman"/>
          <w:b w:val="1"/>
          <w:color w:val="000000"/>
          <w:sz w:val="28"/>
        </w:rPr>
        <w:tab/>
      </w:r>
      <w:r>
        <w:rPr>
          <w:rFonts w:ascii="Times New Roman" w:hAnsi="Times New Roman"/>
          <w:b w:val="1"/>
          <w:color w:val="000000"/>
          <w:sz w:val="28"/>
        </w:rPr>
        <w:tab/>
      </w:r>
      <w:r>
        <w:rPr>
          <w:rFonts w:ascii="Times New Roman" w:hAnsi="Times New Roman"/>
          <w:sz w:val="28"/>
        </w:rPr>
        <w:t>К. БЫЧКОВ</w:t>
      </w:r>
    </w:p>
    <w:p w14:paraId="15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16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17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18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19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1A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line="240" w:lineRule="auto"/>
        <w:ind/>
        <w:jc w:val="right"/>
        <w:outlineLvl w:val="1"/>
        <w:rPr>
          <w:rFonts w:ascii="PT Astra Serif" w:hAnsi="PT Astra Serif"/>
          <w:sz w:val="28"/>
        </w:rPr>
      </w:pPr>
    </w:p>
    <w:p w14:paraId="1C000000">
      <w:pPr>
        <w:widowControl w:val="0"/>
        <w:spacing w:after="0" w:line="240" w:lineRule="auto"/>
        <w:ind/>
        <w:jc w:val="right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Приложение № 1</w:t>
      </w:r>
    </w:p>
    <w:p w14:paraId="1D000000">
      <w:pPr>
        <w:widowControl w:val="0"/>
        <w:spacing w:after="0" w:line="240" w:lineRule="auto"/>
        <w:ind/>
        <w:jc w:val="right"/>
        <w:rPr>
          <w:rFonts w:ascii="PT Astra Serif" w:hAnsi="PT Astra Serif"/>
          <w:sz w:val="28"/>
        </w:rPr>
      </w:pPr>
      <w:r>
        <w:rPr>
          <w:rStyle w:val="Style_1_ch"/>
          <w:rFonts w:ascii="PT Astra Serif" w:hAnsi="PT Astra Serif"/>
          <w:sz w:val="28"/>
        </w:rPr>
        <w:t xml:space="preserve">к проекту постановления </w:t>
      </w:r>
    </w:p>
    <w:p w14:paraId="1E000000">
      <w:pPr>
        <w:widowControl w:val="0"/>
        <w:spacing w:after="0" w:line="240" w:lineRule="auto"/>
        <w:ind/>
        <w:jc w:val="right"/>
        <w:rPr>
          <w:rFonts w:ascii="PT Astra Serif" w:hAnsi="PT Astra Serif"/>
          <w:sz w:val="28"/>
        </w:rPr>
      </w:pPr>
      <w:r>
        <w:rPr>
          <w:rStyle w:val="Style_1_ch"/>
          <w:rFonts w:ascii="PT Astra Serif" w:hAnsi="PT Astra Serif"/>
          <w:sz w:val="28"/>
        </w:rPr>
        <w:t xml:space="preserve">Правительства </w:t>
      </w:r>
      <w:r>
        <w:rPr>
          <w:rStyle w:val="Style_1_ch"/>
          <w:rFonts w:ascii="PT Astra Serif" w:hAnsi="PT Astra Serif"/>
          <w:sz w:val="28"/>
        </w:rPr>
        <w:t xml:space="preserve">Республики Саха (Якутия) </w:t>
      </w:r>
    </w:p>
    <w:p w14:paraId="1F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0"/>
          <w:sz w:val="28"/>
        </w:rPr>
      </w:pPr>
    </w:p>
    <w:p w14:paraId="20000000">
      <w:pPr>
        <w:widowControl w:val="0"/>
        <w:spacing w:after="0" w:line="240" w:lineRule="auto"/>
        <w:ind/>
        <w:jc w:val="center"/>
        <w:rPr>
          <w:rFonts w:ascii="PT Astra Serif" w:hAnsi="PT Astra Serif"/>
          <w:sz w:val="28"/>
        </w:rPr>
      </w:pPr>
    </w:p>
    <w:p w14:paraId="21000000">
      <w:pPr>
        <w:widowControl w:val="0"/>
        <w:spacing w:after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Перечень</w:t>
      </w:r>
    </w:p>
    <w:p w14:paraId="22000000">
      <w:pPr>
        <w:widowControl w:val="0"/>
        <w:spacing w:after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индикаторов риска нарушения обязательных требований, </w:t>
      </w:r>
      <w:r>
        <w:rPr>
          <w:rFonts w:ascii="PT Astra Serif" w:hAnsi="PT Astra Serif"/>
          <w:sz w:val="28"/>
        </w:rPr>
        <w:t xml:space="preserve">используемых в качестве основания для проведения внеплановых проверок при осуществлении </w:t>
      </w:r>
      <w:r>
        <w:rPr>
          <w:rFonts w:ascii="PT Astra Serif" w:hAnsi="PT Astra Serif"/>
          <w:sz w:val="28"/>
        </w:rPr>
        <w:t>региональн</w:t>
      </w:r>
      <w:r>
        <w:rPr>
          <w:rFonts w:ascii="PT Astra Serif" w:hAnsi="PT Astra Serif"/>
          <w:sz w:val="28"/>
        </w:rPr>
        <w:t>ого</w:t>
      </w:r>
      <w:r>
        <w:rPr>
          <w:rFonts w:ascii="PT Astra Serif" w:hAnsi="PT Astra Serif"/>
          <w:sz w:val="28"/>
        </w:rPr>
        <w:t xml:space="preserve"> государственн</w:t>
      </w:r>
      <w:r>
        <w:rPr>
          <w:rFonts w:ascii="PT Astra Serif" w:hAnsi="PT Astra Serif"/>
          <w:sz w:val="28"/>
        </w:rPr>
        <w:t>ого</w:t>
      </w:r>
      <w:r>
        <w:rPr>
          <w:rFonts w:ascii="PT Astra Serif" w:hAnsi="PT Astra Serif"/>
          <w:sz w:val="28"/>
        </w:rPr>
        <w:t xml:space="preserve"> контроля (надзора)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в области розничной продажи алкогольной и спиртосодержащей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продукции на территории Республики Саха (Якутия)</w:t>
      </w:r>
    </w:p>
    <w:p w14:paraId="23000000">
      <w:pPr>
        <w:tabs>
          <w:tab w:leader="none" w:pos="0" w:val="left"/>
        </w:tabs>
        <w:ind w:firstLine="709"/>
        <w:jc w:val="center"/>
        <w:rPr>
          <w:rFonts w:ascii="PT Astra Serif" w:hAnsi="PT Astra Serif"/>
          <w:b w:val="1"/>
          <w:sz w:val="24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37"/>
        <w:gridCol w:w="8417"/>
      </w:tblGrid>
      <w:tr>
        <w:trPr>
          <w:trHeight w:hRule="atLeast" w:val="379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00000">
            <w:pPr>
              <w:ind/>
              <w:jc w:val="center"/>
              <w:rPr>
                <w:rFonts w:ascii="PT Astra Serif" w:hAnsi="PT Astra Serif"/>
                <w:b w:val="0"/>
                <w:color w:val="000000"/>
                <w:sz w:val="24"/>
              </w:rPr>
            </w:pPr>
            <w:r>
              <w:rPr>
                <w:rFonts w:ascii="PT Astra Serif" w:hAnsi="PT Astra Serif"/>
                <w:b w:val="0"/>
                <w:color w:val="000000"/>
                <w:sz w:val="24"/>
              </w:rPr>
              <w:t>№ п/п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00000">
            <w:pPr>
              <w:ind/>
              <w:jc w:val="center"/>
              <w:rPr>
                <w:rFonts w:ascii="PT Astra Serif" w:hAnsi="PT Astra Serif"/>
                <w:b w:val="0"/>
                <w:color w:val="000000"/>
                <w:sz w:val="24"/>
              </w:rPr>
            </w:pPr>
            <w:r>
              <w:rPr>
                <w:rFonts w:ascii="PT Astra Serif" w:hAnsi="PT Astra Serif"/>
                <w:b w:val="0"/>
                <w:color w:val="000000"/>
                <w:sz w:val="24"/>
              </w:rPr>
              <w:t xml:space="preserve">Наименование индикатора риска нарушения обязательных требований </w:t>
            </w:r>
          </w:p>
        </w:tc>
      </w:tr>
      <w:t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00000">
            <w:pPr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ind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Превышение (на основании сведений е</w:t>
            </w:r>
            <w:r>
              <w:rPr>
                <w:rFonts w:ascii="PT Astra Serif" w:hAnsi="PT Astra Serif"/>
                <w:color w:val="000000"/>
                <w:sz w:val="24"/>
              </w:rPr>
              <w:t>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продукции)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на 20 и более процентов объема алкогольной продукции, маркированно</w:t>
            </w:r>
            <w:r>
              <w:rPr>
                <w:rFonts w:ascii="PT Astra Serif" w:hAnsi="PT Astra Serif"/>
                <w:color w:val="000000"/>
                <w:sz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федеральными специальными марками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, закупленной контролируемым лицом, в прошедшем квартале, при отсутствии увеличения объема реализации таким лицом алкогольной продукции, на 5 и более процентов за аналогичный период времени </w:t>
            </w:r>
          </w:p>
        </w:tc>
      </w:tr>
      <w:tr>
        <w:trPr>
          <w:trHeight w:hRule="atLeast" w:val="1743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00000">
            <w:pPr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2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ind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Списание алкогольной продукции по основаниям, не связанным с ее реализацией (</w:t>
            </w:r>
            <w:r>
              <w:rPr>
                <w:rFonts w:ascii="PT Astra Serif" w:hAnsi="PT Astra Serif"/>
                <w:color w:val="000000"/>
                <w:sz w:val="24"/>
              </w:rPr>
              <w:t>на основани</w:t>
            </w:r>
            <w:r>
              <w:rPr>
                <w:rFonts w:ascii="PT Astra Serif" w:hAnsi="PT Astra Serif"/>
                <w:color w:val="000000"/>
                <w:sz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сведений е</w:t>
            </w:r>
            <w:r>
              <w:rPr>
                <w:rFonts w:ascii="PT Astra Serif" w:hAnsi="PT Astra Serif"/>
                <w:color w:val="000000"/>
                <w:sz w:val="24"/>
              </w:rPr>
              <w:t>диной государственной автоматизированной информационной системы)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, в течение </w:t>
            </w:r>
            <w:r>
              <w:rPr>
                <w:rFonts w:ascii="PT Astra Serif" w:hAnsi="PT Astra Serif"/>
                <w:color w:val="000000"/>
                <w:sz w:val="24"/>
              </w:rPr>
              <w:t>прошедшего квартала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в объеме, превышающем 20 процентов от общего объема реализованной контролируемым лицом алкогольной продукции за указанный период</w:t>
            </w:r>
          </w:p>
        </w:tc>
      </w:tr>
      <w:tr>
        <w:trPr>
          <w:trHeight w:hRule="atLeast" w:val="2218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00000">
            <w:pPr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3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Фиксация в е</w:t>
            </w:r>
            <w:r>
              <w:rPr>
                <w:rFonts w:ascii="PT Astra Serif" w:hAnsi="PT Astra Serif"/>
                <w:color w:val="000000"/>
                <w:sz w:val="24"/>
              </w:rPr>
              <w:t>диной государственной автоматизированной информационной системы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в течение прошедшего квартала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возвратов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контролируемым лицом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поставщикам </w:t>
            </w:r>
            <w:r>
              <w:rPr>
                <w:rFonts w:ascii="PT Astra Serif" w:hAnsi="PT Astra Serif"/>
                <w:color w:val="000000"/>
                <w:sz w:val="24"/>
              </w:rPr>
              <w:t>алкогольной продукции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, которая подлежит маркировке </w:t>
            </w:r>
            <w:r>
              <w:rPr>
                <w:rFonts w:ascii="PT Astra Serif" w:hAnsi="PT Astra Serif"/>
                <w:color w:val="000000"/>
                <w:sz w:val="24"/>
              </w:rPr>
              <w:t>федеральными специальными марками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, </w:t>
            </w:r>
            <w:r>
              <w:rPr>
                <w:rFonts w:ascii="PT Astra Serif" w:hAnsi="PT Astra Serif"/>
                <w:color w:val="000000"/>
                <w:sz w:val="24"/>
              </w:rPr>
              <w:t>либо отказов в принятии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такой продукции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при условии, что объем возврата либо отказа в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ее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принятии превышает </w:t>
            </w:r>
            <w:r>
              <w:rPr>
                <w:rFonts w:ascii="PT Astra Serif" w:hAnsi="PT Astra Serif"/>
                <w:color w:val="000000"/>
                <w:sz w:val="24"/>
              </w:rPr>
              <w:t>2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0 процентов от общего объема закупленной за тот же квартал </w:t>
            </w:r>
            <w:r>
              <w:rPr>
                <w:rFonts w:ascii="PT Astra Serif" w:hAnsi="PT Astra Serif"/>
                <w:color w:val="000000"/>
                <w:sz w:val="24"/>
              </w:rPr>
              <w:t>аналогичной алкогольной продукции</w:t>
            </w:r>
          </w:p>
        </w:tc>
      </w:tr>
      <w:tr>
        <w:trPr>
          <w:trHeight w:hRule="atLeast" w:val="1972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00000">
            <w:pPr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4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ind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Фиксация в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е</w:t>
            </w:r>
            <w:r>
              <w:rPr>
                <w:rFonts w:ascii="PT Astra Serif" w:hAnsi="PT Astra Serif"/>
                <w:color w:val="000000"/>
                <w:sz w:val="24"/>
              </w:rPr>
              <w:t>диной государственной автоматизированной информационной системе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</w:rPr>
              <w:t>в течение прошедшего квартала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возвратов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контролируемым лицом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поставщикам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пива и пивных напитков, сидра, </w:t>
            </w:r>
            <w:r>
              <w:rPr>
                <w:rFonts w:ascii="PT Astra Serif" w:hAnsi="PT Astra Serif"/>
                <w:color w:val="000000"/>
                <w:sz w:val="24"/>
              </w:rPr>
              <w:t>пуаре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, медовухи </w:t>
            </w:r>
            <w:r>
              <w:rPr>
                <w:rFonts w:ascii="PT Astra Serif" w:hAnsi="PT Astra Serif"/>
                <w:color w:val="000000"/>
                <w:sz w:val="24"/>
              </w:rPr>
              <w:t>либо отказов в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их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принятии, при условии, что объем возврата либо отказа в принятии превышает </w:t>
            </w:r>
            <w:r>
              <w:rPr>
                <w:rFonts w:ascii="PT Astra Serif" w:hAnsi="PT Astra Serif"/>
                <w:color w:val="000000"/>
                <w:sz w:val="24"/>
              </w:rPr>
              <w:t>2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0 процентов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от общего объема </w:t>
            </w:r>
            <w:r>
              <w:rPr>
                <w:rFonts w:ascii="PT Astra Serif" w:hAnsi="PT Astra Serif"/>
                <w:color w:val="000000"/>
                <w:sz w:val="24"/>
              </w:rPr>
              <w:t>закупленн</w:t>
            </w:r>
            <w:r>
              <w:rPr>
                <w:rFonts w:ascii="PT Astra Serif" w:hAnsi="PT Astra Serif"/>
                <w:color w:val="000000"/>
                <w:sz w:val="24"/>
              </w:rPr>
              <w:t>ых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за тот же квартал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пива и пивных напитков, сидра, </w:t>
            </w:r>
            <w:r>
              <w:rPr>
                <w:rFonts w:ascii="PT Astra Serif" w:hAnsi="PT Astra Serif"/>
                <w:color w:val="000000"/>
                <w:sz w:val="24"/>
              </w:rPr>
              <w:t>пуаре</w:t>
            </w:r>
            <w:r>
              <w:rPr>
                <w:rFonts w:ascii="PT Astra Serif" w:hAnsi="PT Astra Serif"/>
                <w:color w:val="000000"/>
                <w:sz w:val="24"/>
              </w:rPr>
              <w:t>, медовухи</w:t>
            </w:r>
          </w:p>
        </w:tc>
      </w:tr>
      <w:tr>
        <w:trPr>
          <w:trHeight w:hRule="atLeast" w:val="1625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00000">
            <w:pPr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5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ind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Увеличение в течение квартала по сравнению с предыдущим кварталом более чем на 20 процентов объема закупки и (или) розничной продажи маркированной алкогольной продукции организациями, имеющими лицензию на рознично продажу алкогольной продукции и (или) розничную продажу алкогольной продукции при оказании услуг общественного питания </w:t>
            </w:r>
          </w:p>
        </w:tc>
      </w:tr>
      <w:tr>
        <w:trPr>
          <w:trHeight w:hRule="atLeast" w:val="615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00000">
            <w:pPr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6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ind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Наличие (на основании сведений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е</w:t>
            </w:r>
            <w:r>
              <w:rPr>
                <w:rFonts w:ascii="PT Astra Serif" w:hAnsi="PT Astra Serif"/>
                <w:color w:val="000000"/>
                <w:sz w:val="24"/>
              </w:rPr>
              <w:t>диной государственной автоматизированной информационной системы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)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на отчетную дату остатков алкогольной продукции в объекте розничной продажи (в том числе при оказании услуг общественного питания) в объеме, превышающем объем розничной продажи алкогольной продукции на этом объекте в течение 90 календарных дней, предшествующих дате получения информации об остатках </w:t>
            </w:r>
          </w:p>
        </w:tc>
      </w:tr>
      <w:tr>
        <w:trPr>
          <w:trHeight w:hRule="atLeast" w:val="615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7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ind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Наличие информации в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е</w:t>
            </w:r>
            <w:r>
              <w:rPr>
                <w:rFonts w:ascii="PT Astra Serif" w:hAnsi="PT Astra Serif"/>
                <w:color w:val="000000"/>
                <w:sz w:val="24"/>
              </w:rPr>
              <w:t>диной государственной автоматизированной информационной системе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о превышени</w:t>
            </w:r>
            <w:r>
              <w:rPr>
                <w:rFonts w:ascii="PT Astra Serif" w:hAnsi="PT Astra Serif"/>
                <w:color w:val="000000"/>
                <w:sz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объема закупки алкогольной продукции </w:t>
            </w:r>
            <w:r>
              <w:rPr>
                <w:rFonts w:ascii="PT Astra Serif" w:hAnsi="PT Astra Serif"/>
                <w:color w:val="000000"/>
                <w:sz w:val="24"/>
              </w:rPr>
              <w:t>в объекте розничной продажи (в том числе при оказании услуг общественного питания) за 2 прошедших квартала над объемом розничной продажи на этом объекте более чем на 50 процентов такой продукции за тот же период времени</w:t>
            </w:r>
          </w:p>
        </w:tc>
      </w:tr>
      <w:tr>
        <w:trPr>
          <w:trHeight w:hRule="atLeast" w:val="615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00000">
            <w:pPr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8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Фиксация в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е</w:t>
            </w:r>
            <w:r>
              <w:rPr>
                <w:rFonts w:ascii="PT Astra Serif" w:hAnsi="PT Astra Serif"/>
                <w:color w:val="000000"/>
                <w:sz w:val="24"/>
              </w:rPr>
              <w:t>диной государственной автоматизированной информационной системе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в течение 30 дней контролируемым лицом списания алкогольной продукции для приготовления с указанием объема продукции (в миллилитрах порционно) и (или) информации о розничной продаже алкогольной продукции (в миллилитрах порционно), которая был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а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осуществлена при оказании услуг общественного питания, в объеме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менее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10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процентов от среднемесячного (за год)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общего </w:t>
            </w:r>
            <w:r>
              <w:rPr>
                <w:rFonts w:ascii="PT Astra Serif" w:hAnsi="PT Astra Serif"/>
                <w:color w:val="000000"/>
                <w:sz w:val="24"/>
              </w:rPr>
              <w:t>объёма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списания и (или) розничной продажи алкогольной продукции 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615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9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Наличие (на основании данных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е</w:t>
            </w:r>
            <w:r>
              <w:rPr>
                <w:rFonts w:ascii="PT Astra Serif" w:hAnsi="PT Astra Serif"/>
                <w:color w:val="000000"/>
                <w:sz w:val="24"/>
              </w:rPr>
              <w:t>диной государственной автоматизированной информационной системы</w:t>
            </w:r>
            <w:r>
              <w:rPr>
                <w:rFonts w:ascii="PT Astra Serif" w:hAnsi="PT Astra Serif"/>
                <w:color w:val="000000"/>
                <w:sz w:val="24"/>
              </w:rPr>
              <w:t>) в течение календарного месяца двух и более случаев превышенияв пределах одних суток объема продаж алкогольной продукции в объекте общественного питания в установленное законодательством субъекта Российской Федерации время, запрещенное для розничной продажи алкогольной продукции , более чем, на 50 процентов по сравнению с объемом продаж в установленное для данной продажи разрешенное время на этом же объекте.</w:t>
            </w:r>
          </w:p>
        </w:tc>
      </w:tr>
      <w:tr>
        <w:trPr>
          <w:trHeight w:hRule="atLeast" w:val="2647"/>
        </w:trPr>
        <w:tc>
          <w:tcPr>
            <w:tcW w:type="dxa" w:w="9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00000">
            <w:pPr>
              <w:ind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10</w:t>
            </w:r>
          </w:p>
        </w:tc>
        <w:tc>
          <w:tcPr>
            <w:tcW w:type="dxa" w:w="8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00000">
            <w:pPr>
              <w:spacing w:after="120" w:before="120"/>
              <w:ind w:firstLine="0" w:left="120" w:right="120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Наличие в течение календарного месяца двух и более случаев реализации более 50 процентов алкогольной продукции на основании сведений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е</w:t>
            </w:r>
            <w:r>
              <w:rPr>
                <w:rFonts w:ascii="PT Astra Serif" w:hAnsi="PT Astra Serif"/>
                <w:color w:val="000000"/>
                <w:sz w:val="24"/>
              </w:rPr>
              <w:t>диной государственной автоматизированной информационной системы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 в период за час до наступления и час после окончания времени ограничения розничной продажи алкогольной продукции, установленного законодательством субъекта Российской Федерации, от общего объема алкогольной продукции, реализованной в объекте розничной продажи такой продукции в течение календарного дня</w:t>
            </w:r>
          </w:p>
        </w:tc>
      </w:tr>
    </w:tbl>
    <w:p w14:paraId="3A000000">
      <w:pPr>
        <w:pStyle w:val="Style_2"/>
        <w:ind/>
        <w:jc w:val="both"/>
        <w:rPr>
          <w:rFonts w:ascii="PT Astra Serif" w:hAnsi="PT Astra Serif"/>
          <w:sz w:val="24"/>
        </w:rPr>
      </w:pPr>
    </w:p>
    <w:sectPr>
      <w:pgSz w:h="16838" w:orient="portrait" w:w="11906"/>
      <w:pgMar w:bottom="1134" w:footer="708" w:gutter="0" w:header="708" w:left="1701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200" w:line="276" w:lineRule="auto"/>
      <w:ind/>
    </w:pPr>
    <w:rPr>
      <w:rFonts w:ascii="Calibri" w:hAnsi="Calibri"/>
    </w:rPr>
  </w:style>
  <w:style w:default="1" w:styleId="Style_1_ch" w:type="character">
    <w:name w:val="Normal"/>
    <w:link w:val="Style_1"/>
    <w:rPr>
      <w:rFonts w:ascii="Calibri" w:hAnsi="Calibri"/>
    </w:rPr>
  </w:style>
  <w:style w:styleId="Style_4" w:type="paragraph">
    <w:name w:val="toc 2"/>
    <w:next w:val="Style_1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5"/>
    <w:next w:val="Style_1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Normal (Web)"/>
    <w:basedOn w:val="Style_1"/>
    <w:link w:val="Style_2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4_ch" w:type="character">
    <w:name w:val="Normal (Web)"/>
    <w:basedOn w:val="Style_1_ch"/>
    <w:link w:val="Style_24"/>
    <w:rPr>
      <w:rFonts w:ascii="Times New Roman" w:hAnsi="Times New Roman"/>
      <w:sz w:val="24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2026-08-14T08:15:06Z</dcterms:modified>
</cp:coreProperties>
</file>