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4"/>
        <w:gridCol w:w="1489"/>
        <w:gridCol w:w="4038"/>
      </w:tblGrid>
      <w:tr>
        <w:trPr/>
        <w:tc>
          <w:tcPr>
            <w:tcW w:w="404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  <w:t>Министерство предпринимательства,</w:t>
            </w:r>
          </w:p>
          <w:p>
            <w:pPr>
              <w:pStyle w:val="Normal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  <w:t>торговли и туризма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lang w:val="sah-RU"/>
              </w:rPr>
              <w:t>Республики Саха (Якутия)</w:t>
            </w:r>
          </w:p>
        </w:tc>
        <w:tc>
          <w:tcPr>
            <w:tcW w:w="1489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drawing>
                <wp:inline distT="0" distB="0" distL="0" distR="0">
                  <wp:extent cx="676275" cy="676275"/>
                  <wp:effectExtent l="0" t="0" r="0" b="0"/>
                  <wp:docPr id="1" name="Рисунок 3" descr="Герб РС(Я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Герб РС(Я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8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Normal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  <w:t>Саха Өрөспүүбүлүкэтин</w:t>
            </w:r>
          </w:p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  <w:lang w:val="sah-RU"/>
              </w:rPr>
              <w:t>Урбааҥҥа, эргиэҥҥэ уонна туризмҥа министиэристибэтэ</w:t>
            </w:r>
          </w:p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Normal"/>
              <w:rPr>
                <w:lang w:val="sah-RU"/>
              </w:rPr>
            </w:pPr>
            <w:r>
              <w:rPr>
                <w:lang w:val="sah-RU"/>
              </w:rPr>
            </w:r>
          </w:p>
        </w:tc>
      </w:tr>
      <w:tr>
        <w:trPr/>
        <w:tc>
          <w:tcPr>
            <w:tcW w:w="9571" w:type="dxa"/>
            <w:gridSpan w:val="3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  <w:lang w:val="sah-RU"/>
              </w:rPr>
            </w:pPr>
            <w:r>
              <w:rPr>
                <w:sz w:val="20"/>
                <w:szCs w:val="20"/>
                <w:lang w:val="sah-RU"/>
              </w:rPr>
              <w:t>677000, пр.Ленина, 22, Якутск, Республика Саха (Якутия)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ah-RU"/>
              </w:rPr>
              <w:t xml:space="preserve">тел.: (4112) 506-224, </w:t>
            </w:r>
            <w:r>
              <w:rPr>
                <w:sz w:val="20"/>
                <w:szCs w:val="20"/>
                <w:lang w:val="en-US"/>
              </w:rPr>
              <w:t>e-mail</w:t>
            </w:r>
            <w:r>
              <w:rPr>
                <w:sz w:val="20"/>
                <w:szCs w:val="20"/>
                <w:lang w:val="sah-RU"/>
              </w:rPr>
              <w:t xml:space="preserve">: </w:t>
            </w:r>
            <w:hyperlink r:id="rId3">
              <w:r>
                <w:rPr>
                  <w:rStyle w:val="Hyperlink"/>
                  <w:sz w:val="20"/>
                  <w:szCs w:val="20"/>
                  <w:lang w:val="en-US"/>
                </w:rPr>
                <w:t>minpred@sakha.gov.ru</w:t>
              </w:r>
            </w:hyperlink>
            <w:r>
              <w:rPr>
                <w:sz w:val="20"/>
                <w:szCs w:val="20"/>
                <w:lang w:val="sah-RU"/>
              </w:rPr>
              <w:t>;</w:t>
            </w:r>
            <w:r>
              <w:rPr>
                <w:sz w:val="20"/>
                <w:szCs w:val="20"/>
                <w:lang w:val="en-US"/>
              </w:rPr>
              <w:t xml:space="preserve"> https:// </w:t>
            </w:r>
            <w:hyperlink r:id="rId4">
              <w:r>
                <w:rPr>
                  <w:rStyle w:val="Hyperlink"/>
                  <w:sz w:val="20"/>
                  <w:szCs w:val="20"/>
                  <w:lang w:val="en-US"/>
                </w:rPr>
                <w:t>minpred.sakha.gov.ru</w:t>
              </w:r>
            </w:hyperlink>
            <w:r>
              <w:rPr>
                <w:sz w:val="20"/>
                <w:szCs w:val="20"/>
                <w:lang w:val="en-US"/>
              </w:rPr>
              <w:t>/</w:t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9571" w:type="dxa"/>
            <w:gridSpan w:val="3"/>
            <w:tcBorders/>
            <w:shd w:color="auto" w:fill="auto" w:val="clear"/>
          </w:tcPr>
          <w:p>
            <w:pPr>
              <w:pStyle w:val="Normal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bookmarkStart w:id="0" w:name="regnumdatestamp"/>
            <w:bookmarkStart w:id="1" w:name="regnumdatestamp"/>
            <w:bookmarkEnd w:id="1"/>
          </w:p>
          <w:p>
            <w:pPr>
              <w:pStyle w:val="Normal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</w:r>
          </w:p>
        </w:tc>
      </w:tr>
    </w:tbl>
    <w:p>
      <w:pPr>
        <w:pStyle w:val="Normal"/>
        <w:widowControl w:val="false"/>
        <w:overflowPunct w:val="false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>
      <w:pPr>
        <w:pStyle w:val="Normal"/>
        <w:widowControl w:val="false"/>
        <w:overflowPunct w:val="false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overflowPunct w:val="false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г. Якутск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72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изменений в административный регламент Министерства предпринимательства, торговли и туризма Республики Саха (Якутия) по предоставлению государственной услуги «Лицензирование розничной продажи алкогольной продукции и розничной продажи алкогольной продукции при оказании услуг общественного питания (за исключением лицензирования производства, поставок, хранения и розничной продажи произведенной сельскохозяйственными товаропроизводителями винодельческой продукции)» утвержденный приказом Министерства предпринимательства, торговли и туризма Республики Саха (Якутия) от 13 мая 2026 года № П-83/од</w:t>
      </w:r>
    </w:p>
    <w:p>
      <w:pPr>
        <w:pStyle w:val="NoSpacing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Spacing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Spacing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Порядком разработки и утверждения административного регламента предоставления государственной услуги, утвержденного постановлением Правительства Республики Саха (Якутия) от 26 августа 2021 года № 296, </w:t>
      </w:r>
      <w:r>
        <w:rPr>
          <w:rFonts w:ascii="PT Astra Serif" w:hAnsi="PT Astra Serif"/>
          <w:sz w:val="28"/>
          <w:szCs w:val="28"/>
        </w:rPr>
        <w:t>во исполнение п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остановлени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я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Правительства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Российской Федерации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от 16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мая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2026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года №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561 «О внесении изменений в постановление Правительства Российской Федерации от 31 марта 2022 г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ода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№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541»,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вносящее изменения в 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Правил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</w:t>
      </w:r>
      <w:r>
        <w:rPr>
          <w:rFonts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проведения оценки соответствия заявителя лицензионным требованиям и (или) обязательным требованиям в рамках предоставления исполнительным органом субъекта Российской Федерации государственной услуги, предусмотренной статьей 19 (в части лицензирования)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r>
        <w:rPr>
          <w:rFonts w:ascii="PT Astra Serif" w:hAnsi="PT Astra Serif"/>
          <w:sz w:val="28"/>
          <w:szCs w:val="28"/>
        </w:rPr>
        <w:t>руководствуясь Положением о Министерстве предпринимательства, торговли и туризма Республики Саха (Якутия), утвержденным постановлением Правительства Республики Саха (Якутия) от 11 марта 2022 года № 137, приказываю:</w:t>
      </w:r>
    </w:p>
    <w:p>
      <w:pPr>
        <w:pStyle w:val="NoSpacing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 Внести в административный регламент Министерства предпринимательства, торговли и туризма Республики Саха (Якутия) по предоставлению государственной услуги «Лицензирование розничной продажи алкогольной продукции и розничной продажи алкогольной продукции при оказании услуг общественного питания (за исключением лицензирования производства, поставок, хранения и розничной продажи произведенной сельскохозяйственными товаропроизводителями винодельческой продукции)» утвержденный приказом Министерства предпринимательства, торговли и туризма Республики Саха (Якутия</w:t>
      </w:r>
      <w:r>
        <w:rPr>
          <w:rFonts w:eastAsia="Times New Roman" w:cs="Times New Roman" w:ascii="PT Astra Serif" w:hAnsi="PT Astra Serif"/>
          <w:sz w:val="28"/>
          <w:szCs w:val="28"/>
          <w:lang w:eastAsia="ru-RU"/>
        </w:rPr>
        <w:t xml:space="preserve">) от 13 мая 2026 года № П-83/од </w:t>
      </w: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 xml:space="preserve">(зарегистрирован 18 мая 2026 г., регистрационный N RU1401420223103) </w:t>
      </w:r>
      <w:r>
        <w:rPr>
          <w:rFonts w:eastAsia="Times New Roman" w:cs="Times New Roman" w:ascii="PT Astra Serif" w:hAnsi="PT Astra Serif"/>
          <w:sz w:val="28"/>
          <w:szCs w:val="28"/>
          <w:lang w:eastAsia="ru-RU"/>
        </w:rPr>
        <w:t>(далее — Административный регламент), следующие изменения:</w:t>
      </w:r>
    </w:p>
    <w:p>
      <w:pPr>
        <w:pStyle w:val="NoSpacing"/>
        <w:spacing w:lineRule="auto" w:line="360" w:before="0" w:after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1.1.</w:t>
      </w:r>
      <w:r>
        <w:rPr/>
        <w:t xml:space="preserve"> </w:t>
      </w:r>
      <w:r>
        <w:rPr>
          <w:rFonts w:ascii="PT Astra Serif" w:hAnsi="PT Astra Serif"/>
          <w:sz w:val="28"/>
          <w:szCs w:val="28"/>
        </w:rPr>
        <w:t>Подразд</w:t>
      </w:r>
      <w:r>
        <w:rPr>
          <w:rFonts w:eastAsia="Times New Roman" w:cs="Times New Roman" w:ascii="PT Astra Serif" w:hAnsi="PT Astra Serif"/>
          <w:sz w:val="28"/>
          <w:szCs w:val="28"/>
          <w:lang w:eastAsia="ru-RU"/>
        </w:rPr>
        <w:t>ел «Оценка сведений о заявителе и (или) объектах, принадлежащих заявителю, и (или) иных объектах» Административного регламента:</w:t>
      </w:r>
    </w:p>
    <w:p>
      <w:pPr>
        <w:pStyle w:val="NoSpacing"/>
        <w:spacing w:lineRule="auto" w:line="360" w:before="0" w:after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1.1.1. В подпункте а) пункта 58 </w:t>
      </w:r>
      <w:r>
        <w:rPr>
          <w:rFonts w:eastAsia="Times New Roman" w:cs="Times New Roman" w:ascii="PT Astra Serif" w:hAnsi="PT Astra Serif"/>
          <w:sz w:val="28"/>
          <w:szCs w:val="28"/>
          <w:lang w:eastAsia="ru-RU"/>
        </w:rPr>
        <w:t>добавить абзацы следующего содержания:</w:t>
      </w:r>
    </w:p>
    <w:p>
      <w:pPr>
        <w:pStyle w:val="NoSpacing"/>
        <w:spacing w:lineRule="auto" w:line="360" w:before="0" w:after="0"/>
        <w:ind w:firstLine="709"/>
        <w:contextualSpacing/>
        <w:jc w:val="both"/>
        <w:rPr/>
      </w:pPr>
      <w:r>
        <w:rPr>
          <w:rFonts w:ascii="PT Astra Serif" w:hAnsi="PT Astra Serif"/>
          <w:sz w:val="28"/>
          <w:szCs w:val="28"/>
        </w:rPr>
        <w:t>«Акт несоответствия оформляется в одном экземпляре и с копиями приложений направляется в форме электронного документа, подписанного усиленной квалифицированной электронной подписью лица, составившего этот акт, заявителю, иному должностному лицу или уполномоченному представителю заявителя. При этом акт несоответствия, направленный в форме электронного документа по адресу электронной почты, по которому лицензирующий орган осуществляет переписку, направление решений, извещений и уведомлений с использованием электронной подписи, или посредством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(в зависимости от способа подачи заявления на предоставление государственной услуги), считается полученным заявителем.</w:t>
      </w:r>
    </w:p>
    <w:p>
      <w:pPr>
        <w:pStyle w:val="BodyText"/>
        <w:spacing w:lineRule="auto" w:line="360" w:before="0" w:after="0"/>
        <w:ind w:firstLine="709"/>
        <w:contextualSpacing/>
        <w:jc w:val="both"/>
        <w:rPr/>
      </w:pPr>
      <w:r>
        <w:rPr>
          <w:rFonts w:ascii="PT Astra Serif" w:hAnsi="PT Astra Serif"/>
          <w:b w:val="false"/>
          <w:sz w:val="28"/>
          <w:szCs w:val="28"/>
        </w:rPr>
        <w:t>Заявитель, оценка без выезда которого проводилась, в случае нес</w:t>
      </w:r>
      <w:r>
        <w:rPr>
          <w:rFonts w:eastAsia="Times New Roman" w:cs="Times New Roman" w:ascii="PT Astra Serif" w:hAnsi="PT Astra Serif"/>
          <w:b w:val="false"/>
          <w:color w:val="auto"/>
          <w:kern w:val="0"/>
          <w:sz w:val="28"/>
          <w:szCs w:val="28"/>
          <w:lang w:val="ru-RU" w:eastAsia="ru-RU" w:bidi="ar-SA"/>
        </w:rPr>
        <w:t>огласия с фактами, выводами или предложениями, изложенным</w:t>
      </w:r>
      <w:r>
        <w:rPr>
          <w:rFonts w:eastAsia="Times New Roman" w:cs="Times New Roman" w:ascii="PT Astra Serif" w:hAnsi="PT Astra Serif"/>
          <w:b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и в </w:t>
      </w:r>
      <w:r>
        <w:rPr>
          <w:rStyle w:val="Hyperlink"/>
          <w:rFonts w:eastAsia="Times New Roman" w:cs="Times New Roman" w:ascii="PT Astra Serif" w:hAnsi="PT Astra Serif"/>
          <w:b w:val="false"/>
          <w:color w:val="auto"/>
          <w:kern w:val="0"/>
          <w:sz w:val="28"/>
          <w:szCs w:val="28"/>
          <w:u w:val="none"/>
          <w:lang w:val="ru-RU" w:eastAsia="ru-RU" w:bidi="ar-SA"/>
        </w:rPr>
        <w:t>акте</w:t>
      </w:r>
      <w:r>
        <w:rPr>
          <w:rFonts w:eastAsia="Times New Roman" w:cs="Times New Roman" w:ascii="PT Astra Serif" w:hAnsi="PT Astra Serif"/>
          <w:b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несоот</w:t>
      </w:r>
      <w:r>
        <w:rPr>
          <w:rFonts w:eastAsia="Times New Roman" w:cs="Times New Roman" w:ascii="PT Astra Serif" w:hAnsi="PT Astra Serif"/>
          <w:b w:val="false"/>
          <w:color w:val="auto"/>
          <w:kern w:val="0"/>
          <w:sz w:val="28"/>
          <w:szCs w:val="28"/>
          <w:lang w:val="ru-RU" w:eastAsia="ru-RU" w:bidi="ar-SA"/>
        </w:rPr>
        <w:t>ветствия, в течение 5 рабочих дней со дня получения акта несоот</w:t>
      </w:r>
      <w:r>
        <w:rPr>
          <w:rFonts w:ascii="PT Astra Serif" w:hAnsi="PT Astra Serif"/>
          <w:b w:val="false"/>
          <w:sz w:val="28"/>
          <w:szCs w:val="28"/>
        </w:rPr>
        <w:t>ветствия вправе представить в соответствующий лицензирующий орган в письменной форме возражения в отношении акта несоответствия в целом или его отдельных положений. При этом заявитель вправе приложить к таким возражениям документы, подтверждающие обоснованность возражений.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заявителя.</w:t>
      </w:r>
      <w:r>
        <w:rPr>
          <w:rFonts w:ascii="PT Astra Serif" w:hAnsi="PT Astra Serif"/>
          <w:sz w:val="28"/>
          <w:szCs w:val="28"/>
        </w:rPr>
        <w:t>».</w:t>
      </w:r>
    </w:p>
    <w:p>
      <w:pPr>
        <w:pStyle w:val="NoSpacing"/>
        <w:spacing w:lineRule="auto" w:line="360" w:before="0" w:after="0"/>
        <w:ind w:firstLine="709"/>
        <w:contextualSpacing/>
        <w:jc w:val="both"/>
        <w:rPr/>
      </w:pPr>
      <w:r>
        <w:rPr>
          <w:rFonts w:ascii="PT Astra Serif" w:hAnsi="PT Astra Serif"/>
          <w:b w:val="false"/>
          <w:sz w:val="28"/>
          <w:szCs w:val="28"/>
        </w:rPr>
        <w:t xml:space="preserve">1.1.2. В подпункте б) пункта 58  </w:t>
      </w: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>добавить второй абзац следующего содержания:</w:t>
      </w:r>
    </w:p>
    <w:p>
      <w:pPr>
        <w:pStyle w:val="BodyText"/>
        <w:widowControl/>
        <w:bidi w:val="0"/>
        <w:spacing w:lineRule="auto" w:line="360" w:before="0" w:after="0"/>
        <w:ind w:firstLine="709"/>
        <w:contextualSpacing/>
        <w:jc w:val="both"/>
        <w:rPr>
          <w:rFonts w:ascii="PT Astra Serif" w:hAnsi="PT Astra Serif" w:eastAsia="Times New Roman" w:cs="Times New Roman"/>
          <w:b w:val="false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>«Заявитель уведомляется о проведении выездной оценки не позднее чем за 24 часа до ее начала путем направления копии приказа (распоряжения) о назначении выездной оценки по адресу электронной почты, по которому лицензирующий орган осуществляет переписку, направление решений, извещений и уведомлений с использованием электронной подписи, или посредством единого портала или региональных порталов государственных и муниципальных услуг (в зависимости от способа подачи заявления на предоставление государственной услуги).»</w:t>
      </w:r>
    </w:p>
    <w:p>
      <w:pPr>
        <w:pStyle w:val="BodyText"/>
        <w:widowControl/>
        <w:bidi w:val="0"/>
        <w:spacing w:lineRule="auto" w:line="360" w:before="0" w:after="0"/>
        <w:ind w:firstLine="709"/>
        <w:contextualSpacing/>
        <w:jc w:val="both"/>
        <w:rPr/>
      </w:pPr>
      <w:r>
        <w:rPr>
          <w:rFonts w:ascii="PT Astra Serif" w:hAnsi="PT Astra Serif"/>
          <w:b w:val="false"/>
          <w:sz w:val="28"/>
          <w:szCs w:val="28"/>
        </w:rPr>
        <w:t>1.1.3. В подпунк</w:t>
      </w: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>те б) пункта 58 добавить абзацы следующего содержания:</w:t>
      </w:r>
    </w:p>
    <w:p>
      <w:pPr>
        <w:pStyle w:val="BodyText"/>
        <w:widowControl/>
        <w:bidi w:val="0"/>
        <w:spacing w:lineRule="auto" w:line="360" w:before="0" w:after="0"/>
        <w:ind w:firstLine="709"/>
        <w:contextualSpacing/>
        <w:jc w:val="both"/>
        <w:rPr/>
      </w:pP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>«Акт выездной оценки, направленный в форме электронного документа по адресу электронной почты, по которому лицензирующий орган осуществляет переписку, направление решений, извещений и уведомлений с использованием электронной подписи, или посредством единого портала или региональных порталов государственных и муниципальных услуг (в зависимости от способа подачи заявления на предоставление государственной услуги) считается полученным заявителем.</w:t>
      </w:r>
    </w:p>
    <w:p>
      <w:pPr>
        <w:pStyle w:val="BodyText"/>
        <w:widowControl/>
        <w:bidi w:val="0"/>
        <w:spacing w:lineRule="auto" w:line="360" w:before="0" w:after="0"/>
        <w:ind w:firstLine="709"/>
        <w:contextualSpacing/>
        <w:jc w:val="both"/>
        <w:rPr/>
      </w:pP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>Заявитель, выездная оценка которого проводилась, в случае несогласия с фактами, выводами или предложениями, изложенными в акте выездной оценки, в течение 5 рабочих дней со дня получения акта выездной оценки вправе представить в лицензирующий орган возражения в отношении акта выездной оценки в целом или его отдельных положений. При этом заявитель вправе приложить к таким возражениям документы, подтверждающие обоснованность возражений.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заявителя.»</w:t>
      </w:r>
    </w:p>
    <w:p>
      <w:pPr>
        <w:pStyle w:val="BodyText"/>
        <w:widowControl/>
        <w:bidi w:val="0"/>
        <w:spacing w:lineRule="auto" w:line="360" w:before="0" w:after="0"/>
        <w:ind w:firstLine="709"/>
        <w:contextualSpacing/>
        <w:jc w:val="both"/>
        <w:rPr>
          <w:rFonts w:ascii="PT Astra Serif" w:hAnsi="PT Astra Serif" w:eastAsia="Times New Roman" w:cs="Times New Roman"/>
          <w:b w:val="false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 xml:space="preserve">1.1.4. Пункт 59 изложить в следующей редакции: </w:t>
      </w:r>
    </w:p>
    <w:p>
      <w:pPr>
        <w:pStyle w:val="BodyText"/>
        <w:widowControl/>
        <w:bidi w:val="0"/>
        <w:spacing w:lineRule="auto" w:line="360" w:before="0" w:after="0"/>
        <w:ind w:firstLine="709"/>
        <w:contextualSpacing/>
        <w:jc w:val="both"/>
        <w:rPr/>
      </w:pP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 xml:space="preserve">"59. Срок проведения выездной оценки составляет не более 12 рабочих дней со дня начала ее проведения. Указанный срок продлевается в случаях, определенных пунктом 19.1 статьи 19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 При этом общий срок проведения выездной оценки не может превышать 37 рабочих дней.". </w:t>
      </w:r>
    </w:p>
    <w:p>
      <w:pPr>
        <w:pStyle w:val="BodyText"/>
        <w:widowControl/>
        <w:bidi w:val="0"/>
        <w:spacing w:lineRule="auto" w:line="360" w:before="0" w:after="0"/>
        <w:ind w:firstLine="709"/>
        <w:contextualSpacing/>
        <w:jc w:val="both"/>
        <w:rPr/>
      </w:pPr>
      <w:r>
        <w:rPr>
          <w:rFonts w:eastAsia="Times New Roman" w:cs="Times New Roman" w:ascii="PT Astra Serif" w:hAnsi="PT Astra Serif"/>
          <w:b w:val="false"/>
          <w:sz w:val="28"/>
          <w:szCs w:val="28"/>
          <w:lang w:eastAsia="ru-RU"/>
        </w:rPr>
        <w:t>2.  Отделу регулирования алкогольного ры</w:t>
      </w:r>
      <w:r>
        <w:rPr>
          <w:rFonts w:ascii="PT Astra Serif" w:hAnsi="PT Astra Serif"/>
          <w:sz w:val="28"/>
          <w:szCs w:val="28"/>
        </w:rPr>
        <w:t>нка (Григорьев В.П.):</w:t>
      </w:r>
    </w:p>
    <w:p>
      <w:pPr>
        <w:pStyle w:val="NoSpacing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2.1. В течение 3 рабочих дней со дня подписания настоящего приказа направить для государственной регистрации в Государственный комитет юстиции Республики Саха (Якутия).</w:t>
      </w:r>
    </w:p>
    <w:p>
      <w:pPr>
        <w:pStyle w:val="NoSpacing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2.2. После государственной регистрации обеспечить опубликование на официальном сайте Министерства предпринимательства, торговли и туризма Республики Саха (Якутия).</w:t>
      </w:r>
    </w:p>
    <w:p>
      <w:pPr>
        <w:pStyle w:val="NoSpacing"/>
        <w:spacing w:lineRule="auto" w:line="360" w:before="0" w:after="0"/>
        <w:ind w:firstLine="709"/>
        <w:contextualSpacing/>
        <w:jc w:val="both"/>
        <w:rPr>
          <w:rFonts w:ascii="PT Astra Serif" w:hAnsi="PT Astra Serif" w:eastAsia="Calibri" w:cs="" w:cstheme="minorBidi" w:eastAsiaTheme="minorHAns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>3</w:t>
      </w:r>
      <w:r>
        <w:rPr>
          <w:rFonts w:eastAsia="Calibri" w:cs="" w:ascii="PT Astra Serif" w:hAnsi="PT Astra Serif" w:cstheme="minorBidi" w:eastAsiaTheme="minorHAnsi"/>
          <w:sz w:val="28"/>
          <w:szCs w:val="28"/>
          <w:lang w:eastAsia="en-US"/>
        </w:rPr>
        <w:t>. Контроль исполнения настоящего приказа оставляю за собой.</w:t>
      </w:r>
    </w:p>
    <w:p>
      <w:pPr>
        <w:pStyle w:val="NoSpacing"/>
        <w:spacing w:lineRule="auto" w:line="360" w:before="0" w:after="0"/>
        <w:contextualSpacing/>
        <w:jc w:val="both"/>
        <w:rPr>
          <w:rFonts w:ascii="PT Astra Serif" w:hAnsi="PT Astra Serif" w:eastAsia="Calibri" w:cs="" w:cstheme="minorBidi" w:eastAsiaTheme="minorHAnsi"/>
          <w:sz w:val="28"/>
          <w:szCs w:val="28"/>
          <w:lang w:eastAsia="en-US"/>
        </w:rPr>
      </w:pPr>
      <w:r>
        <w:rPr>
          <w:rFonts w:eastAsia="Calibri" w:cs="" w:cstheme="minorBidi" w:eastAsiaTheme="minorHAnsi" w:ascii="PT Astra Serif" w:hAnsi="PT Astra Serif"/>
          <w:sz w:val="28"/>
          <w:szCs w:val="28"/>
          <w:lang w:eastAsia="en-US"/>
        </w:rPr>
      </w:r>
    </w:p>
    <w:p>
      <w:pPr>
        <w:pStyle w:val="NoSpacing"/>
        <w:spacing w:lineRule="auto" w:line="360" w:before="0" w:after="0"/>
        <w:contextualSpacing/>
        <w:jc w:val="both"/>
        <w:rPr/>
      </w:pPr>
      <w:r>
        <w:rPr>
          <w:rFonts w:eastAsia="Calibri" w:cs="" w:ascii="PT Astra Serif" w:hAnsi="PT Astra Serif" w:cstheme="minorBidi" w:eastAsiaTheme="minorHAnsi"/>
          <w:sz w:val="28"/>
          <w:szCs w:val="28"/>
          <w:lang w:eastAsia="en-US"/>
        </w:rPr>
        <w:t>Министр</w:t>
      </w:r>
      <w:bookmarkStart w:id="2" w:name="_GoBack"/>
      <w:bookmarkEnd w:id="2"/>
    </w:p>
    <w:p>
      <w:pPr>
        <w:pStyle w:val="Normal"/>
        <w:jc w:val="both"/>
        <w:rPr>
          <w:sz w:val="28"/>
          <w:szCs w:val="28"/>
        </w:rPr>
      </w:pPr>
      <w:r>
        <w:rPr/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418" w:right="567" w:gutter="0" w:header="709" w:top="851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ambri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0031103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b3e9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3b3e97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25037"/>
    <w:rPr>
      <w:rFonts w:ascii="Tahoma" w:hAnsi="Tahoma" w:eastAsia="Times New Roman" w:cs="Tahoma"/>
      <w:sz w:val="16"/>
      <w:szCs w:val="16"/>
      <w:lang w:eastAsia="ru-RU"/>
    </w:rPr>
  </w:style>
  <w:style w:type="character" w:styleId="FontStyle19" w:customStyle="1">
    <w:name w:val="Font Style19"/>
    <w:uiPriority w:val="99"/>
    <w:qFormat/>
    <w:rsid w:val="00c0712c"/>
    <w:rPr>
      <w:rFonts w:ascii="Times New Roman" w:hAnsi="Times New Roman" w:cs="Times New Roman"/>
      <w:sz w:val="26"/>
      <w:szCs w:val="26"/>
    </w:rPr>
  </w:style>
  <w:style w:type="character" w:styleId="Style15" w:customStyle="1">
    <w:name w:val="Основной текст Знак"/>
    <w:basedOn w:val="DefaultParagraphFont"/>
    <w:qFormat/>
    <w:rsid w:val="00e235f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9f296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9f296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5"/>
    <w:rsid w:val="00e235f8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unhideWhenUsed/>
    <w:qFormat/>
    <w:rsid w:val="003b3e97"/>
    <w:pPr>
      <w:spacing w:before="0" w:after="200"/>
    </w:pPr>
    <w:rPr>
      <w:rFonts w:ascii="Calibri" w:hAnsi="Calibri"/>
      <w:i/>
      <w:iCs/>
      <w:color w:val="1F497D"/>
      <w:sz w:val="18"/>
      <w:szCs w:val="18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25037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712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21" w:customStyle="1">
    <w:name w:val="Style12"/>
    <w:basedOn w:val="Normal"/>
    <w:uiPriority w:val="99"/>
    <w:qFormat/>
    <w:rsid w:val="00c0712c"/>
    <w:pPr>
      <w:widowControl w:val="false"/>
      <w:spacing w:lineRule="exact" w:line="323"/>
      <w:ind w:firstLine="706"/>
      <w:jc w:val="both"/>
    </w:pPr>
    <w:rPr>
      <w:rFonts w:ascii="Cambria" w:hAnsi="Cambria"/>
    </w:rPr>
  </w:style>
  <w:style w:type="paragraph" w:styleId="ConsPlusNormal" w:customStyle="1">
    <w:name w:val="ConsPlusNormal"/>
    <w:qFormat/>
    <w:rsid w:val="001205d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ce1d2a"/>
    <w:pPr>
      <w:spacing w:before="0" w:after="0"/>
      <w:ind w:left="720"/>
      <w:contextualSpacing/>
    </w:pPr>
    <w:rPr/>
  </w:style>
  <w:style w:type="paragraph" w:styleId="21" w:customStyle="1">
    <w:name w:val="Основной текст 21"/>
    <w:basedOn w:val="Normal"/>
    <w:uiPriority w:val="99"/>
    <w:qFormat/>
    <w:rsid w:val="00ce1d2a"/>
    <w:pPr>
      <w:jc w:val="both"/>
    </w:pPr>
    <w:rPr>
      <w:b/>
      <w:i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9f296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uiPriority w:val="99"/>
    <w:unhideWhenUsed/>
    <w:rsid w:val="009f296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00720f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minpred@sakha.gov.ru" TargetMode="External"/><Relationship Id="rId4" Type="http://schemas.openxmlformats.org/officeDocument/2006/relationships/hyperlink" Target="mailto:mininvest@sakha.gov.ru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Application>LibreOffice/24.8.4.2$Linux_X86_64 LibreOffice_project/480$Build-2</Application>
  <AppVersion>15.0000</AppVersion>
  <Pages>4</Pages>
  <Words>882</Words>
  <Characters>6649</Characters>
  <CharactersWithSpaces>7507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2021-08-18T01:37:00Z</dcterms:created>
  <dc:creator>Владимирова Елизавета Романовна</dc:creator>
  <dc:description/>
  <dc:language>ru-RU</dc:language>
  <cp:lastModifiedBy/>
  <dcterms:modified xsi:type="dcterms:W3CDTF">2026-07-30T10:32:32Z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