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Layout w:type="fixed"/>
      </w:tblPr>
      <w:tblGrid>
        <w:gridCol w:w="4046"/>
        <w:gridCol w:w="1489"/>
        <w:gridCol w:w="4036"/>
      </w:tblGrid>
      <w:tr>
        <w:tc>
          <w:tcPr>
            <w:tcW w:type="dxa" w:w="4046"/>
            <w:shd w:fill="auto" w:val="clear"/>
          </w:tcPr>
          <w:p w14:paraId="01000000">
            <w:pPr>
              <w:widowControl w:val="1"/>
              <w:ind/>
              <w:jc w:val="center"/>
              <w:rPr>
                <w:b w:val="1"/>
              </w:rPr>
            </w:pPr>
          </w:p>
          <w:p w14:paraId="02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Министерство </w:t>
            </w:r>
            <w:r>
              <w:rPr>
                <w:b w:val="1"/>
              </w:rPr>
              <w:t xml:space="preserve">предпринимательства, </w:t>
            </w:r>
          </w:p>
          <w:p w14:paraId="03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торговли и туризма </w:t>
            </w:r>
          </w:p>
          <w:p w14:paraId="04000000">
            <w:pPr>
              <w:widowControl w:val="1"/>
              <w:ind/>
              <w:jc w:val="center"/>
            </w:pPr>
            <w:r>
              <w:rPr>
                <w:b w:val="1"/>
              </w:rPr>
              <w:t>Республики Саха (Якутия)</w:t>
            </w:r>
          </w:p>
        </w:tc>
        <w:tc>
          <w:tcPr>
            <w:tcW w:type="dxa" w:w="1489"/>
            <w:shd w:fill="auto" w:val="clear"/>
          </w:tcPr>
          <w:p w14:paraId="05000000">
            <w:r>
              <w:rPr>
                <w:rFonts w:ascii="Times Sakha" w:hAnsi="Times Sakha"/>
                <w:color w:val="0000FF"/>
              </w:rPr>
              <w:drawing>
                <wp:inline>
                  <wp:extent cx="676275" cy="676275"/>
                  <wp:effectExtent b="0" l="0" r="0" t="0"/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676275" cy="6762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36"/>
            <w:shd w:fill="auto" w:val="clear"/>
          </w:tcPr>
          <w:p w14:paraId="06000000">
            <w:pPr>
              <w:widowControl w:val="1"/>
              <w:ind/>
              <w:jc w:val="center"/>
              <w:rPr>
                <w:b w:val="1"/>
              </w:rPr>
            </w:pPr>
          </w:p>
          <w:p w14:paraId="07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Саха Өрөспүүбүлүкэтин </w:t>
            </w:r>
          </w:p>
          <w:p w14:paraId="08000000">
            <w:pPr>
              <w:widowControl w:val="1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Урбааҥҥа, эргиэҥҥэ уонна туризмҥа министиэристибэтэ </w:t>
            </w:r>
          </w:p>
          <w:p w14:paraId="09000000">
            <w:pPr>
              <w:widowControl w:val="1"/>
              <w:ind/>
              <w:jc w:val="center"/>
              <w:rPr>
                <w:b w:val="1"/>
              </w:rPr>
            </w:pPr>
          </w:p>
          <w:p w14:paraId="0A000000"/>
        </w:tc>
      </w:tr>
      <w:tr>
        <w:tc>
          <w:tcPr>
            <w:tcW w:type="dxa" w:w="9571"/>
            <w:gridSpan w:val="3"/>
            <w:shd w:fill="auto" w:val="clear"/>
          </w:tcPr>
          <w:p w14:paraId="0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677000, пр.Ленина, 22</w:t>
            </w:r>
            <w:r>
              <w:rPr>
                <w:sz w:val="20"/>
              </w:rPr>
              <w:t>, Якутск, Республика Саха (Якутия)</w:t>
            </w:r>
          </w:p>
          <w:p w14:paraId="0C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тел.</w:t>
            </w:r>
            <w:r>
              <w:rPr>
                <w:sz w:val="20"/>
              </w:rPr>
              <w:t xml:space="preserve">: (4112) </w:t>
            </w:r>
            <w:r>
              <w:rPr>
                <w:sz w:val="20"/>
              </w:rPr>
              <w:t>506-224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e-mail</w:t>
            </w:r>
            <w:r>
              <w:rPr>
                <w:sz w:val="20"/>
              </w:rPr>
              <w:t xml:space="preserve">: </w:t>
            </w:r>
            <w:r>
              <w:rPr>
                <w:rStyle w:val="Style_2_ch"/>
                <w:sz w:val="20"/>
              </w:rPr>
              <w:fldChar w:fldCharType="begin"/>
            </w:r>
            <w:r>
              <w:rPr>
                <w:rStyle w:val="Style_2_ch"/>
                <w:sz w:val="20"/>
              </w:rPr>
              <w:instrText>HYPERLINK "mailto:minpred@sakha.gov.ru"</w:instrText>
            </w:r>
            <w:r>
              <w:rPr>
                <w:rStyle w:val="Style_2_ch"/>
                <w:sz w:val="20"/>
              </w:rPr>
              <w:fldChar w:fldCharType="separate"/>
            </w:r>
            <w:r>
              <w:rPr>
                <w:rStyle w:val="Style_2_ch"/>
                <w:sz w:val="20"/>
              </w:rPr>
              <w:t>minpred@sakha.gov.ru</w:t>
            </w:r>
            <w:r>
              <w:rPr>
                <w:rStyle w:val="Style_2_ch"/>
                <w:sz w:val="20"/>
              </w:rPr>
              <w:fldChar w:fldCharType="end"/>
            </w:r>
            <w:r>
              <w:rPr>
                <w:sz w:val="20"/>
              </w:rPr>
              <w:t>;</w:t>
            </w:r>
            <w:r>
              <w:rPr>
                <w:sz w:val="20"/>
              </w:rPr>
              <w:t xml:space="preserve"> https:// </w:t>
            </w:r>
            <w:r>
              <w:rPr>
                <w:rStyle w:val="Style_2_ch"/>
                <w:sz w:val="20"/>
              </w:rPr>
              <w:fldChar w:fldCharType="begin"/>
            </w:r>
            <w:r>
              <w:rPr>
                <w:rStyle w:val="Style_2_ch"/>
                <w:sz w:val="20"/>
              </w:rPr>
              <w:instrText>HYPERLINK "mailto:mininvest@sakha.gov.ru"</w:instrText>
            </w:r>
            <w:r>
              <w:rPr>
                <w:rStyle w:val="Style_2_ch"/>
                <w:sz w:val="20"/>
              </w:rPr>
              <w:fldChar w:fldCharType="separate"/>
            </w:r>
            <w:r>
              <w:rPr>
                <w:rStyle w:val="Style_2_ch"/>
                <w:sz w:val="20"/>
              </w:rPr>
              <w:t>minpred</w:t>
            </w:r>
            <w:r>
              <w:rPr>
                <w:rStyle w:val="Style_2_ch"/>
                <w:sz w:val="20"/>
              </w:rPr>
              <w:t>.sakha.gov.ru</w:t>
            </w:r>
            <w:r>
              <w:rPr>
                <w:rStyle w:val="Style_2_ch"/>
                <w:sz w:val="20"/>
              </w:rPr>
              <w:fldChar w:fldCharType="end"/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 xml:space="preserve">  </w:t>
            </w:r>
          </w:p>
          <w:p w14:paraId="0D000000">
            <w:pPr>
              <w:widowControl w:val="1"/>
              <w:ind/>
              <w:jc w:val="center"/>
            </w:pPr>
          </w:p>
        </w:tc>
      </w:tr>
      <w:tr>
        <w:tc>
          <w:tcPr>
            <w:tcW w:type="dxa" w:w="9571"/>
            <w:gridSpan w:val="3"/>
            <w:shd w:fill="auto" w:val="clear"/>
          </w:tcPr>
          <w:p w14:paraId="0E000000">
            <w:pPr>
              <w:rPr>
                <w:sz w:val="20"/>
              </w:rPr>
            </w:pPr>
            <w:bookmarkStart w:id="1" w:name="REGNUMDATESTAMP"/>
            <w:r>
              <w:rPr>
                <w:sz w:val="20"/>
              </w:rPr>
              <w:t>Дата и номер</w:t>
            </w:r>
            <w:bookmarkEnd w:id="1"/>
          </w:p>
          <w:p w14:paraId="0F000000">
            <w:pPr>
              <w:widowControl w:val="1"/>
              <w:ind/>
              <w:jc w:val="center"/>
              <w:rPr>
                <w:b w:val="1"/>
                <w:highlight w:val="yellow"/>
              </w:rPr>
            </w:pPr>
          </w:p>
        </w:tc>
      </w:tr>
    </w:tbl>
    <w:p w14:paraId="10000000">
      <w:pPr>
        <w:pStyle w:val="Style_3"/>
        <w:widowControl w:val="1"/>
        <w:ind/>
        <w:rPr>
          <w:sz w:val="28"/>
        </w:rPr>
      </w:pPr>
    </w:p>
    <w:p w14:paraId="11000000">
      <w:pPr>
        <w:pStyle w:val="Style_3"/>
        <w:widowControl w:val="1"/>
        <w:ind/>
        <w:rPr>
          <w:sz w:val="28"/>
        </w:rPr>
      </w:pPr>
      <w:r>
        <w:rPr>
          <w:sz w:val="28"/>
        </w:rPr>
        <w:t>П</w:t>
      </w:r>
      <w:r>
        <w:rPr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 xml:space="preserve"> 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З</w:t>
      </w:r>
    </w:p>
    <w:p w14:paraId="12000000">
      <w:pPr>
        <w:pStyle w:val="Style_3"/>
        <w:widowControl w:val="1"/>
        <w:ind/>
        <w:rPr>
          <w:b w:val="0"/>
          <w:sz w:val="12"/>
        </w:rPr>
      </w:pPr>
    </w:p>
    <w:p w14:paraId="13000000">
      <w:pPr>
        <w:widowControl w:val="1"/>
        <w:ind/>
        <w:jc w:val="center"/>
        <w:rPr>
          <w:sz w:val="28"/>
        </w:rPr>
      </w:pPr>
      <w:r>
        <w:rPr>
          <w:sz w:val="28"/>
        </w:rPr>
        <w:t>г. Якутск</w:t>
      </w:r>
    </w:p>
    <w:p w14:paraId="14000000">
      <w:pPr>
        <w:widowControl w:val="1"/>
        <w:ind/>
        <w:jc w:val="center"/>
        <w:rPr>
          <w:sz w:val="14"/>
        </w:rPr>
      </w:pPr>
    </w:p>
    <w:p w14:paraId="15000000">
      <w:pPr>
        <w:widowControl w:val="1"/>
        <w:ind/>
        <w:jc w:val="center"/>
        <w:rPr>
          <w:sz w:val="14"/>
        </w:rPr>
      </w:pPr>
    </w:p>
    <w:p w14:paraId="16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О</w:t>
      </w:r>
      <w:r>
        <w:rPr>
          <w:b w:val="1"/>
          <w:sz w:val="28"/>
        </w:rPr>
        <w:t xml:space="preserve"> вн</w:t>
      </w:r>
      <w:r>
        <w:rPr>
          <w:b w:val="1"/>
          <w:sz w:val="28"/>
        </w:rPr>
        <w:t xml:space="preserve">есении изменений в приказ Министерства предпринимательства, торговли и туризма Республики Саха (Якутия) от 28.05.2020 г. № П-119/од «Об утверждении порядка разработки, утверждения, изменения и дополнения схем размещения нестационарных торговых объектов органами местного самоуправления Республики Саха (Якутия)» </w:t>
      </w:r>
    </w:p>
    <w:p w14:paraId="17000000">
      <w:pPr>
        <w:widowControl w:val="1"/>
        <w:spacing w:line="360" w:lineRule="auto"/>
        <w:ind w:firstLine="567"/>
        <w:jc w:val="both"/>
        <w:rPr>
          <w:sz w:val="28"/>
        </w:rPr>
      </w:pPr>
    </w:p>
    <w:p w14:paraId="18000000">
      <w:pPr>
        <w:widowControl w:val="0"/>
        <w:spacing w:after="0" w:before="0" w:line="276" w:lineRule="auto"/>
        <w:ind w:firstLine="709" w:left="0" w:right="0"/>
        <w:jc w:val="both"/>
        <w:rPr>
          <w:b w:val="0"/>
          <w:sz w:val="28"/>
        </w:rPr>
      </w:pPr>
      <w:r>
        <w:rPr>
          <w:b w:val="0"/>
          <w:sz w:val="28"/>
        </w:rPr>
        <w:t>Во исполнение Федерал</w:t>
      </w:r>
      <w:r>
        <w:rPr>
          <w:rStyle w:val="Style_4_ch"/>
          <w:b w:val="0"/>
          <w:sz w:val="28"/>
        </w:rPr>
        <w:t>ьного</w:t>
      </w:r>
      <w:r>
        <w:rPr>
          <w:rStyle w:val="Style_4_ch"/>
          <w:b w:val="0"/>
          <w:sz w:val="28"/>
        </w:rPr>
        <w:t xml:space="preserve"> </w:t>
      </w:r>
      <w:r>
        <w:rPr>
          <w:rStyle w:val="Style_4_ch"/>
          <w:b w:val="0"/>
          <w:sz w:val="28"/>
        </w:rPr>
        <w:t>закона</w:t>
      </w:r>
      <w:r>
        <w:rPr>
          <w:rStyle w:val="Style_4_ch"/>
          <w:b w:val="0"/>
          <w:sz w:val="28"/>
        </w:rPr>
        <w:t xml:space="preserve"> </w:t>
      </w:r>
      <w:r>
        <w:rPr>
          <w:rStyle w:val="Style_4_ch"/>
          <w:b w:val="0"/>
          <w:sz w:val="28"/>
        </w:rPr>
        <w:t>от 28 декабря 2009 года N 381-ФЗ «Об основах государственного регулирования торговой деятельности в Российской Федерации», с учетом положений Федерального</w:t>
      </w:r>
      <w:r>
        <w:rPr>
          <w:rStyle w:val="Style_4_ch"/>
          <w:b w:val="0"/>
          <w:sz w:val="28"/>
        </w:rPr>
        <w:t xml:space="preserve"> </w:t>
      </w:r>
      <w:r>
        <w:rPr>
          <w:rStyle w:val="Style_4_ch"/>
          <w:b w:val="0"/>
          <w:sz w:val="28"/>
        </w:rPr>
        <w:t>закона</w:t>
      </w:r>
      <w:r>
        <w:rPr>
          <w:rStyle w:val="Style_4_ch"/>
          <w:b w:val="0"/>
          <w:sz w:val="28"/>
        </w:rPr>
        <w:t xml:space="preserve"> </w:t>
      </w:r>
      <w:r>
        <w:rPr>
          <w:rStyle w:val="Style_4_ch"/>
          <w:b w:val="0"/>
          <w:sz w:val="28"/>
        </w:rPr>
        <w:t>о</w:t>
      </w:r>
      <w:r>
        <w:rPr>
          <w:b w:val="0"/>
          <w:sz w:val="28"/>
        </w:rPr>
        <w:t>т 20 марта 2025 года N 33-ФЗ «Об общих принципах организации местного самоуправления в единой системе публичной власти» приказываю:</w:t>
      </w:r>
    </w:p>
    <w:p w14:paraId="19000000">
      <w:pPr>
        <w:widowControl w:val="0"/>
        <w:numPr>
          <w:ilvl w:val="0"/>
          <w:numId w:val="1"/>
        </w:numPr>
        <w:spacing w:after="0" w:before="0" w:line="276" w:lineRule="auto"/>
        <w:ind w:firstLine="709" w:left="0" w:right="0"/>
        <w:jc w:val="both"/>
        <w:rPr>
          <w:b w:val="0"/>
          <w:sz w:val="28"/>
        </w:rPr>
      </w:pPr>
      <w:r>
        <w:rPr>
          <w:b w:val="0"/>
          <w:sz w:val="28"/>
        </w:rPr>
        <w:t>Внести в приказ Министерства предпринимательства, торговли и туризма Республики Саха (Якутия) от 28.05.2020 г. № П-119/од «Об утверждении порядка разработки, утверждения, изменения и дополнения схем размещения нестационарных торговых объектов органами местного самоуправления Республики Саха (Якутия)» следующие изменения:</w:t>
      </w:r>
    </w:p>
    <w:p w14:paraId="1A000000">
      <w:pPr>
        <w:widowControl w:val="0"/>
        <w:numPr>
          <w:ilvl w:val="0"/>
          <w:numId w:val="2"/>
        </w:numPr>
        <w:spacing w:after="0" w:before="0" w:line="276" w:lineRule="auto"/>
        <w:ind w:firstLine="709" w:left="0" w:right="0"/>
        <w:jc w:val="both"/>
        <w:rPr>
          <w:b w:val="0"/>
          <w:sz w:val="28"/>
        </w:rPr>
      </w:pPr>
      <w:r>
        <w:rPr>
          <w:b w:val="0"/>
          <w:sz w:val="28"/>
        </w:rPr>
        <w:t>в преамбуле</w:t>
      </w:r>
      <w:r>
        <w:rPr>
          <w:rStyle w:val="Style_4_ch"/>
          <w:b w:val="0"/>
          <w:sz w:val="28"/>
        </w:rPr>
        <w:t xml:space="preserve"> слова «</w:t>
      </w:r>
      <w:r>
        <w:rPr>
          <w:rStyle w:val="Style_4_ch"/>
          <w:b w:val="0"/>
          <w:sz w:val="28"/>
        </w:rPr>
        <w:t>с учетом положений Федерального</w:t>
      </w:r>
      <w:r>
        <w:rPr>
          <w:rStyle w:val="Style_4_ch"/>
          <w:b w:val="0"/>
          <w:sz w:val="28"/>
        </w:rPr>
        <w:t xml:space="preserve"> </w:t>
      </w:r>
      <w:r>
        <w:rPr>
          <w:rStyle w:val="Style_4_ch"/>
          <w:b w:val="0"/>
          <w:sz w:val="28"/>
        </w:rPr>
        <w:fldChar w:fldCharType="begin"/>
      </w:r>
      <w:r>
        <w:rPr>
          <w:rStyle w:val="Style_4_ch"/>
          <w:b w:val="0"/>
          <w:sz w:val="28"/>
        </w:rPr>
        <w:instrText>HYPERLINK "https://login.consultant.ru/link/?req=doc&amp;base=LAW&amp;n=501480&amp;date=16.07.2026"</w:instrText>
      </w:r>
      <w:r>
        <w:rPr>
          <w:rStyle w:val="Style_4_ch"/>
          <w:b w:val="0"/>
          <w:sz w:val="28"/>
        </w:rPr>
        <w:fldChar w:fldCharType="separate"/>
      </w:r>
      <w:r>
        <w:rPr>
          <w:rStyle w:val="Style_4_ch"/>
          <w:b w:val="0"/>
          <w:sz w:val="28"/>
        </w:rPr>
        <w:t>закона</w:t>
      </w:r>
      <w:r>
        <w:rPr>
          <w:rStyle w:val="Style_4_ch"/>
          <w:b w:val="0"/>
          <w:sz w:val="28"/>
        </w:rPr>
        <w:fldChar w:fldCharType="end"/>
      </w:r>
      <w:r>
        <w:rPr>
          <w:rStyle w:val="Style_4_ch"/>
          <w:b w:val="0"/>
          <w:sz w:val="28"/>
        </w:rPr>
        <w:t xml:space="preserve"> </w:t>
      </w:r>
      <w:r>
        <w:rPr>
          <w:rStyle w:val="Style_4_ch"/>
          <w:b w:val="0"/>
          <w:sz w:val="28"/>
        </w:rPr>
        <w:t>от 6 октября 2003 года N 131-ФЗ «Об общих принципах организации местного самоуправления в Российской Федерации» заменить словами «</w:t>
      </w:r>
      <w:r>
        <w:rPr>
          <w:rStyle w:val="Style_4_ch"/>
          <w:b w:val="0"/>
          <w:sz w:val="28"/>
        </w:rPr>
        <w:t>с учетом положений Федерального</w:t>
      </w:r>
      <w:r>
        <w:rPr>
          <w:rStyle w:val="Style_4_ch"/>
          <w:b w:val="0"/>
          <w:sz w:val="28"/>
        </w:rPr>
        <w:t xml:space="preserve"> </w:t>
      </w:r>
      <w:r>
        <w:rPr>
          <w:rStyle w:val="Style_4_ch"/>
          <w:b w:val="0"/>
          <w:sz w:val="28"/>
        </w:rPr>
        <w:t>закона</w:t>
      </w:r>
      <w:r>
        <w:rPr>
          <w:rStyle w:val="Style_4_ch"/>
          <w:b w:val="0"/>
          <w:sz w:val="28"/>
        </w:rPr>
        <w:t xml:space="preserve"> </w:t>
      </w:r>
      <w:r>
        <w:rPr>
          <w:rStyle w:val="Style_4_ch"/>
          <w:b w:val="0"/>
          <w:sz w:val="28"/>
        </w:rPr>
        <w:t>о</w:t>
      </w:r>
      <w:r>
        <w:rPr>
          <w:b w:val="0"/>
          <w:sz w:val="28"/>
        </w:rPr>
        <w:t xml:space="preserve">т 20 марта 2025 года N 33-ФЗ </w:t>
      </w:r>
      <w:r>
        <w:rPr>
          <w:b w:val="0"/>
          <w:sz w:val="28"/>
        </w:rPr>
        <w:t>«Об общих принципах организации местного самоуправления в единой системе публичной власти»</w:t>
      </w:r>
      <w:r>
        <w:rPr>
          <w:b w:val="0"/>
          <w:sz w:val="28"/>
        </w:rPr>
        <w:t xml:space="preserve">; </w:t>
      </w:r>
    </w:p>
    <w:p w14:paraId="1B000000">
      <w:pPr>
        <w:widowControl w:val="0"/>
        <w:numPr>
          <w:ilvl w:val="0"/>
          <w:numId w:val="2"/>
        </w:numPr>
        <w:spacing w:after="0" w:before="0" w:line="276" w:lineRule="auto"/>
        <w:ind w:firstLine="709" w:left="0" w:right="0"/>
        <w:jc w:val="both"/>
        <w:rPr>
          <w:b w:val="0"/>
          <w:sz w:val="28"/>
        </w:rPr>
      </w:pPr>
      <w:r>
        <w:rPr>
          <w:b w:val="0"/>
          <w:sz w:val="28"/>
        </w:rPr>
        <w:t>в пункте 4 сл</w:t>
      </w:r>
      <w:r>
        <w:rPr>
          <w:rStyle w:val="Style_4_ch"/>
          <w:b w:val="0"/>
          <w:sz w:val="28"/>
        </w:rPr>
        <w:t>ова «</w:t>
      </w:r>
      <w:r>
        <w:rPr>
          <w:rStyle w:val="Style_4_ch"/>
          <w:b w:val="0"/>
          <w:sz w:val="28"/>
        </w:rPr>
        <w:t>заместителя министра предпринимательства, торговли и туризма Республики Саха (Якутия) М.М. Прокопьева</w:t>
      </w:r>
      <w:r>
        <w:rPr>
          <w:rStyle w:val="Style_4_ch"/>
          <w:b w:val="0"/>
          <w:sz w:val="28"/>
        </w:rPr>
        <w:t>» заме</w:t>
      </w:r>
      <w:r>
        <w:rPr>
          <w:b w:val="0"/>
          <w:sz w:val="28"/>
        </w:rPr>
        <w:t>нить словами «Первого заместителя министра предпринимательства, торговли и туризма Республики Саха (Якутия) М.Г. Карбушева»;</w:t>
      </w:r>
    </w:p>
    <w:p w14:paraId="1C000000">
      <w:pPr>
        <w:widowControl w:val="0"/>
        <w:spacing w:after="0" w:before="0" w:line="276" w:lineRule="auto"/>
        <w:ind w:firstLine="709" w:left="0" w:right="0"/>
        <w:jc w:val="both"/>
        <w:rPr>
          <w:b w:val="0"/>
          <w:sz w:val="28"/>
        </w:rPr>
      </w:pPr>
      <w:r>
        <w:rPr>
          <w:b w:val="0"/>
          <w:sz w:val="28"/>
        </w:rPr>
        <w:t>2. Внести в Порядок разработки, утверждения, изменения и дополнения схем размещения нестационарных торговых объектов органами местного самоуправления Республики Саха (Якутия) изменения, изложив в редакции согласно приложению № 1 к настоящему приказу;</w:t>
      </w:r>
    </w:p>
    <w:p w14:paraId="1D000000">
      <w:pPr>
        <w:widowControl w:val="0"/>
        <w:spacing w:after="0" w:before="0" w:line="276" w:lineRule="auto"/>
        <w:ind w:firstLine="709" w:left="0" w:right="0"/>
        <w:jc w:val="both"/>
        <w:rPr>
          <w:b w:val="0"/>
          <w:sz w:val="28"/>
        </w:rPr>
      </w:pPr>
      <w:r>
        <w:rPr>
          <w:b w:val="0"/>
          <w:sz w:val="28"/>
        </w:rPr>
        <w:t>3. Утвердить Форму заявления о включении нестационарного торгового объекта, размещенного на земельном участке, находящемся в частной собственности, в схему размещения нестационарных торговых объектов согласно приложению № 2 к настоящему приказу.</w:t>
      </w:r>
    </w:p>
    <w:p w14:paraId="1E000000">
      <w:pPr>
        <w:widowControl w:val="0"/>
        <w:spacing w:after="0" w:before="0" w:line="276" w:lineRule="auto"/>
        <w:ind w:firstLine="709" w:right="0"/>
        <w:jc w:val="both"/>
        <w:rPr>
          <w:b w:val="0"/>
          <w:sz w:val="28"/>
        </w:rPr>
      </w:pPr>
      <w:r>
        <w:rPr>
          <w:rStyle w:val="Style_4_ch"/>
          <w:b w:val="0"/>
          <w:sz w:val="28"/>
        </w:rPr>
        <w:t xml:space="preserve">4. </w:t>
      </w:r>
      <w:r>
        <w:rPr>
          <w:rStyle w:val="Style_4_ch"/>
          <w:b w:val="0"/>
          <w:sz w:val="28"/>
        </w:rPr>
        <w:t>Отделу финансово-правового обеспечения, государственной службы и организационного сопровождения (Софроновой Е.А.):</w:t>
      </w:r>
    </w:p>
    <w:p w14:paraId="1F000000">
      <w:pPr>
        <w:widowControl w:val="0"/>
        <w:spacing w:after="0" w:before="0" w:line="276" w:lineRule="auto"/>
        <w:ind w:firstLine="709" w:right="0"/>
        <w:jc w:val="both"/>
        <w:rPr>
          <w:b w:val="0"/>
          <w:sz w:val="28"/>
        </w:rPr>
      </w:pPr>
      <w:r>
        <w:rPr>
          <w:rStyle w:val="Style_4_ch"/>
          <w:b w:val="0"/>
          <w:sz w:val="28"/>
        </w:rPr>
        <w:t xml:space="preserve">4.1. </w:t>
      </w:r>
      <w:r>
        <w:rPr>
          <w:rStyle w:val="Style_4_ch"/>
          <w:b w:val="0"/>
          <w:sz w:val="28"/>
        </w:rPr>
        <w:t>В течение 3 рабочих дней со дня подписания направить настоящий приказ в Государственный комитет юстиции Республики Саха (Якутия) для государственной регистрации и официального опубликования.</w:t>
      </w:r>
    </w:p>
    <w:p w14:paraId="20000000">
      <w:pPr>
        <w:widowControl w:val="0"/>
        <w:spacing w:after="0" w:before="0" w:line="276" w:lineRule="auto"/>
        <w:ind w:firstLine="709" w:right="0"/>
        <w:jc w:val="both"/>
        <w:rPr>
          <w:b w:val="0"/>
        </w:rPr>
      </w:pPr>
      <w:r>
        <w:rPr>
          <w:rStyle w:val="Style_4_ch"/>
          <w:b w:val="0"/>
          <w:sz w:val="28"/>
        </w:rPr>
        <w:t xml:space="preserve">4.2. </w:t>
      </w:r>
      <w:r>
        <w:rPr>
          <w:rStyle w:val="Style_4_ch"/>
          <w:b w:val="0"/>
          <w:sz w:val="28"/>
        </w:rPr>
        <w:t>Обеспечить официальное опубликование настоящего приказа на официальном сайте Министерства предпринимательства, торговли и туризма Республики Саха (Якутия) в течение 10 календарных дней со дня его государственной регистрации.</w:t>
      </w:r>
    </w:p>
    <w:p w14:paraId="21000000">
      <w:pPr>
        <w:widowControl w:val="1"/>
        <w:ind/>
        <w:jc w:val="both"/>
        <w:rPr>
          <w:sz w:val="28"/>
        </w:rPr>
      </w:pPr>
      <w:bookmarkStart w:id="2" w:name="_GoBack"/>
      <w:bookmarkEnd w:id="2"/>
    </w:p>
    <w:tbl>
      <w:tblPr>
        <w:tblStyle w:val="Style_5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2127"/>
        <w:gridCol w:w="5811"/>
        <w:gridCol w:w="2268"/>
      </w:tblGrid>
      <w:tr>
        <w:trPr>
          <w:trHeight w:hRule="atLeast" w:val="700"/>
        </w:trPr>
        <w:tc>
          <w:tcPr>
            <w:tcW w:type="dxa" w:w="212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2000000">
            <w:pPr>
              <w:widowControl w:val="1"/>
              <w:spacing w:after="160" w:line="259" w:lineRule="auto"/>
              <w:ind/>
              <w:rPr>
                <w:sz w:val="28"/>
              </w:rPr>
            </w:pPr>
            <w:bookmarkStart w:id="3" w:name="SIGNERPOST1"/>
            <w:r>
              <w:rPr>
                <w:sz w:val="28"/>
              </w:rPr>
              <w:t>Должность</w:t>
            </w:r>
            <w:bookmarkEnd w:id="3"/>
          </w:p>
        </w:tc>
        <w:tc>
          <w:tcPr>
            <w:tcW w:type="dxa" w:w="581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widowControl w:val="1"/>
              <w:spacing w:after="160" w:line="259" w:lineRule="auto"/>
              <w:ind/>
              <w:rPr>
                <w:sz w:val="28"/>
              </w:rPr>
            </w:pPr>
            <w:bookmarkStart w:id="4" w:name="SIGNERSTAMP1"/>
            <w:r>
              <w:rPr>
                <w:sz w:val="28"/>
              </w:rPr>
              <w:t>[ШТАМП]</w:t>
            </w:r>
            <w:bookmarkEnd w:id="4"/>
          </w:p>
        </w:tc>
        <w:tc>
          <w:tcPr>
            <w:tcW w:type="dxa" w:w="226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widowControl w:val="1"/>
              <w:spacing w:after="160" w:line="259" w:lineRule="auto"/>
              <w:ind/>
              <w:jc w:val="center"/>
              <w:rPr>
                <w:sz w:val="28"/>
              </w:rPr>
            </w:pPr>
            <w:bookmarkStart w:id="5" w:name="SIGNERNAME1"/>
            <w:r>
              <w:rPr>
                <w:sz w:val="28"/>
              </w:rPr>
              <w:t>ФИО</w:t>
            </w:r>
            <w:bookmarkEnd w:id="5"/>
          </w:p>
        </w:tc>
      </w:tr>
    </w:tbl>
    <w:p w14:paraId="25000000">
      <w:pPr>
        <w:widowControl w:val="1"/>
        <w:ind/>
        <w:jc w:val="both"/>
        <w:rPr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1">
    <w:lvl w:ilvl="0">
      <w:start w:val="1"/>
      <w:numFmt w:val="decimal"/>
      <w:lvlText w:val="%1)"/>
      <w:pPr>
        <w:widowControl w:val="1"/>
        <w:ind w:hanging="360" w:left="720"/>
      </w:pPr>
    </w:lvl>
    <w:lvl w:ilvl="1">
      <w:start w:val="1"/>
      <w:numFmt w:val="russianLower"/>
      <w:lvlText w:val="%2)"/>
      <w:pPr>
        <w:widowControl w:val="1"/>
        <w:ind w:hanging="360" w:left="1440"/>
      </w:pPr>
    </w:lvl>
    <w:lvl w:ilvl="2">
      <w:start w:val="1"/>
      <w:numFmt w:val="lowerRoman"/>
      <w:lvlText w:val="%3)"/>
      <w:lvlJc w:val="right"/>
      <w:pPr>
        <w:widowControl w:val="1"/>
        <w:ind w:hanging="360" w:left="2160"/>
      </w:pPr>
    </w:lvl>
    <w:lvl w:ilvl="3">
      <w:start w:val="1"/>
      <w:numFmt w:val="decimal"/>
      <w:lvlText w:val="%4)"/>
      <w:pPr>
        <w:widowControl w:val="1"/>
        <w:ind w:hanging="360" w:left="2880"/>
      </w:pPr>
    </w:lvl>
    <w:lvl w:ilvl="4">
      <w:start w:val="1"/>
      <w:numFmt w:val="russianLower"/>
      <w:lvlText w:val="%5)"/>
      <w:pPr>
        <w:widowControl w:val="1"/>
        <w:ind w:hanging="360" w:left="3600"/>
      </w:pPr>
    </w:lvl>
    <w:lvl w:ilvl="5">
      <w:start w:val="1"/>
      <w:numFmt w:val="lowerRoman"/>
      <w:lvlText w:val="%6)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russianLow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4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4"/>
    <w:link w:val="Style_13_ch"/>
    <w:rPr>
      <w:rFonts w:ascii="Tahoma" w:hAnsi="Tahoma"/>
      <w:sz w:val="16"/>
    </w:rPr>
  </w:style>
  <w:style w:styleId="Style_13_ch" w:type="character">
    <w:name w:val="Balloon Text"/>
    <w:basedOn w:val="Style_4_ch"/>
    <w:link w:val="Style_13"/>
    <w:rPr>
      <w:rFonts w:ascii="Tahoma" w:hAnsi="Tahoma"/>
      <w:sz w:val="16"/>
    </w:rPr>
  </w:style>
  <w:style w:styleId="Style_14" w:type="paragraph">
    <w:name w:val="heading 5"/>
    <w:next w:val="Style_4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4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caption"/>
    <w:basedOn w:val="Style_4"/>
    <w:next w:val="Style_4"/>
    <w:link w:val="Style_20_ch"/>
    <w:pPr>
      <w:widowControl w:val="1"/>
      <w:spacing w:after="200"/>
      <w:ind/>
    </w:pPr>
    <w:rPr>
      <w:rFonts w:ascii="Calibri" w:hAnsi="Calibri"/>
      <w:i w:val="1"/>
      <w:color w:val="1F497D"/>
      <w:sz w:val="18"/>
    </w:rPr>
  </w:style>
  <w:style w:styleId="Style_20_ch" w:type="character">
    <w:name w:val="caption"/>
    <w:basedOn w:val="Style_4_ch"/>
    <w:link w:val="Style_20"/>
    <w:rPr>
      <w:rFonts w:ascii="Calibri" w:hAnsi="Calibri"/>
      <w:i w:val="1"/>
      <w:color w:val="1F497D"/>
      <w:sz w:val="18"/>
    </w:rPr>
  </w:style>
  <w:style w:styleId="Style_21" w:type="paragraph">
    <w:name w:val="toc 8"/>
    <w:next w:val="Style_4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toc 5"/>
    <w:next w:val="Style_4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4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3" w:type="paragraph">
    <w:name w:val="Подраздел"/>
    <w:basedOn w:val="Style_4"/>
    <w:link w:val="Style_3_ch"/>
    <w:pPr>
      <w:widowControl w:val="0"/>
      <w:ind/>
      <w:jc w:val="center"/>
    </w:pPr>
    <w:rPr>
      <w:b w:val="1"/>
    </w:rPr>
  </w:style>
  <w:style w:styleId="Style_3_ch" w:type="character">
    <w:name w:val="Подраздел"/>
    <w:basedOn w:val="Style_4_ch"/>
    <w:link w:val="Style_3"/>
    <w:rPr>
      <w:b w:val="1"/>
    </w:rPr>
  </w:style>
  <w:style w:styleId="Style_25" w:type="paragraph">
    <w:name w:val="Title"/>
    <w:next w:val="Style_4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1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2021-09-21T02:26:00Z</dcterms:created>
  <dcterms:modified xsi:type="dcterms:W3CDTF">2026-08-05T05:30:47Z</dcterms:modified>
</cp:coreProperties>
</file>