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-5"/>
        <w:tblLayout w:type="fixed"/>
        <w:tblCellMar>
          <w:left w:type="dxa" w:w="71"/>
          <w:right w:type="dxa" w:w="71"/>
        </w:tblCellMar>
      </w:tblPr>
      <w:tblGrid>
        <w:gridCol w:w="3776"/>
        <w:gridCol w:w="1536"/>
        <w:gridCol w:w="4050"/>
      </w:tblGrid>
      <w:tr>
        <w:trPr>
          <w:trHeight w:hRule="atLeast" w:val="1134"/>
        </w:trPr>
        <w:tc>
          <w:tcPr>
            <w:tcW w:type="dxa" w:w="3776"/>
            <w:tcMar>
              <w:left w:type="dxa" w:w="71"/>
              <w:right w:type="dxa" w:w="71"/>
            </w:tcMar>
          </w:tcPr>
          <w:p w14:paraId="0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Управление архитектуры </w:t>
            </w:r>
          </w:p>
          <w:p w14:paraId="0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и градостроительства при </w:t>
            </w:r>
          </w:p>
          <w:p w14:paraId="0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mallCaps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Главе Республики Саха (Якутия)</w:t>
            </w:r>
          </w:p>
        </w:tc>
        <w:tc>
          <w:tcPr>
            <w:tcW w:type="dxa" w:w="1536"/>
            <w:tcMar>
              <w:left w:type="dxa" w:w="71"/>
              <w:right w:type="dxa" w:w="71"/>
            </w:tcMar>
          </w:tcPr>
          <w:p w14:paraId="0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8"/>
              </w:rPr>
              <w:drawing>
                <wp:inline>
                  <wp:extent cx="714375" cy="714375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714375" cy="714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50"/>
            <w:tcMar>
              <w:left w:type="dxa" w:w="71"/>
              <w:right w:type="dxa" w:w="71"/>
            </w:tcMar>
          </w:tcPr>
          <w:p w14:paraId="0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Саха </w:t>
            </w:r>
            <w:r>
              <w:rPr>
                <w:rFonts w:ascii="Times New Roman" w:hAnsi="Times New Roman"/>
                <w:b w:val="1"/>
                <w:sz w:val="24"/>
              </w:rPr>
              <w:t>Өрөспүүбүлүкэтин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0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Ил </w:t>
            </w:r>
            <w:r>
              <w:rPr>
                <w:rFonts w:ascii="Times New Roman" w:hAnsi="Times New Roman"/>
                <w:b w:val="1"/>
                <w:sz w:val="24"/>
              </w:rPr>
              <w:t>Дарханын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иhинэн</w:t>
            </w:r>
            <w:r>
              <w:rPr>
                <w:rFonts w:ascii="Times New Roman" w:hAnsi="Times New Roman"/>
                <w:b w:val="1"/>
                <w:sz w:val="24"/>
              </w:rPr>
              <w:t xml:space="preserve"> Архитектура </w:t>
            </w:r>
            <w:r>
              <w:rPr>
                <w:rFonts w:ascii="Times New Roman" w:hAnsi="Times New Roman"/>
                <w:b w:val="1"/>
                <w:sz w:val="24"/>
              </w:rPr>
              <w:t>уонна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куораты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тутуу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управлениета</w:t>
            </w:r>
          </w:p>
        </w:tc>
      </w:tr>
      <w:tr>
        <w:tc>
          <w:tcPr>
            <w:tcW w:type="dxa" w:w="9362"/>
            <w:gridSpan w:val="3"/>
            <w:tcMar>
              <w:left w:type="dxa" w:w="71"/>
              <w:right w:type="dxa" w:w="71"/>
            </w:tcMar>
          </w:tcPr>
          <w:p w14:paraId="0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Аммосова</w:t>
            </w:r>
            <w:r>
              <w:rPr>
                <w:rFonts w:ascii="Times New Roman" w:hAnsi="Times New Roman"/>
              </w:rPr>
              <w:t>, д. 8, г. Якутск, 677000</w:t>
            </w:r>
          </w:p>
          <w:p w14:paraId="0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</w:t>
            </w:r>
            <w:r>
              <w:rPr>
                <w:rFonts w:ascii="Times New Roman" w:hAnsi="Times New Roman"/>
              </w:rPr>
              <w:t>: (4112) 507-840</w:t>
            </w:r>
          </w:p>
          <w:p w14:paraId="0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https://uaig.sakha.gov.ru/</w:t>
            </w:r>
            <w:r>
              <w:rPr>
                <w:rFonts w:ascii="Times New Roman" w:hAnsi="Times New Roman"/>
              </w:rPr>
              <w:t xml:space="preserve">  E-mail: uaig@sakha.gov.ru</w:t>
            </w:r>
          </w:p>
        </w:tc>
      </w:tr>
      <w:tr>
        <w:tc>
          <w:tcPr>
            <w:tcW w:type="dxa" w:w="3776"/>
            <w:tcMar>
              <w:left w:type="dxa" w:w="71"/>
              <w:right w:type="dxa" w:w="71"/>
            </w:tcMar>
          </w:tcPr>
          <w:p w14:paraId="0C000000">
            <w:pPr>
              <w:widowControl w:val="1"/>
              <w:spacing w:before="360" w:line="480" w:lineRule="auto"/>
              <w:ind/>
              <w:rPr>
                <w:rFonts w:ascii="Times New Roman" w:hAnsi="Times New Roman"/>
              </w:rPr>
            </w:pPr>
            <w:bookmarkStart w:id="1" w:name="REGNUMDATESTAMP"/>
            <w:r>
              <w:rPr>
                <w:rFonts w:ascii="Times New Roman" w:hAnsi="Times New Roman"/>
                <w:u w:val="single"/>
              </w:rPr>
              <w:t xml:space="preserve">[Место для </w:t>
            </w:r>
            <w:r>
              <w:rPr>
                <w:rFonts w:ascii="Times New Roman" w:hAnsi="Times New Roman"/>
                <w:u w:val="single"/>
              </w:rPr>
              <w:t>рег</w:t>
            </w:r>
            <w:r>
              <w:rPr>
                <w:rFonts w:ascii="Times New Roman" w:hAnsi="Times New Roman"/>
                <w:u w:val="single"/>
              </w:rPr>
              <w:t xml:space="preserve"> номера]</w:t>
            </w:r>
            <w:bookmarkEnd w:id="1"/>
          </w:p>
        </w:tc>
        <w:tc>
          <w:tcPr>
            <w:tcW w:type="dxa" w:w="1536"/>
            <w:tcMar>
              <w:left w:type="dxa" w:w="71"/>
              <w:right w:type="dxa" w:w="71"/>
            </w:tcMar>
          </w:tcPr>
          <w:p w14:paraId="0D000000">
            <w:pPr>
              <w:widowControl w:val="1"/>
              <w:spacing w:line="360" w:lineRule="atLeast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050"/>
            <w:tcMar>
              <w:left w:type="dxa" w:w="71"/>
              <w:right w:type="dxa" w:w="71"/>
            </w:tcMar>
          </w:tcPr>
          <w:p w14:paraId="0E000000">
            <w:pPr>
              <w:widowControl w:val="1"/>
              <w:spacing w:after="0" w:line="360" w:lineRule="atLeast"/>
              <w:ind/>
              <w:jc w:val="center"/>
              <w:rPr>
                <w:rFonts w:ascii="PT Astra Serif" w:hAnsi="PT Astra Serif"/>
                <w:sz w:val="28"/>
              </w:rPr>
            </w:pPr>
          </w:p>
          <w:p w14:paraId="0F000000">
            <w:pPr>
              <w:widowControl w:val="1"/>
              <w:spacing w:after="0" w:line="360" w:lineRule="atLeast"/>
              <w:ind/>
              <w:jc w:val="center"/>
              <w:rPr>
                <w:rFonts w:ascii="YS Text" w:hAnsi="YS Text"/>
                <w:color w:val="333333"/>
                <w:sz w:val="24"/>
                <w:highlight w:val="white"/>
              </w:rPr>
            </w:pPr>
          </w:p>
        </w:tc>
      </w:tr>
    </w:tbl>
    <w:p w14:paraId="10000000">
      <w:pPr>
        <w:pStyle w:val="Style_1"/>
        <w:rPr>
          <w:rFonts w:ascii="PT Astra Serif" w:hAnsi="PT Astra Serif"/>
          <w:sz w:val="28"/>
        </w:rPr>
      </w:pPr>
    </w:p>
    <w:p w14:paraId="11000000">
      <w:pPr>
        <w:widowControl w:val="1"/>
        <w:spacing w:after="0"/>
        <w:ind w:firstLine="0" w:left="0"/>
        <w:jc w:val="center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b w:val="1"/>
          <w:sz w:val="28"/>
          <w:highlight w:val="white"/>
        </w:rPr>
        <w:t xml:space="preserve">О внесении изменений в региональные нормативы градостроительного проектирования Республики Саха (Якутия), утвержденные приказом Управления архитектуры и градостроительства при Главе Республики Саха </w:t>
      </w:r>
      <w:r>
        <w:rPr>
          <w:rFonts w:ascii="PT Astra Serif" w:hAnsi="PT Astra Serif"/>
          <w:b w:val="1"/>
          <w:sz w:val="28"/>
          <w:highlight w:val="white"/>
        </w:rPr>
        <w:t xml:space="preserve">(Якутия) </w:t>
      </w:r>
      <w:r>
        <w:rPr>
          <w:rFonts w:ascii="PT Astra Serif" w:hAnsi="PT Astra Serif"/>
          <w:b w:val="1"/>
          <w:sz w:val="28"/>
          <w:highlight w:val="white"/>
        </w:rPr>
        <w:t>от 14 марта 2025 г. № 29</w:t>
      </w:r>
    </w:p>
    <w:p w14:paraId="12000000">
      <w:pPr>
        <w:widowControl w:val="1"/>
        <w:spacing w:after="0"/>
        <w:ind w:firstLine="680"/>
        <w:jc w:val="center"/>
        <w:rPr>
          <w:rFonts w:ascii="PT Astra Serif" w:hAnsi="PT Astra Serif"/>
          <w:sz w:val="28"/>
          <w:highlight w:val="white"/>
        </w:rPr>
      </w:pPr>
    </w:p>
    <w:p w14:paraId="13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В соответст</w:t>
      </w:r>
      <w:r>
        <w:rPr>
          <w:rFonts w:ascii="PT Astra Serif" w:hAnsi="PT Astra Serif"/>
          <w:color w:val="000000"/>
          <w:sz w:val="28"/>
          <w:highlight w:val="white"/>
          <w:u w:val="none"/>
        </w:rPr>
        <w:t xml:space="preserve">вии со </w:t>
      </w:r>
      <w:r>
        <w:rPr>
          <w:rFonts w:ascii="PT Astra Serif" w:hAnsi="PT Astra Serif"/>
          <w:color w:val="000000"/>
          <w:sz w:val="28"/>
          <w:highlight w:val="white"/>
          <w:u w:color="000000" w:val="none"/>
        </w:rPr>
        <w:t>статьями 29.2</w:t>
      </w:r>
      <w:r>
        <w:rPr>
          <w:rFonts w:ascii="PT Astra Serif" w:hAnsi="PT Astra Serif"/>
          <w:color w:val="000000"/>
          <w:sz w:val="28"/>
          <w:highlight w:val="white"/>
          <w:u w:val="none"/>
        </w:rPr>
        <w:t xml:space="preserve">, </w:t>
      </w:r>
      <w:r>
        <w:rPr>
          <w:rFonts w:ascii="PT Astra Serif" w:hAnsi="PT Astra Serif"/>
          <w:color w:val="000000"/>
          <w:sz w:val="28"/>
          <w:highlight w:val="white"/>
          <w:u w:color="000000" w:val="none"/>
        </w:rPr>
        <w:fldChar w:fldCharType="begin"/>
      </w:r>
      <w:r>
        <w:rPr>
          <w:rFonts w:ascii="PT Astra Serif" w:hAnsi="PT Astra Serif"/>
          <w:color w:val="000000"/>
          <w:sz w:val="28"/>
          <w:highlight w:val="white"/>
          <w:u w:color="000000" w:val="none"/>
        </w:rPr>
        <w:instrText>HYPERLINK "https://d.garant.ru/document/12138258/entry/293"</w:instrText>
      </w:r>
      <w:r>
        <w:rPr>
          <w:rFonts w:ascii="PT Astra Serif" w:hAnsi="PT Astra Serif"/>
          <w:color w:val="000000"/>
          <w:sz w:val="28"/>
          <w:highlight w:val="white"/>
          <w:u w:color="000000" w:val="none"/>
        </w:rPr>
        <w:fldChar w:fldCharType="separate"/>
      </w:r>
      <w:r>
        <w:rPr>
          <w:rFonts w:ascii="PT Astra Serif" w:hAnsi="PT Astra Serif"/>
          <w:color w:val="000000"/>
          <w:sz w:val="28"/>
          <w:highlight w:val="white"/>
          <w:u w:color="000000" w:val="none"/>
        </w:rPr>
        <w:t>29.3</w:t>
      </w:r>
      <w:r>
        <w:rPr>
          <w:rFonts w:ascii="PT Astra Serif" w:hAnsi="PT Astra Serif"/>
          <w:color w:val="000000"/>
          <w:sz w:val="28"/>
          <w:highlight w:val="white"/>
          <w:u w:color="000000" w:val="none"/>
        </w:rPr>
        <w:fldChar w:fldCharType="end"/>
      </w:r>
      <w:r>
        <w:rPr>
          <w:rFonts w:ascii="PT Astra Serif" w:hAnsi="PT Astra Serif"/>
          <w:color w:val="000000"/>
          <w:sz w:val="28"/>
          <w:highlight w:val="white"/>
          <w:u w:val="none"/>
        </w:rPr>
        <w:t xml:space="preserve"> </w:t>
      </w:r>
      <w:r>
        <w:rPr>
          <w:rFonts w:ascii="PT Astra Serif" w:hAnsi="PT Astra Serif"/>
          <w:color w:val="000000"/>
          <w:sz w:val="28"/>
          <w:highlight w:val="white"/>
          <w:u w:color="000000" w:val="none"/>
        </w:rPr>
        <w:t>Градостроительного кодекса</w:t>
      </w:r>
      <w:r>
        <w:rPr>
          <w:rFonts w:ascii="PT Astra Serif" w:hAnsi="PT Astra Serif"/>
          <w:color w:val="000000"/>
          <w:sz w:val="28"/>
          <w:highlight w:val="white"/>
          <w:u w:val="none"/>
        </w:rPr>
        <w:t xml:space="preserve"> Российской Федерации,</w:t>
      </w:r>
      <w:r>
        <w:rPr>
          <w:rFonts w:ascii="PT Astra Serif" w:hAnsi="PT Astra Serif"/>
          <w:color w:val="000000"/>
          <w:sz w:val="28"/>
          <w:highlight w:val="white"/>
          <w:u w:val="none"/>
        </w:rPr>
        <w:t xml:space="preserve"> </w:t>
      </w:r>
      <w:r>
        <w:rPr>
          <w:rFonts w:ascii="PT Astra Serif" w:hAnsi="PT Astra Serif"/>
          <w:color w:val="000000"/>
          <w:sz w:val="28"/>
          <w:highlight w:val="white"/>
          <w:u w:val="none"/>
        </w:rPr>
        <w:t>в целях с</w:t>
      </w:r>
      <w:r>
        <w:rPr>
          <w:rFonts w:ascii="PT Astra Serif" w:hAnsi="PT Astra Serif"/>
          <w:color w:val="000000"/>
          <w:sz w:val="28"/>
          <w:highlight w:val="white"/>
          <w:u w:val="none"/>
        </w:rPr>
        <w:t xml:space="preserve">овершенствования нормативного регулирования в области обеспечения населения </w:t>
      </w:r>
      <w:r>
        <w:rPr>
          <w:rFonts w:ascii="PT Astra Serif" w:hAnsi="PT Astra Serif"/>
          <w:color w:val="000000"/>
          <w:sz w:val="28"/>
          <w:highlight w:val="white"/>
          <w:u w:val="none"/>
        </w:rPr>
        <w:t>машино</w:t>
      </w:r>
      <w:r>
        <w:rPr>
          <w:rFonts w:ascii="PT Astra Serif" w:hAnsi="PT Astra Serif"/>
          <w:color w:val="000000"/>
          <w:sz w:val="28"/>
          <w:highlight w:val="white"/>
          <w:u w:val="none"/>
        </w:rPr>
        <w:t xml:space="preserve">-местами для парковки электромобилей и гибридных автомобилей, </w:t>
      </w:r>
      <w:r>
        <w:rPr>
          <w:rFonts w:ascii="PT Astra Serif" w:hAnsi="PT Astra Serif"/>
          <w:b w:val="1"/>
          <w:color w:val="000000"/>
          <w:sz w:val="28"/>
          <w:highlight w:val="white"/>
          <w:u w:val="none"/>
        </w:rPr>
        <w:t>приказ</w:t>
      </w:r>
      <w:r>
        <w:rPr>
          <w:rFonts w:ascii="PT Astra Serif" w:hAnsi="PT Astra Serif"/>
          <w:b w:val="1"/>
          <w:sz w:val="28"/>
          <w:highlight w:val="white"/>
        </w:rPr>
        <w:t>ываю:</w:t>
      </w:r>
    </w:p>
    <w:p w14:paraId="14000000">
      <w:pPr>
        <w:widowControl w:val="1"/>
        <w:numPr>
          <w:ilvl w:val="0"/>
          <w:numId w:val="1"/>
        </w:numPr>
        <w:spacing w:after="0"/>
        <w:ind w:firstLine="680" w:left="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Внести в региональные нормативы градостроительного проектирования Республики Саха (Якутия), утвержде</w:t>
      </w:r>
      <w:r>
        <w:rPr>
          <w:rFonts w:ascii="PT Astra Serif" w:hAnsi="PT Astra Serif"/>
          <w:sz w:val="28"/>
          <w:highlight w:val="white"/>
        </w:rPr>
        <w:t>нные приказом Управления архитектуры и градостроительства при Главе Республики Саха (Якутия) от 14 марта 2025 г. № 29, следующие изменения:</w:t>
      </w:r>
    </w:p>
    <w:p w14:paraId="15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а) в разделе 1 «Основная часть»:</w:t>
      </w:r>
    </w:p>
    <w:p w14:paraId="16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в пункте 1.1.3 «Перечень областей нормирования, для которых РНГП установлены расчет</w:t>
      </w:r>
      <w:r>
        <w:rPr>
          <w:rFonts w:ascii="PT Astra Serif" w:hAnsi="PT Astra Serif"/>
          <w:sz w:val="28"/>
          <w:highlight w:val="white"/>
        </w:rPr>
        <w:t>ные показатели» подраздела 1.1 «Общие положения»:</w:t>
      </w:r>
    </w:p>
    <w:p w14:paraId="17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в абзаце четырнадцатом после слов</w:t>
      </w:r>
      <w:r>
        <w:rPr>
          <w:rFonts w:ascii="PT Astra Serif" w:hAnsi="PT Astra Serif"/>
          <w:sz w:val="28"/>
          <w:highlight w:val="white"/>
        </w:rPr>
        <w:t xml:space="preserve"> «обеспечение населения </w:t>
      </w:r>
      <w:r>
        <w:rPr>
          <w:rFonts w:ascii="PT Astra Serif" w:hAnsi="PT Astra Serif"/>
          <w:sz w:val="28"/>
          <w:highlight w:val="white"/>
        </w:rPr>
        <w:t>машино</w:t>
      </w:r>
      <w:r>
        <w:rPr>
          <w:rFonts w:ascii="PT Astra Serif" w:hAnsi="PT Astra Serif"/>
          <w:sz w:val="28"/>
          <w:highlight w:val="white"/>
        </w:rPr>
        <w:t>-местами для постоянного хранения</w:t>
      </w:r>
      <w:r>
        <w:rPr>
          <w:rFonts w:ascii="PT Astra Serif" w:hAnsi="PT Astra Serif"/>
          <w:sz w:val="28"/>
          <w:highlight w:val="white"/>
        </w:rPr>
        <w:t xml:space="preserve"> легковых автомобилей,» дополнить</w:t>
      </w:r>
      <w:r>
        <w:rPr>
          <w:rFonts w:ascii="PT Astra Serif" w:hAnsi="PT Astra Serif"/>
          <w:sz w:val="28"/>
          <w:highlight w:val="white"/>
        </w:rPr>
        <w:t xml:space="preserve"> словами «</w:t>
      </w:r>
      <w:r>
        <w:rPr>
          <w:rFonts w:ascii="PT Astra Serif" w:hAnsi="PT Astra Serif"/>
          <w:sz w:val="28"/>
          <w:highlight w:val="white"/>
        </w:rPr>
        <w:t xml:space="preserve">, включая </w:t>
      </w:r>
      <w:r>
        <w:rPr>
          <w:rFonts w:ascii="PT Astra Serif" w:hAnsi="PT Astra Serif"/>
          <w:sz w:val="28"/>
          <w:highlight w:val="white"/>
        </w:rPr>
        <w:t>машино</w:t>
      </w:r>
      <w:r>
        <w:rPr>
          <w:rFonts w:ascii="PT Astra Serif" w:hAnsi="PT Astra Serif"/>
          <w:sz w:val="28"/>
          <w:highlight w:val="white"/>
        </w:rPr>
        <w:t>-места для парковки электромобилей и гибридных автомобилей, оборудованные зарядными устройствами,»;</w:t>
      </w:r>
    </w:p>
    <w:p w14:paraId="18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в абзаце пятнадцатом </w:t>
      </w:r>
      <w:r>
        <w:rPr>
          <w:rFonts w:ascii="PT Astra Serif" w:hAnsi="PT Astra Serif"/>
          <w:sz w:val="28"/>
          <w:highlight w:val="white"/>
        </w:rPr>
        <w:t>после слов</w:t>
      </w:r>
      <w:r>
        <w:rPr>
          <w:rFonts w:ascii="PT Astra Serif" w:hAnsi="PT Astra Serif"/>
          <w:sz w:val="28"/>
          <w:highlight w:val="white"/>
        </w:rPr>
        <w:t xml:space="preserve"> «обеспечение населения </w:t>
      </w:r>
      <w:r>
        <w:rPr>
          <w:rFonts w:ascii="PT Astra Serif" w:hAnsi="PT Astra Serif"/>
          <w:sz w:val="28"/>
          <w:highlight w:val="white"/>
        </w:rPr>
        <w:t>машино</w:t>
      </w:r>
      <w:r>
        <w:rPr>
          <w:rFonts w:ascii="PT Astra Serif" w:hAnsi="PT Astra Serif"/>
          <w:sz w:val="28"/>
          <w:highlight w:val="white"/>
        </w:rPr>
        <w:t>-местами для парковки</w:t>
      </w:r>
      <w:r>
        <w:rPr>
          <w:rFonts w:ascii="PT Astra Serif" w:hAnsi="PT Astra Serif"/>
          <w:sz w:val="28"/>
          <w:highlight w:val="white"/>
        </w:rPr>
        <w:t xml:space="preserve"> легковых автомобилей,» дополнить </w:t>
      </w:r>
      <w:r>
        <w:rPr>
          <w:rFonts w:ascii="PT Astra Serif" w:hAnsi="PT Astra Serif"/>
          <w:sz w:val="28"/>
          <w:highlight w:val="white"/>
        </w:rPr>
        <w:t>словами «</w:t>
      </w:r>
      <w:r>
        <w:rPr>
          <w:rFonts w:ascii="PT Astra Serif" w:hAnsi="PT Astra Serif"/>
          <w:sz w:val="28"/>
          <w:highlight w:val="white"/>
        </w:rPr>
        <w:t xml:space="preserve">, включая </w:t>
      </w:r>
      <w:r>
        <w:rPr>
          <w:rFonts w:ascii="PT Astra Serif" w:hAnsi="PT Astra Serif"/>
          <w:sz w:val="28"/>
          <w:highlight w:val="white"/>
        </w:rPr>
        <w:t>машино</w:t>
      </w:r>
      <w:r>
        <w:rPr>
          <w:rFonts w:ascii="PT Astra Serif" w:hAnsi="PT Astra Serif"/>
          <w:sz w:val="28"/>
          <w:highlight w:val="white"/>
        </w:rPr>
        <w:t>-места для парковки электромобилей и гибридных автомобилей, оборудо</w:t>
      </w:r>
      <w:r>
        <w:rPr>
          <w:rFonts w:ascii="PT Astra Serif" w:hAnsi="PT Astra Serif"/>
          <w:sz w:val="28"/>
          <w:highlight w:val="white"/>
        </w:rPr>
        <w:t>ванные зарядными устройствами,».</w:t>
      </w:r>
    </w:p>
    <w:p w14:paraId="19000000">
      <w:pPr>
        <w:widowControl w:val="1"/>
        <w:spacing w:after="0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highlight w:val="white"/>
        </w:rPr>
        <w:tab/>
      </w:r>
      <w:r>
        <w:rPr>
          <w:rFonts w:ascii="PT Astra Serif" w:hAnsi="PT Astra Serif"/>
          <w:sz w:val="28"/>
          <w:highlight w:val="white"/>
        </w:rPr>
        <w:t xml:space="preserve">в пункте 1.2.2. </w:t>
      </w:r>
      <w:r>
        <w:rPr>
          <w:rFonts w:ascii="PT Astra Serif" w:hAnsi="PT Astra Serif"/>
          <w:sz w:val="28"/>
        </w:rPr>
        <w:t xml:space="preserve">«Предельные значения расчетных </w:t>
      </w:r>
      <w:r>
        <w:rPr>
          <w:rFonts w:ascii="PT Astra Serif" w:hAnsi="PT Astra Serif"/>
          <w:sz w:val="28"/>
        </w:rPr>
        <w:t>показателей для объектов местного значения</w:t>
      </w:r>
      <w:r>
        <w:rPr>
          <w:rFonts w:ascii="PT Astra Serif" w:hAnsi="PT Astra Serif"/>
          <w:sz w:val="28"/>
        </w:rPr>
        <w:t>» подраздела 1.2. «</w:t>
      </w:r>
      <w:r>
        <w:rPr>
          <w:rFonts w:ascii="PT Astra Serif" w:hAnsi="PT Astra Serif"/>
          <w:sz w:val="28"/>
        </w:rPr>
        <w:t>Расчетные показатели для РНГП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: </w:t>
      </w:r>
    </w:p>
    <w:p w14:paraId="1A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color w:val="FB290D"/>
          <w:sz w:val="28"/>
          <w:highlight w:val="white"/>
        </w:rPr>
        <w:t>т</w:t>
      </w:r>
      <w:r>
        <w:rPr>
          <w:rFonts w:ascii="PT Astra Serif" w:hAnsi="PT Astra Serif"/>
          <w:color w:val="FB290D"/>
          <w:sz w:val="28"/>
          <w:highlight w:val="white"/>
        </w:rPr>
        <w:t>аблицу 12</w:t>
      </w:r>
      <w:r>
        <w:rPr>
          <w:rFonts w:ascii="PT Astra Serif" w:hAnsi="PT Astra Serif"/>
          <w:color w:val="FB290D"/>
          <w:sz w:val="28"/>
          <w:highlight w:val="white"/>
        </w:rPr>
        <w:t> «Объекты местного значения в области обеспечения н</w:t>
      </w:r>
      <w:r>
        <w:rPr>
          <w:rFonts w:ascii="PT Astra Serif" w:hAnsi="PT Astra Serif"/>
          <w:color w:val="FB290D"/>
          <w:sz w:val="28"/>
          <w:highlight w:val="white"/>
        </w:rPr>
        <w:t xml:space="preserve">аселения </w:t>
      </w:r>
      <w:r>
        <w:rPr>
          <w:rFonts w:ascii="PT Astra Serif" w:hAnsi="PT Astra Serif"/>
          <w:color w:val="FB290D"/>
          <w:sz w:val="28"/>
          <w:highlight w:val="white"/>
        </w:rPr>
        <w:t>машино</w:t>
      </w:r>
      <w:r>
        <w:rPr>
          <w:rFonts w:ascii="PT Astra Serif" w:hAnsi="PT Astra Serif"/>
          <w:color w:val="FB290D"/>
          <w:sz w:val="28"/>
          <w:highlight w:val="white"/>
        </w:rPr>
        <w:t>-местами для постоянного хранения легковых автомобилей, местами хранения велосипедов и средств индивидуальной мобильности»</w:t>
      </w:r>
      <w:r>
        <w:rPr>
          <w:rFonts w:ascii="PT Astra Serif" w:hAnsi="PT Astra Serif"/>
          <w:color w:val="FB290D"/>
          <w:sz w:val="28"/>
          <w:highlight w:val="white"/>
        </w:rPr>
        <w:t xml:space="preserve"> </w:t>
      </w:r>
      <w:r>
        <w:rPr>
          <w:rFonts w:ascii="PT Astra Serif" w:hAnsi="PT Astra Serif"/>
          <w:sz w:val="28"/>
          <w:highlight w:val="white"/>
        </w:rPr>
        <w:t xml:space="preserve">изложить </w:t>
      </w:r>
      <w:r>
        <w:rPr>
          <w:rFonts w:ascii="PT Astra Serif" w:hAnsi="PT Astra Serif"/>
          <w:sz w:val="28"/>
          <w:highlight w:val="white"/>
        </w:rPr>
        <w:t>в новой редакции согласно приложению № 1 к настоящему приказу;</w:t>
      </w:r>
    </w:p>
    <w:p w14:paraId="1B000000">
      <w:pPr>
        <w:widowControl w:val="1"/>
        <w:spacing w:after="0"/>
        <w:ind w:firstLine="680"/>
        <w:jc w:val="both"/>
      </w:pPr>
      <w:r>
        <w:rPr>
          <w:rFonts w:ascii="PT Astra Serif" w:hAnsi="PT Astra Serif"/>
          <w:color w:val="FB290D"/>
          <w:sz w:val="28"/>
          <w:highlight w:val="white"/>
        </w:rPr>
        <w:t>т</w:t>
      </w:r>
      <w:r>
        <w:rPr>
          <w:rFonts w:ascii="PT Astra Serif" w:hAnsi="PT Astra Serif"/>
          <w:color w:val="FB290D"/>
          <w:sz w:val="28"/>
          <w:highlight w:val="white"/>
        </w:rPr>
        <w:t>аблицу 13 «</w:t>
      </w:r>
      <w:r>
        <w:rPr>
          <w:rFonts w:ascii="PT Astra Serif" w:hAnsi="PT Astra Serif"/>
          <w:color w:val="FB290D"/>
          <w:sz w:val="28"/>
        </w:rPr>
        <w:t>Объекты местног</w:t>
      </w:r>
      <w:r>
        <w:rPr>
          <w:rFonts w:ascii="PT Astra Serif" w:hAnsi="PT Astra Serif"/>
          <w:color w:val="FB290D"/>
          <w:sz w:val="28"/>
        </w:rPr>
        <w:t xml:space="preserve">о значения в области обеспечения населения </w:t>
      </w:r>
      <w:r>
        <w:rPr>
          <w:rFonts w:ascii="PT Astra Serif" w:hAnsi="PT Astra Serif"/>
          <w:color w:val="FB290D"/>
          <w:sz w:val="28"/>
        </w:rPr>
        <w:t>машино</w:t>
      </w:r>
      <w:r>
        <w:rPr>
          <w:rFonts w:ascii="PT Astra Serif" w:hAnsi="PT Astra Serif"/>
          <w:color w:val="FB290D"/>
          <w:sz w:val="28"/>
        </w:rPr>
        <w:t>-местами для парковки легковых автомобилей, местами для парковки велосипедов и средств индивидуальной мобильности»</w:t>
      </w:r>
      <w:r>
        <w:rPr>
          <w:rFonts w:ascii="PT Astra Serif" w:hAnsi="PT Astra Serif"/>
          <w:sz w:val="28"/>
          <w:highlight w:val="white"/>
        </w:rPr>
        <w:t xml:space="preserve"> изложить в новой редакции согласно приложению № 2 к настоящему приказу.</w:t>
      </w:r>
    </w:p>
    <w:p w14:paraId="1C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б) в разделе 2 «Мате</w:t>
      </w:r>
      <w:r>
        <w:rPr>
          <w:rFonts w:ascii="PT Astra Serif" w:hAnsi="PT Astra Serif"/>
          <w:sz w:val="28"/>
          <w:highlight w:val="white"/>
        </w:rPr>
        <w:t>риалы по обоснованию расчетных показателей, содержащихся в основной части»:</w:t>
      </w:r>
    </w:p>
    <w:p w14:paraId="1D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 в пункте 2.2.4 «Обоснование предельных значений расчетных показателей для объектов местного значения, содержащихся в основной части» подраздела 2.2 «Обоснование </w:t>
      </w:r>
      <w:r>
        <w:rPr>
          <w:rFonts w:ascii="PT Astra Serif" w:hAnsi="PT Astra Serif"/>
          <w:color w:val="FB290D"/>
          <w:sz w:val="28"/>
          <w:highlight w:val="white"/>
        </w:rPr>
        <w:t xml:space="preserve">положения </w:t>
      </w:r>
      <w:r>
        <w:rPr>
          <w:rFonts w:ascii="PT Astra Serif" w:hAnsi="PT Astra Serif"/>
          <w:sz w:val="28"/>
          <w:highlight w:val="white"/>
        </w:rPr>
        <w:t>основно</w:t>
      </w:r>
      <w:r>
        <w:rPr>
          <w:rFonts w:ascii="PT Astra Serif" w:hAnsi="PT Astra Serif"/>
          <w:sz w:val="28"/>
          <w:highlight w:val="white"/>
        </w:rPr>
        <w:t>й части»:</w:t>
      </w:r>
    </w:p>
    <w:p w14:paraId="1E000000">
      <w:pPr>
        <w:widowControl w:val="1"/>
        <w:spacing w:after="0"/>
        <w:ind w:firstLine="680"/>
        <w:jc w:val="both"/>
      </w:pPr>
      <w:r>
        <w:rPr>
          <w:rFonts w:ascii="PT Astra Serif" w:hAnsi="PT Astra Serif"/>
          <w:sz w:val="28"/>
          <w:highlight w:val="white"/>
        </w:rPr>
        <w:t>т</w:t>
      </w:r>
      <w:r>
        <w:rPr>
          <w:rFonts w:ascii="PT Astra Serif" w:hAnsi="PT Astra Serif"/>
          <w:sz w:val="28"/>
          <w:highlight w:val="white"/>
        </w:rPr>
        <w:t xml:space="preserve">аблицу 36 </w:t>
      </w:r>
      <w:r>
        <w:rPr>
          <w:rFonts w:ascii="PT Astra Serif" w:hAnsi="PT Astra Serif"/>
          <w:color w:val="FB290D"/>
          <w:sz w:val="28"/>
          <w:highlight w:val="white"/>
        </w:rPr>
        <w:t>«</w:t>
      </w:r>
      <w:r>
        <w:rPr>
          <w:rFonts w:ascii="PT Astra Serif" w:hAnsi="PT Astra Serif"/>
          <w:color w:val="FB290D"/>
          <w:sz w:val="28"/>
        </w:rPr>
        <w:t xml:space="preserve">Объекты местного значения в области обеспечения населения </w:t>
      </w:r>
      <w:r>
        <w:rPr>
          <w:rFonts w:ascii="PT Astra Serif" w:hAnsi="PT Astra Serif"/>
          <w:color w:val="FB290D"/>
          <w:sz w:val="28"/>
        </w:rPr>
        <w:t>машино</w:t>
      </w:r>
      <w:r>
        <w:rPr>
          <w:rFonts w:ascii="PT Astra Serif" w:hAnsi="PT Astra Serif"/>
          <w:color w:val="FB290D"/>
          <w:sz w:val="28"/>
        </w:rPr>
        <w:t>-местами для постоянного хранения легковых автомобилей, местами хранения велосипедов и средств индивидуальной мобильности</w:t>
      </w:r>
      <w:r>
        <w:rPr>
          <w:rFonts w:ascii="PT Astra Serif" w:hAnsi="PT Astra Serif"/>
          <w:color w:val="FB290D"/>
          <w:sz w:val="28"/>
          <w:highlight w:val="white"/>
        </w:rPr>
        <w:t>»</w:t>
      </w:r>
      <w:r>
        <w:rPr>
          <w:rFonts w:ascii="PT Astra Serif" w:hAnsi="PT Astra Serif"/>
          <w:sz w:val="28"/>
          <w:highlight w:val="white"/>
        </w:rPr>
        <w:t xml:space="preserve"> изложить в новой</w:t>
      </w:r>
      <w:r>
        <w:rPr>
          <w:rFonts w:ascii="PT Astra Serif" w:hAnsi="PT Astra Serif"/>
          <w:sz w:val="28"/>
          <w:highlight w:val="white"/>
        </w:rPr>
        <w:t xml:space="preserve"> редакции согласно приложению № 3 к настоящему приказу</w:t>
      </w:r>
      <w:r>
        <w:rPr>
          <w:rFonts w:ascii="PT Astra Serif" w:hAnsi="PT Astra Serif"/>
          <w:sz w:val="28"/>
        </w:rPr>
        <w:t>;</w:t>
      </w:r>
    </w:p>
    <w:p w14:paraId="1F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highlight w:val="white"/>
        </w:rPr>
        <w:t>т</w:t>
      </w:r>
      <w:r>
        <w:rPr>
          <w:rFonts w:ascii="PT Astra Serif" w:hAnsi="PT Astra Serif"/>
          <w:sz w:val="28"/>
          <w:highlight w:val="white"/>
        </w:rPr>
        <w:t>аблицу 37</w:t>
      </w:r>
      <w:r>
        <w:rPr>
          <w:rFonts w:ascii="PT Astra Serif" w:hAnsi="PT Astra Serif"/>
          <w:color w:val="FB290D"/>
          <w:sz w:val="28"/>
          <w:highlight w:val="white"/>
        </w:rPr>
        <w:t xml:space="preserve"> «</w:t>
      </w:r>
      <w:r>
        <w:rPr>
          <w:rFonts w:ascii="PT Astra Serif" w:hAnsi="PT Astra Serif"/>
          <w:color w:val="FB290D"/>
          <w:sz w:val="28"/>
        </w:rPr>
        <w:t xml:space="preserve">Объекты местного значения в области обеспечения населения </w:t>
      </w:r>
      <w:r>
        <w:rPr>
          <w:rFonts w:ascii="PT Astra Serif" w:hAnsi="PT Astra Serif"/>
          <w:color w:val="FB290D"/>
          <w:sz w:val="28"/>
        </w:rPr>
        <w:t>машино</w:t>
      </w:r>
      <w:r>
        <w:rPr>
          <w:rFonts w:ascii="PT Astra Serif" w:hAnsi="PT Astra Serif"/>
          <w:color w:val="FB290D"/>
          <w:sz w:val="28"/>
        </w:rPr>
        <w:t>-местами для парковки легковых автомобилей, местами для парковки велосипедов и средств индивидуальной мобильности</w:t>
      </w:r>
      <w:r>
        <w:rPr>
          <w:rFonts w:ascii="PT Astra Serif" w:hAnsi="PT Astra Serif"/>
          <w:color w:val="FB290D"/>
          <w:sz w:val="28"/>
          <w:highlight w:val="white"/>
        </w:rPr>
        <w:t xml:space="preserve">» </w:t>
      </w:r>
      <w:r>
        <w:rPr>
          <w:rFonts w:ascii="PT Astra Serif" w:hAnsi="PT Astra Serif"/>
          <w:sz w:val="28"/>
          <w:highlight w:val="white"/>
        </w:rPr>
        <w:t>изложит</w:t>
      </w:r>
      <w:r>
        <w:rPr>
          <w:rFonts w:ascii="PT Astra Serif" w:hAnsi="PT Astra Serif"/>
          <w:sz w:val="28"/>
          <w:highlight w:val="white"/>
        </w:rPr>
        <w:t>ь в новой редакции согласно приложению № 4 к настоящему приказу.</w:t>
      </w:r>
    </w:p>
    <w:p w14:paraId="20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 </w:t>
      </w:r>
      <w:r>
        <w:rPr>
          <w:rFonts w:ascii="PT Astra Serif" w:hAnsi="PT Astra Serif"/>
          <w:sz w:val="28"/>
          <w:highlight w:val="white"/>
        </w:rPr>
        <w:t xml:space="preserve">Отделу градостроительной и </w:t>
      </w:r>
      <w:r>
        <w:rPr>
          <w:rFonts w:ascii="PT Astra Serif" w:hAnsi="PT Astra Serif"/>
          <w:sz w:val="28"/>
          <w:highlight w:val="white"/>
        </w:rPr>
        <w:t>контрольно</w:t>
      </w:r>
      <w:r>
        <w:rPr>
          <w:rFonts w:ascii="PT Astra Serif" w:hAnsi="PT Astra Serif"/>
          <w:sz w:val="28"/>
          <w:highlight w:val="white"/>
        </w:rPr>
        <w:t xml:space="preserve"> - надзорной деятельности обеспечить:</w:t>
      </w:r>
    </w:p>
    <w:p w14:paraId="21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а) направление настоящего приказа в Государственный комитет юстиции Республики Саха (Якутия) для государственной рег</w:t>
      </w:r>
      <w:r>
        <w:rPr>
          <w:rFonts w:ascii="PT Astra Serif" w:hAnsi="PT Astra Serif"/>
          <w:sz w:val="28"/>
          <w:highlight w:val="white"/>
        </w:rPr>
        <w:t>истрации;</w:t>
      </w:r>
    </w:p>
    <w:p w14:paraId="22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б) размещение настоящего приказа в федеральной государственной информационной системе территориального планирования в срок, не превышающий пяти дней со дня его утверждения;</w:t>
      </w:r>
    </w:p>
    <w:p w14:paraId="23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в) опубликование настоящего приказа в официальных средствах массовой инфо</w:t>
      </w:r>
      <w:r>
        <w:rPr>
          <w:rFonts w:ascii="PT Astra Serif" w:hAnsi="PT Astra Serif"/>
          <w:sz w:val="28"/>
          <w:highlight w:val="white"/>
        </w:rPr>
        <w:t>рмации.</w:t>
      </w:r>
    </w:p>
    <w:p w14:paraId="24000000">
      <w:pPr>
        <w:widowControl w:val="1"/>
        <w:spacing w:after="0"/>
        <w:ind w:firstLine="680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3. </w:t>
      </w:r>
      <w:bookmarkStart w:id="2" w:name="_GoBack"/>
      <w:bookmarkEnd w:id="2"/>
      <w:r>
        <w:rPr>
          <w:rFonts w:ascii="PT Astra Serif" w:hAnsi="PT Astra Serif"/>
          <w:sz w:val="28"/>
          <w:highlight w:val="white"/>
        </w:rPr>
        <w:t>Контроль исполнения настоящего приказа оставляю за собой.</w:t>
      </w:r>
    </w:p>
    <w:p w14:paraId="25000000">
      <w:pPr>
        <w:widowControl w:val="1"/>
        <w:spacing w:after="0"/>
        <w:ind w:firstLine="567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Ind w:type="dxa" w:w="-142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2552"/>
        <w:gridCol w:w="4624"/>
        <w:gridCol w:w="2322"/>
      </w:tblGrid>
      <w:tr>
        <w:trPr>
          <w:trHeight w:hRule="atLeast" w:val="700"/>
        </w:trPr>
        <w:tc>
          <w:tcPr>
            <w:tcW w:type="dxa" w:w="255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6000000">
            <w:pPr>
              <w:widowControl w:val="1"/>
              <w:spacing w:after="160" w:line="264" w:lineRule="auto"/>
              <w:ind/>
              <w:rPr>
                <w:rFonts w:ascii="Times New Roman" w:hAnsi="Times New Roman"/>
                <w:sz w:val="26"/>
              </w:rPr>
            </w:pPr>
            <w:bookmarkStart w:id="3" w:name="SIGNERPOST1"/>
            <w:r>
              <w:rPr>
                <w:rFonts w:ascii="Times New Roman" w:hAnsi="Times New Roman"/>
                <w:sz w:val="26"/>
              </w:rPr>
              <w:t>Должность</w:t>
            </w:r>
            <w:bookmarkEnd w:id="3"/>
          </w:p>
        </w:tc>
        <w:tc>
          <w:tcPr>
            <w:tcW w:type="dxa" w:w="462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7000000">
            <w:pPr>
              <w:widowControl w:val="1"/>
              <w:spacing w:after="160" w:line="264" w:lineRule="auto"/>
              <w:ind/>
              <w:rPr>
                <w:rFonts w:ascii="Times New Roman" w:hAnsi="Times New Roman"/>
                <w:sz w:val="26"/>
              </w:rPr>
            </w:pPr>
            <w:bookmarkStart w:id="4" w:name="SIGNERSTAMP1"/>
            <w:r>
              <w:rPr>
                <w:rFonts w:ascii="Times New Roman" w:hAnsi="Times New Roman"/>
                <w:sz w:val="28"/>
              </w:rPr>
              <w:t>[Место для подписи]</w:t>
            </w:r>
            <w:bookmarkEnd w:id="4"/>
          </w:p>
        </w:tc>
        <w:tc>
          <w:tcPr>
            <w:tcW w:type="dxa" w:w="232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8000000">
            <w:pPr>
              <w:widowControl w:val="1"/>
              <w:spacing w:after="160" w:line="264" w:lineRule="auto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5" w:name="SIGNERNAME1"/>
            <w:r>
              <w:rPr>
                <w:rFonts w:ascii="Times New Roman" w:hAnsi="Times New Roman"/>
                <w:sz w:val="26"/>
              </w:rPr>
              <w:t>ФИО</w:t>
            </w:r>
            <w:bookmarkEnd w:id="5"/>
          </w:p>
        </w:tc>
      </w:tr>
    </w:tbl>
    <w:p w14:paraId="2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A000000">
      <w:pPr>
        <w:pStyle w:val="Style_1"/>
        <w:widowControl w:val="1"/>
        <w:ind w:left="-567"/>
        <w:jc w:val="both"/>
        <w:rPr>
          <w:rFonts w:ascii="Times New Roman" w:hAnsi="Times New Roman"/>
          <w:sz w:val="24"/>
        </w:rPr>
      </w:pPr>
    </w:p>
    <w:p w14:paraId="2B000000">
      <w:pPr>
        <w:pStyle w:val="Style_1"/>
        <w:widowControl w:val="1"/>
        <w:ind w:left="-567"/>
        <w:jc w:val="both"/>
        <w:rPr>
          <w:rFonts w:ascii="Times New Roman" w:hAnsi="Times New Roman"/>
          <w:sz w:val="24"/>
        </w:rPr>
      </w:pPr>
      <w:r>
        <w:br w:type="page"/>
      </w:r>
    </w:p>
    <w:p w14:paraId="2C000000">
      <w:pPr>
        <w:pStyle w:val="Style_1"/>
        <w:widowControl w:val="1"/>
        <w:ind w:left="-567"/>
        <w:jc w:val="both"/>
        <w:rPr>
          <w:rFonts w:ascii="Times New Roman" w:hAnsi="Times New Roman"/>
          <w:sz w:val="28"/>
        </w:rPr>
      </w:pPr>
    </w:p>
    <w:p w14:paraId="2D00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</w:p>
    <w:p w14:paraId="2E00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  <w:r>
        <w:rPr>
          <w:rFonts w:ascii="PT Astra Serif" w:hAnsi="PT Astra Serif"/>
          <w:sz w:val="28"/>
          <w:highlight w:val="white"/>
        </w:rPr>
        <w:t xml:space="preserve"> Приложение № 1 </w:t>
      </w:r>
    </w:p>
    <w:p w14:paraId="2F00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  <w:r>
        <w:rPr>
          <w:rFonts w:ascii="PT Astra Serif" w:hAnsi="PT Astra Serif"/>
          <w:sz w:val="28"/>
          <w:highlight w:val="white"/>
        </w:rPr>
        <w:t>к приказу</w:t>
      </w:r>
    </w:p>
    <w:p w14:paraId="3000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Управления архитектуры и градостроительства </w:t>
      </w:r>
    </w:p>
    <w:p w14:paraId="3100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при Главе Республики Саха (Якутия)</w:t>
      </w:r>
    </w:p>
    <w:p w14:paraId="3200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от </w:t>
      </w:r>
      <w:r>
        <w:rPr>
          <w:rFonts w:ascii="PT Astra Serif" w:hAnsi="PT Astra Serif"/>
          <w:sz w:val="28"/>
          <w:highlight w:val="white"/>
        </w:rPr>
        <w:t xml:space="preserve">«  </w:t>
      </w:r>
      <w:r>
        <w:rPr>
          <w:rFonts w:ascii="PT Astra Serif" w:hAnsi="PT Astra Serif"/>
          <w:sz w:val="28"/>
          <w:highlight w:val="white"/>
        </w:rPr>
        <w:t xml:space="preserve"> »             2026 № _____</w:t>
      </w:r>
    </w:p>
    <w:p w14:paraId="3300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</w:p>
    <w:p w14:paraId="34000000">
      <w:pPr>
        <w:pStyle w:val="Style_4"/>
        <w:widowControl w:val="1"/>
        <w:spacing w:after="120" w:before="12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color w:val="FF0000"/>
          <w:sz w:val="28"/>
        </w:rPr>
        <w:t xml:space="preserve">Таблица 12. </w:t>
      </w:r>
      <w:r>
        <w:rPr>
          <w:rFonts w:ascii="PT Astra Serif" w:hAnsi="PT Astra Serif"/>
          <w:b w:val="1"/>
          <w:sz w:val="28"/>
        </w:rPr>
        <w:t xml:space="preserve">Объекты местного значения в области обеспечения населения </w:t>
      </w:r>
      <w:r>
        <w:rPr>
          <w:rFonts w:ascii="PT Astra Serif" w:hAnsi="PT Astra Serif"/>
          <w:b w:val="1"/>
          <w:sz w:val="28"/>
        </w:rPr>
        <w:t>машино</w:t>
      </w:r>
      <w:r>
        <w:rPr>
          <w:rFonts w:ascii="PT Astra Serif" w:hAnsi="PT Astra Serif"/>
          <w:b w:val="1"/>
          <w:sz w:val="28"/>
        </w:rPr>
        <w:t xml:space="preserve">-местами для постоянного хранения легковых автомобилей, </w:t>
      </w:r>
      <w:r>
        <w:rPr>
          <w:rFonts w:ascii="PT Astra Serif" w:hAnsi="PT Astra Serif"/>
          <w:b w:val="1"/>
          <w:color w:val="FF0000"/>
          <w:sz w:val="28"/>
        </w:rPr>
        <w:t xml:space="preserve">включая </w:t>
      </w:r>
      <w:r>
        <w:rPr>
          <w:rFonts w:ascii="PT Astra Serif" w:hAnsi="PT Astra Serif"/>
          <w:b w:val="1"/>
          <w:color w:val="FF0000"/>
          <w:sz w:val="28"/>
        </w:rPr>
        <w:t>машино</w:t>
      </w:r>
      <w:r>
        <w:rPr>
          <w:rFonts w:ascii="PT Astra Serif" w:hAnsi="PT Astra Serif"/>
          <w:b w:val="1"/>
          <w:color w:val="FF0000"/>
          <w:sz w:val="28"/>
        </w:rPr>
        <w:t xml:space="preserve">-места для парковки электромобилей, оборудованных зарядными устройствами, </w:t>
      </w:r>
      <w:r>
        <w:rPr>
          <w:rFonts w:ascii="PT Astra Serif" w:hAnsi="PT Astra Serif"/>
          <w:b w:val="1"/>
          <w:sz w:val="28"/>
        </w:rPr>
        <w:t xml:space="preserve">местами хранения велосипедов и </w:t>
      </w:r>
      <w:r>
        <w:rPr>
          <w:rFonts w:ascii="PT Astra Serif" w:hAnsi="PT Astra Serif"/>
          <w:b w:val="1"/>
          <w:sz w:val="28"/>
        </w:rPr>
        <w:t>средств индивидуальной мобильности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28"/>
          <w:right w:type="dxa" w:w="28"/>
        </w:tblCellMar>
      </w:tblPr>
      <w:tblGrid>
        <w:gridCol w:w="2122"/>
        <w:gridCol w:w="2410"/>
        <w:gridCol w:w="2409"/>
        <w:gridCol w:w="1560"/>
        <w:gridCol w:w="850"/>
      </w:tblGrid>
      <w:t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5000000">
            <w:pPr>
              <w:keepNext w:val="1"/>
              <w:widowControl w:val="1"/>
              <w:spacing w:after="2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Наименование вида объекта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6000000">
            <w:pPr>
              <w:keepNext w:val="1"/>
              <w:widowControl w:val="1"/>
              <w:spacing w:after="2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расчетного показателя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7000000">
            <w:pPr>
              <w:keepNext w:val="1"/>
              <w:widowControl w:val="1"/>
              <w:spacing w:after="2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Наименование расчетного показателя, единица измерения</w:t>
            </w:r>
          </w:p>
        </w:tc>
        <w:tc>
          <w:tcPr>
            <w:tcW w:type="dxa" w:w="241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8000000">
            <w:pPr>
              <w:keepNext w:val="1"/>
              <w:widowControl w:val="1"/>
              <w:spacing w:after="2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Предельные значения расчетного показателя</w:t>
            </w:r>
          </w:p>
        </w:tc>
      </w:tr>
      <w:t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Места постоянного хранения легковых автомобилей при размещении </w:t>
            </w:r>
            <w:r>
              <w:rPr>
                <w:rFonts w:ascii="PT Astra Serif" w:hAnsi="PT Astra Serif"/>
                <w:sz w:val="24"/>
              </w:rPr>
              <w:t>многоквартирного дома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площади жилых помещений и многоквартирного жилого дома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41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100</w:t>
            </w:r>
          </w:p>
        </w:tc>
      </w:tr>
      <w:t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4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Расчетный показатель максимально допустимого уровня территориальной </w:t>
            </w:r>
            <w:r>
              <w:rPr>
                <w:rFonts w:ascii="PT Astra Serif" w:hAnsi="PT Astra Serif"/>
                <w:sz w:val="24"/>
              </w:rPr>
              <w:t>доступности</w:t>
            </w:r>
          </w:p>
        </w:tc>
        <w:tc>
          <w:tcPr>
            <w:tcW w:type="dxa" w:w="24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доступность, м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зонах жилой застройки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800</w:t>
            </w:r>
          </w:p>
        </w:tc>
      </w:tr>
      <w:t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4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районах реконструкции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1000</w:t>
            </w:r>
          </w:p>
        </w:tc>
      </w:tr>
      <w:t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Места постоянного хранения легковых электромобилей, оборудованных зарядными устройствами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Доля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-мест, % от общего количества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</w:t>
            </w:r>
          </w:p>
        </w:tc>
        <w:tc>
          <w:tcPr>
            <w:tcW w:type="dxa" w:w="241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В пределах 5%, но не  1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-места</w:t>
            </w:r>
          </w:p>
        </w:tc>
      </w:tr>
      <w:t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Места хранения велосипедов, средств индивидуальной мобильности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площади жилых </w:t>
            </w:r>
            <w:r>
              <w:rPr>
                <w:rFonts w:ascii="PT Astra Serif" w:hAnsi="PT Astra Serif"/>
                <w:sz w:val="24"/>
              </w:rPr>
              <w:t>помещений и многоквартирного жилого дома на место хранения</w:t>
            </w:r>
          </w:p>
        </w:tc>
        <w:tc>
          <w:tcPr>
            <w:tcW w:type="dxa" w:w="241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200</w:t>
            </w:r>
          </w:p>
        </w:tc>
      </w:tr>
      <w:t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Расчетный показатель максимально допустимого уровня </w:t>
            </w:r>
            <w:r>
              <w:rPr>
                <w:rFonts w:ascii="PT Astra Serif" w:hAnsi="PT Astra Serif"/>
                <w:sz w:val="24"/>
              </w:rPr>
              <w:t>территориальной доступности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доступность, м [3]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 входа в здание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50</w:t>
            </w:r>
          </w:p>
        </w:tc>
      </w:tr>
      <w:tr>
        <w:tc>
          <w:tcPr>
            <w:tcW w:type="dxa" w:w="935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Примечания:</w:t>
            </w:r>
          </w:p>
          <w:p w14:paraId="50000000">
            <w:pPr>
              <w:widowControl w:val="1"/>
              <w:numPr>
                <w:ilvl w:val="0"/>
                <w:numId w:val="2"/>
              </w:numPr>
              <w:ind w:firstLine="624" w:left="0"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Расчет количества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-мест для 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электромобилей, оборудованных зарядными устройствами, осуществляется в соответствии с требованиями СП 113.13330.2023. Указанные места включаются в общую норму обеспеченности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-местами и не являются дополнительными к основному расчету. При получении др</w:t>
            </w:r>
            <w:r>
              <w:rPr>
                <w:rFonts w:ascii="PT Astra Serif" w:hAnsi="PT Astra Serif"/>
                <w:color w:val="FF0000"/>
                <w:sz w:val="24"/>
              </w:rPr>
              <w:t>обного значения расчетное количество мест округляется до целого числа в сторону увеличения.</w:t>
            </w:r>
          </w:p>
          <w:p w14:paraId="51000000">
            <w:pPr>
              <w:widowControl w:val="1"/>
              <w:numPr>
                <w:ilvl w:val="0"/>
                <w:numId w:val="2"/>
              </w:numPr>
              <w:ind w:firstLine="624" w:left="0"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При проектировании необходимо обеспечивать доступность не менее одного места зарядки электромобилей для инвалидов на кресле-коляске в соответствии с требованиями СП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 59.13330.</w:t>
            </w:r>
          </w:p>
          <w:p w14:paraId="52000000">
            <w:pPr>
              <w:widowControl w:val="1"/>
              <w:numPr>
                <w:ilvl w:val="0"/>
                <w:numId w:val="2"/>
              </w:numPr>
              <w:ind w:firstLine="624" w:left="0"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Технические средства зарядной инфраструктуры должны иметь климатическое исполнение для макроклиматических районов с умеренным и холодным климатом категории размещения 1 (УХЛ1) согласно ГОСТ 15150-69 «Машины, приборы и другие технические изделия.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среды», обеспечивающее стабильное функционирование в температурном диапазоне от минус 45 до ми</w:t>
            </w:r>
            <w:r>
              <w:rPr>
                <w:rFonts w:ascii="PT Astra Serif" w:hAnsi="PT Astra Serif"/>
                <w:color w:val="FF0000"/>
                <w:sz w:val="24"/>
              </w:rPr>
              <w:t>нус 60 градусов Цельсия включительно.</w:t>
            </w:r>
          </w:p>
          <w:p w14:paraId="53000000">
            <w:pPr>
              <w:widowControl w:val="1"/>
              <w:numPr>
                <w:ilvl w:val="0"/>
                <w:numId w:val="2"/>
              </w:numPr>
              <w:ind w:firstLine="567" w:left="0"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В подземных и наземных стоянках автомобилей допускается размещение мест для зарядки без выделения их ограждающими противопожарными конструкциями при соблюдении требований СП 113.13330.2023 к типу аккумуляторов и контро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лю </w:t>
            </w:r>
            <w:r>
              <w:rPr>
                <w:rFonts w:ascii="PT Astra Serif" w:hAnsi="PT Astra Serif"/>
                <w:color w:val="FF0000"/>
                <w:sz w:val="24"/>
              </w:rPr>
              <w:t>газовоздушной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 среды. Применяемые зарядные устройства должны быть заводского изготовления, иметь степень защиты электрической сети не менее IP 54 и обеспечивать автоматическое отключение при получении сигнала о срабатывании систем противопожарной защиты.</w:t>
            </w:r>
          </w:p>
          <w:p w14:paraId="54000000">
            <w:pPr>
              <w:widowControl w:val="1"/>
              <w:numPr>
                <w:ilvl w:val="0"/>
                <w:numId w:val="2"/>
              </w:numPr>
              <w:spacing w:after="20"/>
              <w:ind w:firstLine="567" w:left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При проектировании объектов капитального строительства следует предусматривать резерв мощности электрических сетей и возможность увеличения количества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-мест, оборудованных зарядными устройствами.</w:t>
            </w:r>
          </w:p>
          <w:p w14:paraId="55000000">
            <w:pPr>
              <w:widowControl w:val="1"/>
              <w:spacing w:after="20"/>
              <w:ind w:firstLine="567"/>
              <w:jc w:val="both"/>
              <w:rPr>
                <w:rFonts w:ascii="PT Astra Serif" w:hAnsi="PT Astra Serif"/>
                <w:color w:val="FF0000"/>
                <w:sz w:val="24"/>
              </w:rPr>
            </w:pPr>
          </w:p>
          <w:p w14:paraId="56000000">
            <w:pPr>
              <w:widowControl w:val="1"/>
              <w:numPr>
                <w:ilvl w:val="0"/>
                <w:numId w:val="2"/>
              </w:numPr>
              <w:spacing w:after="20"/>
              <w:ind w:firstLine="567" w:left="0"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Места хранения велосипедов и средств индивидуальной </w:t>
            </w:r>
            <w:r>
              <w:rPr>
                <w:rFonts w:ascii="PT Astra Serif" w:hAnsi="PT Astra Serif"/>
                <w:sz w:val="24"/>
              </w:rPr>
              <w:t>мобильности допускается размещать внутри объекта капитального строительства в специально оборудованном для этого помещении.</w:t>
            </w:r>
          </w:p>
          <w:p w14:paraId="57000000">
            <w:pPr>
              <w:widowControl w:val="1"/>
              <w:spacing w:after="20"/>
              <w:ind w:firstLine="567"/>
              <w:jc w:val="both"/>
              <w:rPr>
                <w:rFonts w:ascii="PT Astra Serif" w:hAnsi="PT Astra Serif"/>
                <w:sz w:val="24"/>
              </w:rPr>
            </w:pPr>
          </w:p>
          <w:p w14:paraId="58000000">
            <w:pPr>
              <w:widowControl w:val="1"/>
              <w:numPr>
                <w:ilvl w:val="0"/>
                <w:numId w:val="2"/>
              </w:numPr>
              <w:spacing w:after="20"/>
              <w:ind w:firstLine="567" w:left="0"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Требования настоящего раздела применяются при новом строительстве, реконструкции и капитальном ремонте объектов капитального строит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ельства. </w:t>
            </w:r>
          </w:p>
        </w:tc>
      </w:tr>
    </w:tbl>
    <w:p w14:paraId="59000000">
      <w:pPr>
        <w:rPr>
          <w:rFonts w:ascii="Times New Roman" w:hAnsi="Times New Roman"/>
          <w:sz w:val="24"/>
        </w:rPr>
      </w:pPr>
    </w:p>
    <w:p w14:paraId="5A00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br w:type="page"/>
      </w:r>
    </w:p>
    <w:p w14:paraId="5B00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  <w:r>
        <w:rPr>
          <w:rFonts w:ascii="PT Astra Serif" w:hAnsi="PT Astra Serif"/>
          <w:sz w:val="28"/>
          <w:highlight w:val="white"/>
        </w:rPr>
        <w:t xml:space="preserve"> Приложение № 2</w:t>
      </w:r>
    </w:p>
    <w:p w14:paraId="5C00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  <w:r>
        <w:rPr>
          <w:rFonts w:ascii="PT Astra Serif" w:hAnsi="PT Astra Serif"/>
          <w:sz w:val="28"/>
          <w:highlight w:val="white"/>
        </w:rPr>
        <w:t xml:space="preserve"> к приказу</w:t>
      </w:r>
    </w:p>
    <w:p w14:paraId="5D00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Управления архитектуры и градостроительства </w:t>
      </w:r>
    </w:p>
    <w:p w14:paraId="5E00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при Главе Республики Саха (Якутия)</w:t>
      </w:r>
    </w:p>
    <w:p w14:paraId="5F00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от </w:t>
      </w:r>
      <w:r>
        <w:rPr>
          <w:rFonts w:ascii="PT Astra Serif" w:hAnsi="PT Astra Serif"/>
          <w:sz w:val="28"/>
          <w:highlight w:val="white"/>
        </w:rPr>
        <w:t xml:space="preserve">«  </w:t>
      </w:r>
      <w:r>
        <w:rPr>
          <w:rFonts w:ascii="PT Astra Serif" w:hAnsi="PT Astra Serif"/>
          <w:sz w:val="28"/>
          <w:highlight w:val="white"/>
        </w:rPr>
        <w:t xml:space="preserve"> »             2026 № _____</w:t>
      </w:r>
    </w:p>
    <w:p w14:paraId="6000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</w:p>
    <w:p w14:paraId="61000000">
      <w:pPr>
        <w:pStyle w:val="Style_4"/>
        <w:widowControl w:val="1"/>
        <w:spacing w:after="120" w:before="12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Таблица 13. Объекты местного значения в области обеспечения населения </w:t>
      </w:r>
      <w:r>
        <w:rPr>
          <w:rFonts w:ascii="PT Astra Serif" w:hAnsi="PT Astra Serif"/>
          <w:b w:val="1"/>
          <w:sz w:val="28"/>
        </w:rPr>
        <w:t>машино</w:t>
      </w:r>
      <w:r>
        <w:rPr>
          <w:rFonts w:ascii="PT Astra Serif" w:hAnsi="PT Astra Serif"/>
          <w:b w:val="1"/>
          <w:sz w:val="28"/>
        </w:rPr>
        <w:t xml:space="preserve">-местами для парковки </w:t>
      </w:r>
      <w:r>
        <w:rPr>
          <w:rFonts w:ascii="PT Astra Serif" w:hAnsi="PT Astra Serif"/>
          <w:b w:val="1"/>
          <w:sz w:val="28"/>
        </w:rPr>
        <w:t xml:space="preserve">легковых автомобилей, </w:t>
      </w:r>
      <w:r>
        <w:rPr>
          <w:rFonts w:ascii="PT Astra Serif" w:hAnsi="PT Astra Serif"/>
          <w:b w:val="1"/>
          <w:color w:val="FF0000"/>
          <w:sz w:val="28"/>
        </w:rPr>
        <w:t xml:space="preserve">включая </w:t>
      </w:r>
      <w:r>
        <w:rPr>
          <w:rFonts w:ascii="PT Astra Serif" w:hAnsi="PT Astra Serif"/>
          <w:b w:val="1"/>
          <w:color w:val="FF0000"/>
          <w:sz w:val="28"/>
        </w:rPr>
        <w:t>машино</w:t>
      </w:r>
      <w:r>
        <w:rPr>
          <w:rFonts w:ascii="PT Astra Serif" w:hAnsi="PT Astra Serif"/>
          <w:b w:val="1"/>
          <w:color w:val="FF0000"/>
          <w:sz w:val="28"/>
        </w:rPr>
        <w:t xml:space="preserve">-места для парковки электромобилей, оборудованных зарядными устройствами, </w:t>
      </w:r>
      <w:r>
        <w:rPr>
          <w:rFonts w:ascii="PT Astra Serif" w:hAnsi="PT Astra Serif"/>
          <w:b w:val="1"/>
          <w:sz w:val="28"/>
        </w:rPr>
        <w:t xml:space="preserve">местами для парковки велосипедов и средств индивидуальной мобильности 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28"/>
          <w:right w:type="dxa" w:w="28"/>
        </w:tblCellMar>
      </w:tblPr>
      <w:tblGrid>
        <w:gridCol w:w="1757"/>
        <w:gridCol w:w="1984"/>
        <w:gridCol w:w="1843"/>
        <w:gridCol w:w="2703"/>
        <w:gridCol w:w="1069"/>
      </w:tblGrid>
      <w:tr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2000000">
            <w:pPr>
              <w:keepNext w:val="1"/>
              <w:widowControl w:val="1"/>
              <w:spacing w:after="2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Наименование вида объекта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3000000">
            <w:pPr>
              <w:keepNext w:val="1"/>
              <w:widowControl w:val="1"/>
              <w:spacing w:after="2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расчетного показателя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4000000">
            <w:pPr>
              <w:keepNext w:val="1"/>
              <w:widowControl w:val="1"/>
              <w:spacing w:after="2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Наименование расчетного</w:t>
            </w:r>
            <w:r>
              <w:rPr>
                <w:rFonts w:ascii="PT Astra Serif" w:hAnsi="PT Astra Serif"/>
                <w:sz w:val="24"/>
              </w:rPr>
              <w:t xml:space="preserve"> показателя, единица измерения</w:t>
            </w:r>
          </w:p>
        </w:tc>
        <w:tc>
          <w:tcPr>
            <w:tcW w:type="dxa" w:w="37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5000000">
            <w:pPr>
              <w:keepNext w:val="1"/>
              <w:widowControl w:val="1"/>
              <w:spacing w:after="2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Предельные значения расчетного показателя</w:t>
            </w:r>
          </w:p>
        </w:tc>
      </w:tr>
      <w:tr>
        <w:tc>
          <w:tcPr>
            <w:tcW w:type="dxa" w:w="1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Стоянки автомобилей, размещаемых в непосредственной близости от отдельно стоящих объектов капитального строительства в границах жилых и общественно-деловых зон</w:t>
            </w:r>
          </w:p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</w:t>
            </w:r>
            <w:r>
              <w:rPr>
                <w:rFonts w:ascii="PT Astra Serif" w:hAnsi="PT Astra Serif"/>
                <w:sz w:val="24"/>
              </w:rPr>
              <w:t>инимально допустимого уровня обеспеченности [3] [4]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общей площади зданий и сооружений объекта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Учреждения органов государственной власти, органы местного самоуправления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220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Административно-управленческие учреждения, </w:t>
            </w:r>
            <w:r>
              <w:rPr>
                <w:rFonts w:ascii="PT Astra Serif" w:hAnsi="PT Astra Serif"/>
                <w:sz w:val="24"/>
              </w:rPr>
              <w:t>иностранные представительства, представительства субъектов Российской Федерации, здания и помещения общественных организаций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120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Коммерческо-деловые центры, офисные здания и помещения, страховые компании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Банки и банковские учреждения, </w:t>
            </w:r>
            <w:r>
              <w:rPr>
                <w:rFonts w:ascii="PT Astra Serif" w:hAnsi="PT Astra Serif"/>
                <w:sz w:val="24"/>
              </w:rPr>
              <w:t>кредитно-финансовые учреждения с операционным залом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35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Банки и банковские учреждения, кредитно-финансовые учреждения без операционного зала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преподавателей и сотрудников организации, занятых в одну смену,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Образовательные организации, реализующие программы высшего образования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студентов очной формы обучения, занимающихся в одну смену,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 xml:space="preserve">-место </w:t>
            </w:r>
          </w:p>
        </w:tc>
        <w:tc>
          <w:tcPr>
            <w:tcW w:type="dxa" w:w="27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преподавателей, занятых в одну смену,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Профессиональные </w:t>
            </w:r>
            <w:r>
              <w:rPr>
                <w:rFonts w:ascii="PT Astra Serif" w:hAnsi="PT Astra Serif"/>
                <w:sz w:val="24"/>
              </w:rPr>
              <w:t>образовательные организации, образовательные организации искусств городского значения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общей площади клубных помещений объекта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25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общей площади административных (офисных), лабораторных помещений объекта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Научно-исследовательские и проектные институты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170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работающих в смежных сменах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Производственные здания, </w:t>
            </w:r>
            <w:r>
              <w:rPr>
                <w:rFonts w:ascii="PT Astra Serif" w:hAnsi="PT Astra Serif"/>
                <w:sz w:val="24"/>
              </w:rPr>
              <w:t>коммунально-складские объекты, размещаемые в составе многофункциональных зон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 xml:space="preserve">-мест на 1000 работающих в двух смежных сменах 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Объекты производственного и коммунального назначения, размещаемые на участках территорий производственных и </w:t>
            </w:r>
            <w:r>
              <w:rPr>
                <w:rFonts w:ascii="PT Astra Serif" w:hAnsi="PT Astra Serif"/>
                <w:sz w:val="24"/>
              </w:rPr>
              <w:t>промышленно-производственных объектов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общей площади складских помещений объекта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35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общей площади торговых залов объекта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Объекты торгового назначения с широким ассортиментом товаров периодического спроса продовольственной и (или) непродовольственной групп (торговые центры, торговые комплексы, супермаркеты, универсамы, универмаги и т.п.)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Специализированные</w:t>
            </w:r>
            <w:r>
              <w:rPr>
                <w:rFonts w:ascii="PT Astra Serif" w:hAnsi="PT Astra Serif"/>
                <w:sz w:val="24"/>
              </w:rPr>
              <w:t xml:space="preserve"> магазины по продаже товаров эпизодического спроса непродовольственной группы (спортивные, автосалоны, мебельные, бытовой техники, музыкальных инструментов, ювелирные, книжные и т.п.)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общей площади рынка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Рынки </w:t>
            </w:r>
            <w:r>
              <w:rPr>
                <w:rFonts w:ascii="PT Astra Serif" w:hAnsi="PT Astra Serif"/>
                <w:sz w:val="24"/>
              </w:rPr>
              <w:t>универсальные и непродовольственные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Рынки продовольственные и сельскохозяйственные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посадочных мест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Предприятия общественного питания периодического спроса (рестораны, кафе)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единовременных </w:t>
            </w:r>
            <w:r>
              <w:rPr>
                <w:rFonts w:ascii="PT Astra Serif" w:hAnsi="PT Astra Serif"/>
                <w:sz w:val="24"/>
              </w:rPr>
              <w:t xml:space="preserve">посетителей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Бани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общей площади объекта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Ателье, фотосалоны городского значения, салоны-парикмахерские, салоны красоты, солярии, салоны моды, свадебные салоны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Салоны ритуальных услуг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25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рабочих мест приемщиков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единовременных посетителей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Выставочно</w:t>
            </w:r>
            <w:r>
              <w:rPr>
                <w:rFonts w:ascii="PT Astra Serif" w:hAnsi="PT Astra Serif"/>
                <w:sz w:val="24"/>
              </w:rPr>
              <w:t xml:space="preserve">-музейные </w:t>
            </w:r>
            <w:r>
              <w:rPr>
                <w:rFonts w:ascii="PT Astra Serif" w:hAnsi="PT Astra Serif"/>
                <w:sz w:val="24"/>
              </w:rPr>
              <w:t>комплексы, музеи- заповедники, музеи, галереи, выставочные залы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зрительских мест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Театры городского и (или) регионального значения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Другие театры и конференц-залы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Киноцентры и кинотеатры городского и (или) </w:t>
            </w:r>
            <w:r>
              <w:rPr>
                <w:rFonts w:ascii="PT Astra Serif" w:hAnsi="PT Astra Serif"/>
                <w:sz w:val="24"/>
              </w:rPr>
              <w:t>регионального значения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12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Прочие киноцентры и кинотеатры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постоянных мест в читальных залах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A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Центральные, специальные и специализированные библиотеки, интернет-кафе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единовременных посетителей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 xml:space="preserve">-место (не менее 10 </w:t>
            </w:r>
            <w:r>
              <w:rPr>
                <w:rFonts w:ascii="PT Astra Serif" w:hAnsi="PT Astra Serif"/>
                <w:sz w:val="24"/>
              </w:rPr>
              <w:t>машиномест</w:t>
            </w:r>
            <w:r>
              <w:rPr>
                <w:rFonts w:ascii="PT Astra Serif" w:hAnsi="PT Astra Serif"/>
                <w:sz w:val="24"/>
              </w:rPr>
              <w:t xml:space="preserve"> на объект)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Объекты религиозных конфессий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единовременных посетителей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Досугово-развлекательные учреждения: развлекательные центры, дискотеки, залы игровых автоматов, ночные клубы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Бильярдные, боулинги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посадочных мест на трибунах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Спортивные комплексы и стадионы с трибунами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кв. м общей площади объекта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Оздоровительные комплексы (фитнес-клубы, физкультурно-</w:t>
            </w:r>
            <w:r>
              <w:rPr>
                <w:rFonts w:ascii="PT Astra Serif" w:hAnsi="PT Astra Serif"/>
                <w:sz w:val="24"/>
              </w:rPr>
              <w:t>оздоровительный комплекс, спортивные и тренажерные залы) общей площадью менее 1000 кв. м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B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То же, общей площадью 1000 кв. м и более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55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единовременных посетителей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Тренажерные залы площадью 150-500 кв. м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Физкультурно-оздоровительный комплекс с залом площадью 1000-2000 кв. м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Физкультурно-оздоровительный комплекс с залом и бассейном общей площадью 2000-3000 кв. м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Специализированные спортивные клубы и комплексы (теннис, конный спорт, горнолыжные </w:t>
            </w:r>
            <w:r>
              <w:rPr>
                <w:rFonts w:ascii="PT Astra Serif" w:hAnsi="PT Astra Serif"/>
                <w:sz w:val="24"/>
              </w:rPr>
              <w:t>центры и др.)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Аквапарки, бассейны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Катки с искусственным покрытием общей площадью более 3000 кв. м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пассажиров дальнего следования в час пик на 1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C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Железнодорожные вокзалы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Расчетный показатель максимально </w:t>
            </w:r>
            <w:r>
              <w:rPr>
                <w:rFonts w:ascii="PT Astra Serif" w:hAnsi="PT Astra Serif"/>
                <w:sz w:val="24"/>
              </w:rPr>
              <w:t>допустимого уровня территориальной доступности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доступность, м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 пассажирских помещений вокзалов, входов в места крупных учреждений торговли и общественного питания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От прочих учреждений и предприятий обслуживания населения и </w:t>
            </w:r>
            <w:r>
              <w:rPr>
                <w:rFonts w:ascii="PT Astra Serif" w:hAnsi="PT Astra Serif"/>
                <w:sz w:val="24"/>
              </w:rPr>
              <w:t>административных зданий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250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 входов в парки, на выставки и стадионы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400</w:t>
            </w:r>
          </w:p>
        </w:tc>
      </w:tr>
      <w:tr>
        <w:tc>
          <w:tcPr>
            <w:tcW w:type="dxa" w:w="1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Стоянки автомобилей, размещаемых у границ лесопарков, зон отдыха и курортных зон</w:t>
            </w:r>
          </w:p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 xml:space="preserve">-мест на 100 </w:t>
            </w:r>
            <w:r>
              <w:rPr>
                <w:rFonts w:ascii="PT Astra Serif" w:hAnsi="PT Astra Serif"/>
                <w:sz w:val="24"/>
              </w:rPr>
              <w:t>единовременных посетителей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Пляжи и парки в зонах отдыха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Лесопарки и заповедники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D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Базы кратковременного отдыха (спортивные, лыжные, рыболовные, охотничьи и др.)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Береговые базы маломерного флота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 xml:space="preserve">-мест на 100 </w:t>
            </w:r>
            <w:r>
              <w:rPr>
                <w:rFonts w:ascii="PT Astra Serif" w:hAnsi="PT Astra Serif"/>
                <w:sz w:val="24"/>
              </w:rPr>
              <w:t>отдыхающих и обслуживающего персонала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Дома отдыха и санатории, санатории-профилактории, базы отдыха предприятий и туристские базы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 на 100 мест в залах или единовременных посетителей и персонала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Предприятия общественного питания, </w:t>
            </w:r>
            <w:r>
              <w:rPr>
                <w:rFonts w:ascii="PT Astra Serif" w:hAnsi="PT Astra Serif"/>
                <w:sz w:val="24"/>
              </w:rPr>
              <w:t>торговли в зонах отдыха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доступность, м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зонах массового отдыха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1000</w:t>
            </w:r>
          </w:p>
        </w:tc>
      </w:tr>
      <w:tr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Стоянки для электромобилей, оборудованные зарядными устройствами 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Минимально допустимый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0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Доля от общего расчетного количества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 для парковки легковых автомобилей, %</w:t>
            </w:r>
          </w:p>
        </w:tc>
        <w:tc>
          <w:tcPr>
            <w:tcW w:type="dxa" w:w="37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1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не менее 5% — для городских округов (город Якутск, городской округ Жатай);</w:t>
            </w:r>
            <w:r>
              <w:rPr>
                <w:rFonts w:ascii="PT Astra Serif" w:hAnsi="PT Astra Serif"/>
                <w:color w:val="FF0000"/>
                <w:sz w:val="24"/>
              </w:rPr>
              <w:br/>
            </w:r>
            <w:r>
              <w:rPr>
                <w:rFonts w:ascii="PT Astra Serif" w:hAnsi="PT Astra Serif"/>
                <w:color w:val="FF0000"/>
                <w:sz w:val="24"/>
              </w:rPr>
              <w:t>до 5% * — для иных территорий, включая Арктическую зону РС(Я) и сельские поселения, но не менее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 одного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-места.</w:t>
            </w:r>
          </w:p>
        </w:tc>
      </w:tr>
      <w:tr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2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Стоянки для автомобилей, обеспеченные возможностью последующего оснащения зарядной инфраструктурой (резерв мощности и кабельная инфраструктура) Быстрые зарядные станции (ЭЗС) мощностью от 50 кВт на порт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3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Допустимый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4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Уровень </w:t>
            </w:r>
            <w:r>
              <w:rPr>
                <w:rFonts w:ascii="PT Astra Serif" w:hAnsi="PT Astra Serif"/>
                <w:color w:val="FF0000"/>
                <w:sz w:val="24"/>
              </w:rPr>
              <w:t>территориальной доступности</w:t>
            </w:r>
          </w:p>
        </w:tc>
        <w:tc>
          <w:tcPr>
            <w:tcW w:type="dxa" w:w="37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5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Определяется документами территориального планирования (не нормируется)</w:t>
            </w:r>
          </w:p>
        </w:tc>
      </w:tr>
      <w:tr>
        <w:tc>
          <w:tcPr>
            <w:tcW w:type="dxa" w:w="1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6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Места парковки велосипедов и средств индивидуальной мобильности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7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8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Количество мест хранения,</w:t>
            </w:r>
            <w:r>
              <w:rPr>
                <w:rFonts w:ascii="PT Astra Serif" w:hAnsi="PT Astra Serif"/>
                <w:sz w:val="24"/>
              </w:rPr>
              <w:t xml:space="preserve"> % от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 стоянок легковых автомобилей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9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Объекты социальной инфраструктуры, объекты коммерческого назначения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A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20%, но не менее двух мест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B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C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доступность, м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D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От </w:t>
            </w:r>
            <w:r>
              <w:rPr>
                <w:rFonts w:ascii="PT Astra Serif" w:hAnsi="PT Astra Serif"/>
                <w:sz w:val="24"/>
              </w:rPr>
              <w:t>входа в организацию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E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50</w:t>
            </w:r>
          </w:p>
        </w:tc>
      </w:tr>
      <w:tr>
        <w:tc>
          <w:tcPr>
            <w:tcW w:type="dxa" w:w="1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F00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Индивидуальные автостоянки для маломобильных групп населения на участке около или внутри зданий учреждений обслуживания</w:t>
            </w:r>
          </w:p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0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1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Доля мест для транспорта инвалидов, %</w:t>
            </w:r>
          </w:p>
        </w:tc>
        <w:tc>
          <w:tcPr>
            <w:tcW w:type="dxa" w:w="37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2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10% (не </w:t>
            </w:r>
            <w:r>
              <w:rPr>
                <w:rFonts w:ascii="PT Astra Serif" w:hAnsi="PT Astra Serif"/>
                <w:sz w:val="24"/>
              </w:rPr>
              <w:t>менее 1 места)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3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Специализированных мест для автотранспорта инвалидов на кресле-коляске из расчета, % (мест)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4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 автостоянке до 100 мест включительно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5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5%, но не менее одного места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6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 автостоянке от 101 до 200 мест включительно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7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5 мест и дополнительно 3% </w:t>
            </w:r>
            <w:r>
              <w:rPr>
                <w:rFonts w:ascii="PT Astra Serif" w:hAnsi="PT Astra Serif"/>
                <w:sz w:val="24"/>
              </w:rPr>
              <w:t>числа мест свыше 100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8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 автостоянке от 201 до 500 мест включительно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9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 мест и дополнительно 2% числа мест свыше 200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A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 автостоянке от 501 и более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B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 мест и дополнительно 1% числа мест свыше 500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C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Расчетный показатель максимально допустимого уровня </w:t>
            </w:r>
            <w:r>
              <w:rPr>
                <w:rFonts w:ascii="PT Astra Serif" w:hAnsi="PT Astra Serif"/>
                <w:sz w:val="24"/>
              </w:rPr>
              <w:t>территориальной доступности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D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доступность, м [9]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E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 входа в предприятие или в учреждение, доступного для инвалидов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F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10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 входа в жилое здание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11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100</w:t>
            </w:r>
          </w:p>
        </w:tc>
      </w:tr>
      <w:tr>
        <w:tc>
          <w:tcPr>
            <w:tcW w:type="dxa" w:w="1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12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При реконструкции, сложной конфигурации земельного участка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13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150</w:t>
            </w:r>
          </w:p>
        </w:tc>
      </w:tr>
      <w:tr>
        <w:trPr>
          <w:trHeight w:hRule="atLeast" w:val="158"/>
        </w:trPr>
        <w:tc>
          <w:tcPr>
            <w:tcW w:type="dxa" w:w="935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14010000">
            <w:pPr>
              <w:widowControl w:val="1"/>
              <w:ind/>
              <w:jc w:val="both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Примечания:</w:t>
            </w:r>
          </w:p>
          <w:p w14:paraId="15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1. В случае </w:t>
            </w:r>
            <w:r>
              <w:rPr>
                <w:rFonts w:ascii="PT Astra Serif" w:hAnsi="PT Astra Serif"/>
                <w:sz w:val="24"/>
              </w:rPr>
              <w:t>недостаточности территории квартала размещение автомобилей жителей необходимо предусматривать в многоэтажных подземных и (или) надземных гаражах.</w:t>
            </w:r>
          </w:p>
          <w:p w14:paraId="16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 При соответствующем технико-экономическом обосновании допускается принимать следующее распределение обеспеч</w:t>
            </w:r>
            <w:r>
              <w:rPr>
                <w:rFonts w:ascii="PT Astra Serif" w:hAnsi="PT Astra Serif"/>
                <w:sz w:val="24"/>
              </w:rPr>
              <w:t xml:space="preserve">енности жителей многоквартирных домов местами для хранения индивидуального автомобильного транспорта в процентах от расчетного количества необходимого количества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-мест:</w:t>
            </w:r>
          </w:p>
          <w:p w14:paraId="17010000">
            <w:pPr>
              <w:widowControl w:val="1"/>
              <w:numPr>
                <w:ilvl w:val="0"/>
                <w:numId w:val="3"/>
              </w:numPr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границах квартала не менее 40%;</w:t>
            </w:r>
          </w:p>
          <w:p w14:paraId="18010000">
            <w:pPr>
              <w:widowControl w:val="1"/>
              <w:numPr>
                <w:ilvl w:val="0"/>
                <w:numId w:val="3"/>
              </w:numPr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границах жилого района не менее 80% при услов</w:t>
            </w:r>
            <w:r>
              <w:rPr>
                <w:rFonts w:ascii="PT Astra Serif" w:hAnsi="PT Astra Serif"/>
                <w:sz w:val="24"/>
              </w:rPr>
              <w:t>ии обеспечения для жителей дальности пешеходной доступности мест для хранения индивидуального автомобильного транспорта не более чем 500 метров;</w:t>
            </w:r>
          </w:p>
          <w:p w14:paraId="19010000">
            <w:pPr>
              <w:widowControl w:val="1"/>
              <w:numPr>
                <w:ilvl w:val="0"/>
                <w:numId w:val="3"/>
              </w:numPr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границах населенного пункта не менее 100% при условии обеспечения дальности транспортной доступности не более</w:t>
            </w:r>
            <w:r>
              <w:rPr>
                <w:rFonts w:ascii="PT Astra Serif" w:hAnsi="PT Astra Serif"/>
                <w:sz w:val="24"/>
              </w:rPr>
              <w:t xml:space="preserve"> чем 15 минут.</w:t>
            </w:r>
          </w:p>
          <w:p w14:paraId="1A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3. Расчетные показатели минимально допустимого уровня обеспеченности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-местами для хранения и паркования легковых автомобилей для целей, не указанных в таблице, следует принимать в соответствии с требованиями приложения Ж СП 42.13330.20</w:t>
            </w:r>
            <w:r>
              <w:rPr>
                <w:rFonts w:ascii="PT Astra Serif" w:hAnsi="PT Astra Serif"/>
                <w:sz w:val="24"/>
              </w:rPr>
              <w:t>16.</w:t>
            </w:r>
          </w:p>
          <w:p w14:paraId="1B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4. В плотной городской застройке по заданию на проектирование число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 для объектов в границах жилых и общественно-деловых зон может быть уменьшено не более чем на 50%.</w:t>
            </w:r>
          </w:p>
          <w:p w14:paraId="1C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5. При организации кооперированных стоянок, обслуживающих группы объектов </w:t>
            </w:r>
            <w:r>
              <w:rPr>
                <w:rFonts w:ascii="PT Astra Serif" w:hAnsi="PT Astra Serif"/>
                <w:sz w:val="24"/>
              </w:rPr>
              <w:t xml:space="preserve">(жилого, торгового, культурно-зрелищного, производственного назначения), допускается снижать суммарное требуемое количество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 без снижения обеспеченности ими за счет сдвига часов пик при функционировании обслуживаемых стоянками объектов: на терри</w:t>
            </w:r>
            <w:r>
              <w:rPr>
                <w:rFonts w:ascii="PT Astra Serif" w:hAnsi="PT Astra Serif"/>
                <w:sz w:val="24"/>
              </w:rPr>
              <w:t>тории центральных районов населенных пунктов - на 15%-20%, в периферийных зонах – на 10%-15%.</w:t>
            </w:r>
          </w:p>
          <w:p w14:paraId="1D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6. Количество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 стоянок туристических автобусов и парковок для легковых автомобилей, принадлежащих туристам, в рекреационных территориях и около объекто</w:t>
            </w:r>
            <w:r>
              <w:rPr>
                <w:rFonts w:ascii="PT Astra Serif" w:hAnsi="PT Astra Serif"/>
                <w:sz w:val="24"/>
              </w:rPr>
              <w:t>в туристского осмотра определяется расчетом на период максимальной посещаемости с учетом временного населения. Указанные стоянки должны быть размещены с учетом обеспечения удобных подходов к объектам туристского осмотра, но не далее 500 м от них и не наруш</w:t>
            </w:r>
            <w:r>
              <w:rPr>
                <w:rFonts w:ascii="PT Astra Serif" w:hAnsi="PT Astra Serif"/>
                <w:sz w:val="24"/>
              </w:rPr>
              <w:t>ать целостный характер исторической среды.</w:t>
            </w:r>
          </w:p>
          <w:p w14:paraId="1E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7. Вместимость стоянок для парковки туристических автобусов у аэропортов и железнодорожных вокзалов следует принимать по норме 3-4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-места на 100 пассажиров (туристов), прибывающих в часы пик.</w:t>
            </w:r>
          </w:p>
          <w:p w14:paraId="1F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8. Число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 следует принимать при уровнях автомобилизации, определенных на расчетный срок.</w:t>
            </w:r>
          </w:p>
          <w:p w14:paraId="20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</w:p>
          <w:p w14:paraId="21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9. Для жилой застройки, на земельный участок которой запрещен проезд транспортных средств, за исключением автомобилей и специальной техники оперативных служб, допускается</w:t>
            </w:r>
            <w:r>
              <w:rPr>
                <w:rFonts w:ascii="PT Astra Serif" w:hAnsi="PT Astra Serif"/>
                <w:sz w:val="24"/>
              </w:rPr>
              <w:t xml:space="preserve"> увеличивать расстояние от подъездов жилых зданий до стоянки (парковки) транспортных средств, управляемых инвалидами или перевозящих инвалидов, до 200 м.</w:t>
            </w:r>
          </w:p>
          <w:p w14:paraId="22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</w:p>
          <w:p w14:paraId="23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10. При проектировании стоянок легковых автомобилей необходимо предусматривать размещение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 для электромобилей.</w:t>
            </w:r>
          </w:p>
          <w:p w14:paraId="24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</w:p>
          <w:p w14:paraId="25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11. Машино-места для электромобилей должны оборудоваться зарядными устройствами.</w:t>
            </w:r>
          </w:p>
          <w:p w14:paraId="26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</w:p>
          <w:p w14:paraId="27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12. При проектировании стоянок легковых автомобилей необходимо предусматривать резерв мощности электрических сетей и возможность увеличения количества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-мест, оборудованных зарядными устройствами.</w:t>
            </w:r>
          </w:p>
          <w:p w14:paraId="28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</w:p>
          <w:p w14:paraId="29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13. Размещение и оснащение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 для электромобилей должно осуществляться с учетом требований технических регламентов и нормативных документов в области электроснабжения.</w:t>
            </w:r>
          </w:p>
          <w:p w14:paraId="2A010000">
            <w:pPr>
              <w:widowControl w:val="1"/>
              <w:spacing w:after="20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</w:tbl>
    <w:p w14:paraId="2B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</w:p>
    <w:p w14:paraId="2C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br w:type="page"/>
      </w:r>
    </w:p>
    <w:p w14:paraId="2D01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  <w:r>
        <w:rPr>
          <w:rFonts w:ascii="PT Astra Serif" w:hAnsi="PT Astra Serif"/>
          <w:sz w:val="28"/>
          <w:highlight w:val="white"/>
        </w:rPr>
        <w:t xml:space="preserve"> Приложение № 3</w:t>
      </w:r>
    </w:p>
    <w:p w14:paraId="2E01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  <w:r>
        <w:rPr>
          <w:rFonts w:ascii="PT Astra Serif" w:hAnsi="PT Astra Serif"/>
          <w:sz w:val="28"/>
          <w:highlight w:val="white"/>
        </w:rPr>
        <w:t xml:space="preserve"> к приказу</w:t>
      </w:r>
    </w:p>
    <w:p w14:paraId="2F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Управления архитектуры и градостроительства </w:t>
      </w:r>
    </w:p>
    <w:p w14:paraId="30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при Главе Республики Саха (Якутия)</w:t>
      </w:r>
    </w:p>
    <w:p w14:paraId="31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от </w:t>
      </w:r>
      <w:r>
        <w:rPr>
          <w:rFonts w:ascii="PT Astra Serif" w:hAnsi="PT Astra Serif"/>
          <w:sz w:val="28"/>
          <w:highlight w:val="white"/>
        </w:rPr>
        <w:t xml:space="preserve">«  </w:t>
      </w:r>
      <w:r>
        <w:rPr>
          <w:rFonts w:ascii="PT Astra Serif" w:hAnsi="PT Astra Serif"/>
          <w:sz w:val="28"/>
          <w:highlight w:val="white"/>
        </w:rPr>
        <w:t xml:space="preserve"> »             2026 № _____</w:t>
      </w:r>
    </w:p>
    <w:p w14:paraId="3201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</w:p>
    <w:p w14:paraId="33010000">
      <w:pPr>
        <w:pStyle w:val="Style_4"/>
        <w:widowControl w:val="1"/>
        <w:spacing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Таблица 36. Объекты местного значения в области обеспечения населения </w:t>
      </w:r>
      <w:r>
        <w:rPr>
          <w:rFonts w:ascii="PT Astra Serif" w:hAnsi="PT Astra Serif"/>
          <w:sz w:val="28"/>
        </w:rPr>
        <w:t>машино</w:t>
      </w:r>
      <w:r>
        <w:rPr>
          <w:rFonts w:ascii="PT Astra Serif" w:hAnsi="PT Astra Serif"/>
          <w:sz w:val="28"/>
        </w:rPr>
        <w:t>-местами для постоянного хранения легковых автомобилей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color w:val="FF0000"/>
          <w:sz w:val="28"/>
        </w:rPr>
        <w:t xml:space="preserve">включая </w:t>
      </w:r>
      <w:r>
        <w:rPr>
          <w:rFonts w:ascii="PT Astra Serif" w:hAnsi="PT Astra Serif"/>
          <w:color w:val="FF0000"/>
          <w:sz w:val="28"/>
        </w:rPr>
        <w:t>машино</w:t>
      </w:r>
      <w:r>
        <w:rPr>
          <w:rFonts w:ascii="PT Astra Serif" w:hAnsi="PT Astra Serif"/>
          <w:color w:val="FF0000"/>
          <w:sz w:val="28"/>
        </w:rPr>
        <w:t xml:space="preserve">-места для парковки электромобилей, оборудованных зарядными устройствами, </w:t>
      </w:r>
      <w:r>
        <w:rPr>
          <w:rFonts w:ascii="PT Astra Serif" w:hAnsi="PT Astra Serif"/>
          <w:sz w:val="28"/>
        </w:rPr>
        <w:t xml:space="preserve">местами хранения велосипедов и средств </w:t>
      </w:r>
    </w:p>
    <w:p w14:paraId="34010000">
      <w:pPr>
        <w:pStyle w:val="Style_4"/>
        <w:widowControl w:val="1"/>
        <w:spacing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индивидуальной мобильности </w:t>
      </w:r>
    </w:p>
    <w:tbl>
      <w:tblPr>
        <w:tblStyle w:val="Style_2"/>
        <w:tblW w:type="auto" w:w="0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  <w:tblCellMar>
          <w:left w:type="dxa" w:w="28"/>
          <w:right w:type="dxa" w:w="28"/>
        </w:tblCellMar>
      </w:tblPr>
      <w:tblGrid>
        <w:gridCol w:w="1685"/>
        <w:gridCol w:w="2693"/>
        <w:gridCol w:w="4962"/>
      </w:tblGrid>
      <w:tr>
        <w:tc>
          <w:tcPr>
            <w:tcW w:type="dxa" w:w="16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5010000">
            <w:pPr>
              <w:keepNext w:val="1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Наименование вида объекта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6010000">
            <w:pPr>
              <w:keepNext w:val="1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расчетного показателя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7010000">
            <w:pPr>
              <w:keepNext w:val="1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Обоснование предельного значения расчетного по</w:t>
            </w:r>
            <w:r>
              <w:rPr>
                <w:rFonts w:ascii="PT Astra Serif" w:hAnsi="PT Astra Serif"/>
                <w:sz w:val="24"/>
              </w:rPr>
              <w:t>казателя</w:t>
            </w:r>
          </w:p>
        </w:tc>
      </w:tr>
      <w:tr>
        <w:tc>
          <w:tcPr>
            <w:tcW w:type="dxa" w:w="1685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8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Места постоянного хранения легковых автомобилей, при размещении многоквартирного дома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9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A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 xml:space="preserve">-мест определено с учетом показателей таблицы 11.8 СП 42.13330.2016, в </w:t>
            </w:r>
            <w:r>
              <w:rPr>
                <w:rFonts w:ascii="PT Astra Serif" w:hAnsi="PT Astra Serif"/>
                <w:sz w:val="24"/>
              </w:rPr>
              <w:t>расчете на единицу площади, что позволяет производить расчет унифицировано для объектов различного класса, независимо от сложившейся обеспеченности жилой площадью на человека</w:t>
            </w:r>
          </w:p>
        </w:tc>
      </w:tr>
      <w:tr>
        <w:tc>
          <w:tcPr>
            <w:tcW w:type="dxa" w:w="1685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B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C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 до автостоянок зонах жилой застройки принята 800 м, а в районах реконструкции 1000 м принято согласно п. 11.32 СП 42.13330.2016.</w:t>
            </w:r>
          </w:p>
        </w:tc>
      </w:tr>
      <w:tr>
        <w:tc>
          <w:tcPr>
            <w:tcW w:type="dxa" w:w="16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D010000">
            <w:pPr>
              <w:widowControl w:val="1"/>
              <w:ind/>
              <w:jc w:val="both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Места постоянного хранения легковых электромобилей, оборудованных зарядными устройствами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E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Расчетный </w:t>
            </w:r>
            <w:r>
              <w:rPr>
                <w:rFonts w:ascii="PT Astra Serif" w:hAnsi="PT Astra Serif"/>
                <w:color w:val="FF0000"/>
                <w:sz w:val="24"/>
              </w:rPr>
              <w:t>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F010000">
            <w:pPr>
              <w:widowControl w:val="1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Введение показателя доли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 для электромобилей, оборудованных зарядными устройствами, обусловлено необходимостью формирования инфраструктуры электрического транспорта в соответствии с приорит</w:t>
            </w:r>
            <w:r>
              <w:rPr>
                <w:rFonts w:ascii="PT Astra Serif" w:hAnsi="PT Astra Serif"/>
                <w:color w:val="FF0000"/>
                <w:sz w:val="24"/>
              </w:rPr>
              <w:t>етами государственной политики Российской Федерации в области устойчивого развития транспортной системы и снижения негативного воздействия на окружающую среду.</w:t>
            </w:r>
          </w:p>
          <w:p w14:paraId="40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Установление минимального значения на уровне 5% от общего количества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-мест обеспечивает </w:t>
            </w:r>
            <w:r>
              <w:rPr>
                <w:rFonts w:ascii="PT Astra Serif" w:hAnsi="PT Astra Serif"/>
                <w:color w:val="FF0000"/>
                <w:sz w:val="24"/>
              </w:rPr>
              <w:t>возможность поэтапного развития зарядной инфраструктуры без избыточной нагрузки на инженерные сети.</w:t>
            </w:r>
          </w:p>
        </w:tc>
      </w:tr>
      <w:tr>
        <w:tc>
          <w:tcPr>
            <w:tcW w:type="dxa" w:w="1685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1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Места хранения велосипедов, средств индивидуальной мобильности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2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3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мест хранения </w:t>
            </w:r>
            <w:r>
              <w:rPr>
                <w:rFonts w:ascii="PT Astra Serif" w:hAnsi="PT Astra Serif"/>
                <w:sz w:val="24"/>
              </w:rPr>
              <w:t>велосипедов, средств индивидуальной мобильности определено с учетом использования коэффициентов приведения расчетного количества мест к одному расчетному виду (легковому автомобилю)</w:t>
            </w:r>
          </w:p>
        </w:tc>
      </w:tr>
      <w:tr>
        <w:tc>
          <w:tcPr>
            <w:tcW w:type="dxa" w:w="1685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4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Расчетный показатель максимально допустимого уровня территориальной </w:t>
            </w:r>
            <w:r>
              <w:rPr>
                <w:rFonts w:ascii="PT Astra Serif" w:hAnsi="PT Astra Serif"/>
                <w:sz w:val="24"/>
              </w:rPr>
              <w:t>доступности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5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 от входа в здание принята 50 м.  Места хранения велосипедов и средств индивидуальной мобильности допускается размещать внутри объекта капитального строительства в специально оборудованном для этого помещении</w:t>
            </w:r>
          </w:p>
        </w:tc>
      </w:tr>
    </w:tbl>
    <w:p w14:paraId="46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</w:p>
    <w:p w14:paraId="47010000">
      <w:pPr>
        <w:pStyle w:val="Style_4"/>
        <w:widowControl w:val="1"/>
        <w:spacing w:after="120" w:before="120"/>
        <w:ind/>
        <w:rPr>
          <w:rFonts w:ascii="Times New Roman" w:hAnsi="Times New Roman"/>
          <w:sz w:val="24"/>
        </w:rPr>
      </w:pPr>
      <w:r>
        <w:br w:type="page"/>
      </w:r>
    </w:p>
    <w:p w14:paraId="4801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  <w:r>
        <w:rPr>
          <w:rFonts w:ascii="PT Astra Serif" w:hAnsi="PT Astra Serif"/>
          <w:sz w:val="28"/>
          <w:highlight w:val="white"/>
        </w:rPr>
        <w:t xml:space="preserve"> Приложение № 4</w:t>
      </w:r>
    </w:p>
    <w:p w14:paraId="49010000">
      <w:pPr>
        <w:pStyle w:val="Style_1"/>
        <w:widowControl w:val="1"/>
        <w:ind w:left="-567"/>
        <w:jc w:val="right"/>
        <w:rPr>
          <w:rFonts w:ascii="Times New Roman" w:hAnsi="Times New Roman"/>
          <w:sz w:val="24"/>
        </w:rPr>
      </w:pPr>
      <w:r>
        <w:rPr>
          <w:rFonts w:ascii="PT Astra Serif" w:hAnsi="PT Astra Serif"/>
          <w:sz w:val="28"/>
          <w:highlight w:val="white"/>
        </w:rPr>
        <w:t xml:space="preserve"> к приказу</w:t>
      </w:r>
    </w:p>
    <w:p w14:paraId="4A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Управления архитектуры и градостроительства </w:t>
      </w:r>
    </w:p>
    <w:p w14:paraId="4B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при Главе Республики Саха (Якутия)</w:t>
      </w:r>
    </w:p>
    <w:p w14:paraId="4C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от </w:t>
      </w:r>
      <w:r>
        <w:rPr>
          <w:rFonts w:ascii="PT Astra Serif" w:hAnsi="PT Astra Serif"/>
          <w:sz w:val="28"/>
          <w:highlight w:val="white"/>
        </w:rPr>
        <w:t xml:space="preserve">«  </w:t>
      </w:r>
      <w:r>
        <w:rPr>
          <w:rFonts w:ascii="PT Astra Serif" w:hAnsi="PT Astra Serif"/>
          <w:sz w:val="28"/>
          <w:highlight w:val="white"/>
        </w:rPr>
        <w:t xml:space="preserve"> »             2026 № _____</w:t>
      </w:r>
    </w:p>
    <w:p w14:paraId="4D010000">
      <w:pPr>
        <w:pStyle w:val="Style_4"/>
        <w:widowControl w:val="1"/>
        <w:spacing w:before="0" w:line="240" w:lineRule="auto"/>
        <w:ind/>
        <w:jc w:val="center"/>
        <w:rPr>
          <w:rFonts w:ascii="PT Astra Serif" w:hAnsi="PT Astra Serif"/>
          <w:sz w:val="28"/>
        </w:rPr>
      </w:pPr>
    </w:p>
    <w:p w14:paraId="4E010000">
      <w:pPr>
        <w:pStyle w:val="Style_4"/>
        <w:widowControl w:val="1"/>
        <w:spacing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Таблица 37. Объекты местного значения в области обеспечения населения </w:t>
      </w:r>
      <w:r>
        <w:rPr>
          <w:rFonts w:ascii="PT Astra Serif" w:hAnsi="PT Astra Serif"/>
          <w:sz w:val="28"/>
        </w:rPr>
        <w:t>машино</w:t>
      </w:r>
      <w:r>
        <w:rPr>
          <w:rFonts w:ascii="PT Astra Serif" w:hAnsi="PT Astra Serif"/>
          <w:sz w:val="28"/>
        </w:rPr>
        <w:t>-местами для парковки легковых автомоб</w:t>
      </w:r>
      <w:r>
        <w:rPr>
          <w:rFonts w:ascii="PT Astra Serif" w:hAnsi="PT Astra Serif"/>
          <w:sz w:val="28"/>
        </w:rPr>
        <w:t xml:space="preserve">илей, </w:t>
      </w:r>
      <w:r>
        <w:rPr>
          <w:rFonts w:ascii="PT Astra Serif" w:hAnsi="PT Astra Serif"/>
          <w:color w:val="FF0000"/>
          <w:sz w:val="28"/>
        </w:rPr>
        <w:t xml:space="preserve">включая </w:t>
      </w:r>
      <w:r>
        <w:rPr>
          <w:rFonts w:ascii="PT Astra Serif" w:hAnsi="PT Astra Serif"/>
          <w:color w:val="FF0000"/>
          <w:sz w:val="28"/>
        </w:rPr>
        <w:t>машино</w:t>
      </w:r>
      <w:r>
        <w:rPr>
          <w:rFonts w:ascii="PT Astra Serif" w:hAnsi="PT Astra Serif"/>
          <w:color w:val="FF0000"/>
          <w:sz w:val="28"/>
        </w:rPr>
        <w:t xml:space="preserve">-места для парковки электромобилей, оборудованных зарядными устройствами, </w:t>
      </w:r>
      <w:r>
        <w:rPr>
          <w:rFonts w:ascii="PT Astra Serif" w:hAnsi="PT Astra Serif"/>
          <w:sz w:val="28"/>
        </w:rPr>
        <w:t>местами для парковки велосипедов и средств</w:t>
      </w:r>
    </w:p>
    <w:p w14:paraId="4F010000">
      <w:pPr>
        <w:pStyle w:val="Style_4"/>
        <w:widowControl w:val="1"/>
        <w:spacing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индивидуальной мобильности </w:t>
      </w:r>
    </w:p>
    <w:p w14:paraId="50010000">
      <w:pPr>
        <w:rPr>
          <w:rFonts w:ascii="PT Astra Serif" w:hAnsi="PT Astra Serif"/>
          <w:sz w:val="28"/>
        </w:rPr>
      </w:pPr>
    </w:p>
    <w:tbl>
      <w:tblPr>
        <w:tblStyle w:val="Style_2"/>
        <w:tblW w:type="auto" w:w="0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  <w:tblCellMar>
          <w:left w:type="dxa" w:w="28"/>
          <w:right w:type="dxa" w:w="28"/>
        </w:tblCellMar>
      </w:tblPr>
      <w:tblGrid>
        <w:gridCol w:w="1685"/>
        <w:gridCol w:w="2693"/>
        <w:gridCol w:w="4962"/>
      </w:tblGrid>
      <w:tr>
        <w:tc>
          <w:tcPr>
            <w:tcW w:type="dxa" w:w="16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1010000">
            <w:pPr>
              <w:keepNext w:val="1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Наименование вида объекта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2010000">
            <w:pPr>
              <w:keepNext w:val="1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расчетного показателя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3010000">
            <w:pPr>
              <w:keepNext w:val="1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Обоснование предельного значения </w:t>
            </w:r>
            <w:r>
              <w:rPr>
                <w:rFonts w:ascii="PT Astra Serif" w:hAnsi="PT Astra Serif"/>
                <w:sz w:val="24"/>
              </w:rPr>
              <w:t>расчетного показателя</w:t>
            </w:r>
          </w:p>
        </w:tc>
      </w:tr>
      <w:tr>
        <w:trPr>
          <w:trHeight w:hRule="atLeast" w:val="1212"/>
        </w:trPr>
        <w:tc>
          <w:tcPr>
            <w:tcW w:type="dxa" w:w="1685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4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Стоянки автомобилей, размещаемых в непосредственной близости от отдельно стоящих объектов капитального строительства в границах жилых и общественно-деловых зон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5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6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Нормы р</w:t>
            </w:r>
            <w:r>
              <w:rPr>
                <w:rFonts w:ascii="PT Astra Serif" w:hAnsi="PT Astra Serif"/>
                <w:sz w:val="24"/>
              </w:rPr>
              <w:t>асчета стоянок автомобилей приняты в соответствии с приложением Ж СП 42.13330.2016</w:t>
            </w:r>
          </w:p>
        </w:tc>
      </w:tr>
      <w:tr>
        <w:tc>
          <w:tcPr>
            <w:tcW w:type="dxa" w:w="1685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7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8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Пешеходная доступность до объектов парковки принята в соответствии с п. 11.36 СП </w:t>
            </w:r>
            <w:r>
              <w:rPr>
                <w:rFonts w:ascii="PT Astra Serif" w:hAnsi="PT Astra Serif"/>
                <w:sz w:val="24"/>
              </w:rPr>
              <w:t>42.13330.2016</w:t>
            </w:r>
          </w:p>
        </w:tc>
      </w:tr>
      <w:tr>
        <w:tc>
          <w:tcPr>
            <w:tcW w:type="dxa" w:w="1685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9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Стоянки автомобилей, размещаемых у границ лесопарков, зон отдыха и курортных зон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A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B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Нормы расчета стоянок автомобилей приняты в соответствии с приложением Ж СП 42.13330.2016</w:t>
            </w:r>
          </w:p>
        </w:tc>
      </w:tr>
      <w:tr>
        <w:tc>
          <w:tcPr>
            <w:tcW w:type="dxa" w:w="1685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C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D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 до стоянок автомобилей, размещаемых у границ лесопарков, зон отдыха и курортных зон, принята в соответствии с Приложением Ж СП 42.13330.2016</w:t>
            </w:r>
          </w:p>
        </w:tc>
      </w:tr>
      <w:tr>
        <w:tc>
          <w:tcPr>
            <w:tcW w:type="dxa" w:w="1685"/>
            <w:tcBorders>
              <w:top w:color="000000" w:sz="4" w:val="single"/>
              <w:left w:color="000000" w:sz="4" w:val="single"/>
              <w:bottom w:sz="4" w:themeColor="text1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E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Машино-места для электромобилей, оборудованные зарядными устройствами 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F010000">
            <w:pPr>
              <w:widowControl w:val="1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0010000">
            <w:pPr>
              <w:widowControl w:val="1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 xml:space="preserve">Введение показателя доли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 для электромобилей, оборудованных зарядными устройствами, обусловлено необходимост</w:t>
            </w:r>
            <w:r>
              <w:rPr>
                <w:rFonts w:ascii="PT Astra Serif" w:hAnsi="PT Astra Serif"/>
                <w:color w:val="FF0000"/>
                <w:sz w:val="24"/>
              </w:rPr>
              <w:t>ью формирования инфраструктуры электрического транспорта в соответствии с приоритетами государственной политики Российской Федерации в области устойчивого развития транспортной системы и снижения негативного воздействия на окружающую среду.</w:t>
            </w:r>
          </w:p>
          <w:p w14:paraId="61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не менее 5% — д</w:t>
            </w:r>
            <w:r>
              <w:rPr>
                <w:rFonts w:ascii="PT Astra Serif" w:hAnsi="PT Astra Serif"/>
                <w:color w:val="FF0000"/>
                <w:sz w:val="24"/>
              </w:rPr>
              <w:t>ля городских округов (город Якутск, городской округ Жатай);</w:t>
            </w:r>
            <w:r>
              <w:rPr>
                <w:rFonts w:ascii="PT Astra Serif" w:hAnsi="PT Astra Serif"/>
                <w:color w:val="FF0000"/>
                <w:sz w:val="24"/>
              </w:rPr>
              <w:br/>
            </w:r>
            <w:r>
              <w:rPr>
                <w:rFonts w:ascii="PT Astra Serif" w:hAnsi="PT Astra Serif"/>
                <w:color w:val="FF0000"/>
                <w:sz w:val="24"/>
              </w:rPr>
              <w:t xml:space="preserve">до 5% * — для иных территорий, включая Арктическую зону РС(Я) и сельские поселения, но не меньше 1 </w:t>
            </w:r>
            <w:r>
              <w:rPr>
                <w:rFonts w:ascii="PT Astra Serif" w:hAnsi="PT Astra Serif"/>
                <w:color w:val="FF0000"/>
                <w:sz w:val="24"/>
              </w:rPr>
              <w:t>машино</w:t>
            </w:r>
            <w:r>
              <w:rPr>
                <w:rFonts w:ascii="PT Astra Serif" w:hAnsi="PT Astra Serif"/>
                <w:color w:val="FF0000"/>
                <w:sz w:val="24"/>
              </w:rPr>
              <w:t>-места.</w:t>
            </w:r>
          </w:p>
        </w:tc>
      </w:tr>
      <w:tr>
        <w:tc>
          <w:tcPr>
            <w:tcW w:type="dxa" w:w="1685"/>
            <w:tcBorders>
              <w:top w:sz="4" w:themeColor="text1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2010000">
            <w:pPr>
              <w:widowControl w:val="1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Стоянки для автомобилей, обеспеченные</w:t>
            </w:r>
            <w:r>
              <w:rPr>
                <w:rFonts w:ascii="PT Astra Serif" w:hAnsi="PT Astra Serif"/>
                <w:color w:val="FF0000"/>
                <w:sz w:val="24"/>
              </w:rPr>
              <w:t xml:space="preserve"> возможностью последующего оснащения зарядной инфраструктурой (резерв мощности и кабельная инфраструктура)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3010000">
            <w:pPr>
              <w:widowControl w:val="1"/>
              <w:ind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4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FF0000"/>
                <w:sz w:val="24"/>
              </w:rPr>
              <w:t>Определяется документами территориального планирования (не нормируется)</w:t>
            </w:r>
          </w:p>
        </w:tc>
      </w:tr>
      <w:tr>
        <w:tc>
          <w:tcPr>
            <w:tcW w:type="dxa" w:w="1685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5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Места </w:t>
            </w:r>
            <w:r>
              <w:rPr>
                <w:rFonts w:ascii="PT Astra Serif" w:hAnsi="PT Astra Serif"/>
                <w:sz w:val="24"/>
              </w:rPr>
              <w:t>парковки для велосипедов и средств индивидуальной мобильности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6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7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Количество мест временного хранения принято в размере 25% от </w:t>
            </w:r>
            <w:r>
              <w:rPr>
                <w:rFonts w:ascii="PT Astra Serif" w:hAnsi="PT Astra Serif"/>
                <w:sz w:val="24"/>
              </w:rPr>
              <w:t>машино</w:t>
            </w:r>
            <w:r>
              <w:rPr>
                <w:rFonts w:ascii="PT Astra Serif" w:hAnsi="PT Astra Serif"/>
                <w:sz w:val="24"/>
              </w:rPr>
              <w:t>-мест стоянок легковых автомобилей, но не менее 2 мест с учет</w:t>
            </w:r>
            <w:r>
              <w:rPr>
                <w:rFonts w:ascii="PT Astra Serif" w:hAnsi="PT Astra Serif"/>
                <w:sz w:val="24"/>
              </w:rPr>
              <w:t>ом использования коэффициентов приведения расчетного количества мест к одному расчетному виду (легковому автомобилю)</w:t>
            </w:r>
          </w:p>
        </w:tc>
      </w:tr>
      <w:tr>
        <w:tc>
          <w:tcPr>
            <w:tcW w:type="dxa" w:w="1685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8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9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Пешеходная доступность от входа в здание принята 50 м</w:t>
            </w:r>
          </w:p>
        </w:tc>
      </w:tr>
      <w:tr>
        <w:tc>
          <w:tcPr>
            <w:tcW w:type="dxa" w:w="1685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A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Индивидуальные автостоянки для маломобильных групп населения на участке около или внутри зданий учреждений обслуживания</w:t>
            </w:r>
          </w:p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B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C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Доля мест для транспорта инвалидов 10% (но не менее 1 места), число сп</w:t>
            </w:r>
            <w:r>
              <w:rPr>
                <w:rFonts w:ascii="PT Astra Serif" w:hAnsi="PT Astra Serif"/>
                <w:sz w:val="24"/>
              </w:rPr>
              <w:t>ециализированных мест для автотранспорта инвалидов на кресле-коляске приняты в соответствии с п. 5.2.1 СП 59.13330.2020</w:t>
            </w:r>
          </w:p>
        </w:tc>
      </w:tr>
      <w:tr>
        <w:tc>
          <w:tcPr>
            <w:tcW w:type="dxa" w:w="1685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269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D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type="dxa" w:w="496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E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Расстояние от входа в предприятие или в учреждение, </w:t>
            </w:r>
            <w:r>
              <w:rPr>
                <w:rFonts w:ascii="PT Astra Serif" w:hAnsi="PT Astra Serif"/>
                <w:sz w:val="24"/>
              </w:rPr>
              <w:t>доступного для инвалидов принято в соответствии с п. 5.2.2 СП 59.13330.2020</w:t>
            </w:r>
          </w:p>
        </w:tc>
      </w:tr>
    </w:tbl>
    <w:p w14:paraId="6F010000">
      <w:pPr>
        <w:widowControl w:val="1"/>
        <w:spacing w:after="0"/>
        <w:ind w:firstLine="540"/>
        <w:jc w:val="both"/>
        <w:rPr>
          <w:shd w:fill="F8D957" w:val="clear"/>
        </w:rPr>
      </w:pPr>
    </w:p>
    <w:p w14:paraId="70010000">
      <w:pPr>
        <w:pStyle w:val="Style_1"/>
        <w:widowControl w:val="1"/>
        <w:ind w:left="-567"/>
        <w:jc w:val="right"/>
        <w:rPr>
          <w:rFonts w:ascii="PT Astra Serif" w:hAnsi="PT Astra Serif"/>
          <w:sz w:val="28"/>
          <w:highlight w:val="white"/>
        </w:rPr>
      </w:pPr>
    </w:p>
    <w:sectPr>
      <w:footerReference r:id="rId1" w:type="first"/>
      <w:pgSz w:h="16838" w:orient="portrait" w:w="11906"/>
      <w:pgMar w:bottom="1134" w:footer="708" w:gutter="0" w:header="708" w:left="1701" w:right="849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both"/>
      <w:rPr>
        <w:rFonts w:ascii="PT Astra Serif" w:hAnsi="PT Astra Serif"/>
        <w:color w:themeColor="background1" w:themeShade="BF" w:val="BFBFBF"/>
        <w:sz w:val="20"/>
      </w:rPr>
    </w:pPr>
    <w:r>
      <w:rPr>
        <w:rFonts w:ascii="PT Astra Serif" w:hAnsi="PT Astra Serif"/>
        <w:color w:themeColor="background1" w:themeShade="BF" w:val="BFBFBF"/>
        <w:sz w:val="20"/>
      </w:rPr>
      <w:t>Исп. Григорьева А.Л.</w:t>
    </w:r>
  </w:p>
  <w:p w14:paraId="02000000">
    <w:pPr>
      <w:pStyle w:val="Style_1"/>
      <w:widowControl w:val="1"/>
      <w:ind/>
      <w:jc w:val="both"/>
      <w:rPr>
        <w:rFonts w:ascii="PT Astra Serif" w:hAnsi="PT Astra Serif"/>
        <w:color w:themeColor="background1" w:themeShade="BF" w:val="BFBFBF"/>
        <w:sz w:val="20"/>
      </w:rPr>
    </w:pPr>
    <w:r>
      <w:rPr>
        <w:rFonts w:ascii="PT Astra Serif" w:hAnsi="PT Astra Serif"/>
        <w:color w:themeColor="background1" w:themeShade="BF" w:val="BFBFBF"/>
        <w:sz w:val="20"/>
      </w:rPr>
      <w:t>тел.:8(4112)507847 (67717)</w: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lvlJc w:val="left"/>
      <w:pPr>
        <w:widowControl w:val="1"/>
        <w:ind w:hanging="360" w:left="36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08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360" w:left="180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52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24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360" w:left="396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468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40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360" w:left="6120"/>
      </w:pPr>
    </w:lvl>
  </w:abstractNum>
  <w:abstractNum w:abstractNumId="1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360" w:left="6480"/>
      </w:pPr>
    </w:lvl>
  </w:abstractNum>
  <w:abstractNum w:abstractNumId="2">
    <w:lvl w:ilvl="0">
      <w:start w:val="1"/>
      <w:numFmt w:val="bullet"/>
      <w:suff w:val="tab"/>
      <w:lvlText w:val="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decimal"/>
      <w:pStyle w:val="Style_51"/>
      <w:suff w:val="tab"/>
      <w:lvlText w:val="%1."/>
      <w:lvlJc w:val="left"/>
      <w:pPr>
        <w:widowControl w:val="1"/>
        <w:ind w:hanging="360" w:left="928"/>
      </w:pPr>
      <w:rPr>
        <w:b w:val="1"/>
      </w:rPr>
    </w:lvl>
    <w:lvl w:ilvl="1">
      <w:start w:val="1"/>
      <w:numFmt w:val="bullet"/>
      <w:pStyle w:val="Style_46"/>
      <w:suff w:val="tab"/>
      <w:lvlText w:val="-"/>
      <w:lvlJc w:val="left"/>
      <w:pPr>
        <w:widowControl w:val="1"/>
        <w:ind w:hanging="360" w:left="1200"/>
      </w:pPr>
      <w:rPr>
        <w:rFonts w:ascii="Courier New" w:hAnsi="Courier New"/>
      </w:rPr>
    </w:lvl>
    <w:lvl w:ilvl="2">
      <w:start w:val="1"/>
      <w:numFmt w:val="bullet"/>
      <w:pStyle w:val="Style_21"/>
      <w:suff w:val="tab"/>
      <w:lvlText w:val="-"/>
      <w:lvlJc w:val="left"/>
      <w:pPr>
        <w:widowControl w:val="1"/>
        <w:ind w:hanging="360" w:left="1080"/>
      </w:pPr>
      <w:rPr>
        <w:rFonts w:ascii="Courier New" w:hAnsi="Courier New"/>
      </w:rPr>
    </w:lvl>
    <w:lvl w:ilvl="3">
      <w:start w:val="1"/>
      <w:numFmt w:val="bullet"/>
      <w:pStyle w:val="Style_25"/>
      <w:suff w:val="tab"/>
      <w:lvlText w:val="-"/>
      <w:lvlJc w:val="left"/>
      <w:pPr>
        <w:widowControl w:val="1"/>
        <w:ind w:hanging="360" w:left="1440"/>
      </w:pPr>
      <w:rPr>
        <w:rFonts w:ascii="Courier New" w:hAnsi="Courier New"/>
      </w:rPr>
    </w:lvl>
    <w:lvl w:ilvl="4">
      <w:start w:val="1"/>
      <w:numFmt w:val="decimal"/>
      <w:suff w:val="tab"/>
      <w:lvlText w:val="-"/>
      <w:lvlJc w:val="left"/>
      <w:pPr>
        <w:widowControl w:val="1"/>
        <w:ind w:hanging="360" w:left="1800"/>
      </w:pPr>
    </w:lvl>
    <w:lvl w:ilvl="5">
      <w:start w:val="1"/>
      <w:numFmt w:val="decimal"/>
      <w:suff w:val="tab"/>
      <w:lvlText w:val="-"/>
      <w:lvlJc w:val="left"/>
      <w:pPr>
        <w:widowControl w:val="1"/>
        <w:ind w:hanging="360" w:left="2160"/>
      </w:pPr>
    </w:lvl>
    <w:lvl w:ilvl="6">
      <w:start w:val="1"/>
      <w:numFmt w:val="decimal"/>
      <w:suff w:val="tab"/>
      <w:lvlText w:val="-"/>
      <w:lvlJc w:val="left"/>
      <w:pPr>
        <w:widowControl w:val="1"/>
        <w:ind w:hanging="360" w:left="2520"/>
      </w:pPr>
    </w:lvl>
    <w:lvl w:ilvl="7">
      <w:start w:val="1"/>
      <w:numFmt w:val="decimal"/>
      <w:suff w:val="tab"/>
      <w:lvlText w:val="-"/>
      <w:lvlJc w:val="left"/>
      <w:pPr>
        <w:widowControl w:val="1"/>
        <w:ind w:hanging="360" w:left="2880"/>
      </w:pPr>
    </w:lvl>
    <w:lvl w:ilvl="8">
      <w:start w:val="1"/>
      <w:numFmt w:val="decimal"/>
      <w:suff w:val="tab"/>
      <w:lvlText w:val="-"/>
      <w:lvlJc w:val="left"/>
      <w:pPr>
        <w:widowControl w:val="1"/>
        <w:ind w:hanging="360" w:left="3240"/>
      </w:pPr>
    </w:lvl>
  </w:abstractNum>
  <w:abstractNum w:abstractNumId="4">
    <w:lvl w:ilvl="0">
      <w:start w:val="1"/>
      <w:numFmt w:val="decimal"/>
      <w:pStyle w:val="Style_17"/>
      <w:suff w:val="tab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5">
    <w:lvl w:ilvl="0">
      <w:start w:val="1"/>
      <w:numFmt w:val="decimal"/>
      <w:pStyle w:val="Style_56"/>
      <w:suff w:val="tab"/>
      <w:lvlText w:val="1.%1"/>
      <w:lvlJc w:val="left"/>
      <w:pPr>
        <w:widowControl w:val="1"/>
        <w:ind w:hanging="360" w:left="1146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866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586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3306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4026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746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466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6186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906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basedOn w:val="Style_5"/>
    <w:next w:val="Style_5"/>
    <w:link w:val="Style_6_ch"/>
    <w:uiPriority w:val="39"/>
    <w:pPr>
      <w:widowControl w:val="1"/>
      <w:spacing w:after="100"/>
      <w:ind w:left="220"/>
    </w:pPr>
  </w:style>
  <w:style w:styleId="Style_6_ch" w:type="character">
    <w:name w:val="toc 2"/>
    <w:basedOn w:val="Style_5_ch"/>
    <w:link w:val="Style_6"/>
  </w:style>
  <w:style w:styleId="Style_7" w:type="paragraph">
    <w:name w:val="Основной шрифт абзаца1"/>
    <w:link w:val="Style_7_ch"/>
  </w:style>
  <w:style w:styleId="Style_7_ch" w:type="character">
    <w:name w:val="Основной шрифт абзаца1"/>
    <w:link w:val="Style_7"/>
  </w:style>
  <w:style w:styleId="Style_8" w:type="paragraph">
    <w:name w:val="toc 4"/>
    <w:next w:val="Style_5"/>
    <w:link w:val="Style_8_ch"/>
    <w:uiPriority w:val="39"/>
    <w:pPr>
      <w:widowControl w:val="1"/>
      <w:ind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Слабое выделение1"/>
    <w:basedOn w:val="Style_10"/>
    <w:link w:val="Style_9_ch"/>
    <w:rPr>
      <w:i w:val="1"/>
      <w:color w:themeColor="text1" w:themeTint="7F" w:val="808080"/>
    </w:rPr>
  </w:style>
  <w:style w:styleId="Style_9_ch" w:type="character">
    <w:name w:val="Слабое выделение1"/>
    <w:basedOn w:val="Style_10_ch"/>
    <w:link w:val="Style_9"/>
    <w:rPr>
      <w:i w:val="1"/>
      <w:color w:themeColor="text1" w:themeTint="7F" w:val="808080"/>
    </w:rPr>
  </w:style>
  <w:style w:styleId="Style_11" w:type="paragraph">
    <w:name w:val="toc 6"/>
    <w:next w:val="Style_5"/>
    <w:link w:val="Style_11_ch"/>
    <w:uiPriority w:val="39"/>
    <w:pPr>
      <w:widowControl w:val="1"/>
      <w:ind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ind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Гиперссылка1"/>
    <w:basedOn w:val="Style_10"/>
    <w:link w:val="Style_13_ch"/>
    <w:rPr>
      <w:color w:val="0000FF"/>
      <w:u w:val="single"/>
    </w:rPr>
  </w:style>
  <w:style w:styleId="Style_13_ch" w:type="character">
    <w:name w:val="Гиперссылка1"/>
    <w:basedOn w:val="Style_10_ch"/>
    <w:link w:val="Style_13"/>
    <w:rPr>
      <w:color w:val="0000FF"/>
      <w:u w:val="single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Body Text"/>
    <w:basedOn w:val="Style_5"/>
    <w:link w:val="Style_1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Body Text"/>
    <w:basedOn w:val="Style_5_ch"/>
    <w:link w:val="Style_15"/>
    <w:rPr>
      <w:rFonts w:ascii="Times New Roman" w:hAnsi="Times New Roman"/>
      <w:sz w:val="24"/>
    </w:rPr>
  </w:style>
  <w:style w:styleId="Style_16" w:type="paragraph">
    <w:name w:val="TOC Heading"/>
    <w:basedOn w:val="Style_17"/>
    <w:next w:val="Style_5"/>
    <w:link w:val="Style_16_ch"/>
    <w:pPr>
      <w:widowControl w:val="1"/>
      <w:numPr>
        <w:ilvl w:val="0"/>
        <w:numId w:val="0"/>
      </w:numPr>
      <w:ind/>
      <w:outlineLvl w:val="8"/>
    </w:pPr>
    <w:rPr>
      <w:color w:themeColor="accent1" w:themeShade="BF" w:val="376092"/>
    </w:rPr>
  </w:style>
  <w:style w:styleId="Style_16_ch" w:type="character">
    <w:name w:val="TOC Heading"/>
    <w:basedOn w:val="Style_17_ch"/>
    <w:link w:val="Style_16"/>
    <w:rPr>
      <w:color w:themeColor="accent1" w:themeShade="BF" w:val="376092"/>
    </w:rPr>
  </w:style>
  <w:style w:styleId="Style_18" w:type="paragraph">
    <w:name w:val="Endnote"/>
    <w:link w:val="Style_18_ch"/>
    <w:pPr>
      <w:widowControl w:val="1"/>
      <w:ind w:firstLine="851"/>
      <w:jc w:val="both"/>
    </w:pPr>
    <w:rPr>
      <w:rFonts w:ascii="XO Thames" w:hAnsi="XO Thames"/>
    </w:rPr>
  </w:style>
  <w:style w:styleId="Style_18_ch" w:type="character">
    <w:name w:val="Endnote"/>
    <w:link w:val="Style_18"/>
    <w:rPr>
      <w:rFonts w:ascii="XO Thames" w:hAnsi="XO Thames"/>
    </w:rPr>
  </w:style>
  <w:style w:styleId="Style_19" w:type="paragraph">
    <w:name w:val="heading 3"/>
    <w:next w:val="Style_5"/>
    <w:link w:val="Style_1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header"/>
    <w:basedOn w:val="Style_5"/>
    <w:link w:val="Style_20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0_ch" w:type="character">
    <w:name w:val="header"/>
    <w:basedOn w:val="Style_5_ch"/>
    <w:link w:val="Style_20"/>
  </w:style>
  <w:style w:styleId="Style_21" w:type="paragraph">
    <w:name w:val="ГОСТ_Список_маркир_3 уровень"/>
    <w:basedOn w:val="Style_22"/>
    <w:link w:val="Style_21_ch"/>
    <w:pPr>
      <w:widowControl w:val="1"/>
      <w:numPr>
        <w:ilvl w:val="2"/>
        <w:numId w:val="4"/>
      </w:numPr>
      <w:tabs>
        <w:tab w:leader="none" w:pos="360" w:val="left"/>
      </w:tabs>
      <w:spacing w:before="120" w:line="276" w:lineRule="auto"/>
      <w:ind w:firstLine="709" w:left="1560"/>
      <w:contextualSpacing w:val="1"/>
    </w:pPr>
  </w:style>
  <w:style w:styleId="Style_21_ch" w:type="character">
    <w:name w:val="ГОСТ_Список_маркир_3 уровень"/>
    <w:basedOn w:val="Style_22_ch"/>
    <w:link w:val="Style_21"/>
  </w:style>
  <w:style w:styleId="Style_23" w:type="paragraph">
    <w:name w:val="_Титул_Название документа"/>
    <w:basedOn w:val="Style_5"/>
    <w:link w:val="Style_23_ch"/>
    <w:pPr>
      <w:widowControl w:val="1"/>
      <w:spacing w:after="0" w:before="1500" w:line="240" w:lineRule="auto"/>
      <w:ind w:left="851"/>
      <w:jc w:val="center"/>
    </w:pPr>
    <w:rPr>
      <w:rFonts w:ascii="Times New Roman" w:hAnsi="Times New Roman"/>
      <w:b w:val="1"/>
      <w:caps w:val="1"/>
      <w:sz w:val="32"/>
    </w:rPr>
  </w:style>
  <w:style w:styleId="Style_23_ch" w:type="character">
    <w:name w:val="_Титул_Название документа"/>
    <w:basedOn w:val="Style_5_ch"/>
    <w:link w:val="Style_23"/>
    <w:rPr>
      <w:rFonts w:ascii="Times New Roman" w:hAnsi="Times New Roman"/>
      <w:b w:val="1"/>
      <w:caps w:val="1"/>
      <w:sz w:val="32"/>
    </w:rPr>
  </w:style>
  <w:style w:styleId="Style_24" w:type="paragraph">
    <w:name w:val="listparagraph1"/>
    <w:basedOn w:val="Style_5"/>
    <w:link w:val="Style_2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4_ch" w:type="character">
    <w:name w:val="listparagraph1"/>
    <w:basedOn w:val="Style_5_ch"/>
    <w:link w:val="Style_24"/>
    <w:rPr>
      <w:rFonts w:ascii="Times New Roman" w:hAnsi="Times New Roman"/>
      <w:sz w:val="24"/>
    </w:rPr>
  </w:style>
  <w:style w:styleId="Style_25" w:type="paragraph">
    <w:name w:val="ГОСТ_Список_маркир_4 уровень"/>
    <w:basedOn w:val="Style_22"/>
    <w:link w:val="Style_25_ch"/>
    <w:pPr>
      <w:widowControl w:val="1"/>
      <w:numPr>
        <w:ilvl w:val="3"/>
        <w:numId w:val="4"/>
      </w:numPr>
      <w:tabs>
        <w:tab w:leader="none" w:pos="360" w:val="left"/>
      </w:tabs>
      <w:spacing w:before="120" w:line="276" w:lineRule="auto"/>
      <w:ind w:firstLine="709" w:left="1985"/>
      <w:contextualSpacing w:val="1"/>
    </w:pPr>
  </w:style>
  <w:style w:styleId="Style_25_ch" w:type="character">
    <w:name w:val="ГОСТ_Список_маркир_4 уровень"/>
    <w:basedOn w:val="Style_22_ch"/>
    <w:link w:val="Style_25"/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toc 3"/>
    <w:next w:val="Style_5"/>
    <w:link w:val="Style_27_ch"/>
    <w:uiPriority w:val="39"/>
    <w:pPr>
      <w:widowControl w:val="1"/>
      <w:ind w:left="400"/>
    </w:pPr>
    <w:rPr>
      <w:rFonts w:ascii="XO Thames" w:hAnsi="XO Thames"/>
      <w:sz w:val="28"/>
    </w:rPr>
  </w:style>
  <w:style w:styleId="Style_27_ch" w:type="character">
    <w:name w:val="toc 3"/>
    <w:link w:val="Style_27"/>
    <w:rPr>
      <w:rFonts w:ascii="XO Thames" w:hAnsi="XO Thames"/>
      <w:sz w:val="28"/>
    </w:rPr>
  </w:style>
  <w:style w:styleId="Style_22" w:type="paragraph">
    <w:name w:val="ГОСТ_Текст"/>
    <w:link w:val="Style_22_ch"/>
    <w:pPr>
      <w:widowControl w:val="1"/>
      <w:spacing w:after="60" w:before="60" w:line="240" w:lineRule="auto"/>
      <w:ind w:firstLine="709"/>
      <w:jc w:val="both"/>
    </w:pPr>
    <w:rPr>
      <w:rFonts w:ascii="Times New Roman" w:hAnsi="Times New Roman"/>
      <w:sz w:val="24"/>
    </w:rPr>
  </w:style>
  <w:style w:styleId="Style_22_ch" w:type="character">
    <w:name w:val="ГОСТ_Текст"/>
    <w:link w:val="Style_22"/>
    <w:rPr>
      <w:rFonts w:ascii="Times New Roman" w:hAnsi="Times New Roman"/>
      <w:sz w:val="24"/>
    </w:rPr>
  </w:style>
  <w:style w:styleId="Style_28" w:type="paragraph">
    <w:name w:val="Знак концевой сноски1"/>
    <w:basedOn w:val="Style_10"/>
    <w:link w:val="Style_28_ch"/>
  </w:style>
  <w:style w:styleId="Style_28_ch" w:type="character">
    <w:name w:val="Знак концевой сноски1"/>
    <w:basedOn w:val="Style_10_ch"/>
    <w:link w:val="Style_28"/>
  </w:style>
  <w:style w:styleId="Style_29" w:type="paragraph">
    <w:name w:val="Balloon Text"/>
    <w:basedOn w:val="Style_5"/>
    <w:link w:val="Style_29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9_ch" w:type="character">
    <w:name w:val="Balloon Text"/>
    <w:basedOn w:val="Style_5_ch"/>
    <w:link w:val="Style_29"/>
    <w:rPr>
      <w:rFonts w:ascii="Tahoma" w:hAnsi="Tahoma"/>
      <w:sz w:val="16"/>
    </w:rPr>
  </w:style>
  <w:style w:styleId="Style_30" w:type="paragraph">
    <w:name w:val="_Титул_Москва год"/>
    <w:basedOn w:val="Style_5"/>
    <w:link w:val="Style_30_ch"/>
    <w:pPr>
      <w:widowControl w:val="0"/>
      <w:spacing w:after="0" w:line="360" w:lineRule="atLeast"/>
      <w:ind w:firstLine="567" w:left="284"/>
      <w:jc w:val="center"/>
    </w:pPr>
    <w:rPr>
      <w:rFonts w:ascii="Times New Roman" w:hAnsi="Times New Roman"/>
      <w:b w:val="1"/>
      <w:sz w:val="28"/>
    </w:rPr>
  </w:style>
  <w:style w:styleId="Style_30_ch" w:type="character">
    <w:name w:val="_Титул_Москва год"/>
    <w:basedOn w:val="Style_5_ch"/>
    <w:link w:val="Style_30"/>
    <w:rPr>
      <w:rFonts w:ascii="Times New Roman" w:hAnsi="Times New Roman"/>
      <w:b w:val="1"/>
      <w:sz w:val="28"/>
    </w:rPr>
  </w:style>
  <w:style w:styleId="Style_4" w:type="paragraph">
    <w:name w:val="heading 5"/>
    <w:basedOn w:val="Style_5"/>
    <w:next w:val="Style_5"/>
    <w:link w:val="Style_4_ch"/>
    <w:uiPriority w:val="9"/>
    <w:qFormat/>
    <w:pPr>
      <w:keepNext w:val="1"/>
      <w:keepLines w:val="1"/>
      <w:widowControl w:val="1"/>
      <w:spacing w:after="0" w:before="40"/>
      <w:ind/>
      <w:outlineLvl w:val="4"/>
    </w:pPr>
    <w:rPr>
      <w:rFonts w:asciiTheme="majorAscii" w:hAnsiTheme="majorHAnsi"/>
      <w:color w:themeColor="accent1" w:themeShade="BF" w:val="376092"/>
    </w:rPr>
  </w:style>
  <w:style w:styleId="Style_4_ch" w:type="character">
    <w:name w:val="heading 5"/>
    <w:basedOn w:val="Style_5_ch"/>
    <w:link w:val="Style_4"/>
    <w:rPr>
      <w:rFonts w:asciiTheme="majorAscii" w:hAnsiTheme="majorHAnsi"/>
      <w:color w:themeColor="accent1" w:themeShade="BF" w:val="376092"/>
    </w:rPr>
  </w:style>
  <w:style w:styleId="Style_17" w:type="paragraph">
    <w:name w:val="heading 1"/>
    <w:basedOn w:val="Style_5"/>
    <w:next w:val="Style_5"/>
    <w:link w:val="Style_17_ch"/>
    <w:uiPriority w:val="9"/>
    <w:qFormat/>
    <w:pPr>
      <w:keepNext w:val="1"/>
      <w:keepLines w:val="1"/>
      <w:widowControl w:val="1"/>
      <w:numPr>
        <w:numId w:val="5"/>
      </w:numPr>
      <w:spacing w:after="0" w:before="480"/>
      <w:ind/>
      <w:outlineLvl w:val="0"/>
    </w:pPr>
    <w:rPr>
      <w:rFonts w:asciiTheme="majorAscii" w:hAnsiTheme="majorHAnsi"/>
      <w:b w:val="1"/>
      <w:color w:themeColor="text1" w:val="000000"/>
      <w:sz w:val="28"/>
    </w:rPr>
  </w:style>
  <w:style w:styleId="Style_17_ch" w:type="character">
    <w:name w:val="heading 1"/>
    <w:basedOn w:val="Style_5_ch"/>
    <w:link w:val="Style_17"/>
    <w:rPr>
      <w:rFonts w:asciiTheme="majorAscii" w:hAnsiTheme="majorHAnsi"/>
      <w:b w:val="1"/>
      <w:color w:themeColor="text1" w:val="000000"/>
      <w:sz w:val="28"/>
    </w:rPr>
  </w:style>
  <w:style w:styleId="Style_31" w:type="paragraph">
    <w:link w:val="Style_31_ch"/>
    <w:semiHidden w:val="1"/>
    <w:unhideWhenUsed w:val="1"/>
    <w:pPr>
      <w:widowControl w:val="1"/>
      <w:spacing w:after="0" w:line="240" w:lineRule="auto"/>
      <w:ind/>
    </w:pPr>
  </w:style>
  <w:style w:styleId="Style_31_ch" w:type="character">
    <w:link w:val="Style_31"/>
    <w:semiHidden w:val="1"/>
    <w:unhideWhenUsed w:val="1"/>
  </w:style>
  <w:style w:styleId="Style_32" w:type="paragraph">
    <w:name w:val="Hyperlink"/>
    <w:link w:val="Style_32_ch"/>
    <w:rPr>
      <w:color w:val="0000FF"/>
      <w:u w:val="single"/>
    </w:rPr>
  </w:style>
  <w:style w:styleId="Style_32_ch" w:type="character">
    <w:name w:val="Hyperlink"/>
    <w:link w:val="Style_32"/>
    <w:rPr>
      <w:color w:val="0000FF"/>
      <w:u w:val="single"/>
    </w:rPr>
  </w:style>
  <w:style w:styleId="Style_33" w:type="paragraph">
    <w:name w:val="Footnote"/>
    <w:basedOn w:val="Style_5"/>
    <w:link w:val="Style_3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3_ch" w:type="character">
    <w:name w:val="Footnote"/>
    <w:basedOn w:val="Style_5_ch"/>
    <w:link w:val="Style_33"/>
    <w:rPr>
      <w:rFonts w:ascii="Times New Roman" w:hAnsi="Times New Roman"/>
      <w:sz w:val="24"/>
    </w:rPr>
  </w:style>
  <w:style w:styleId="Style_34" w:type="paragraph">
    <w:name w:val="toc 1"/>
    <w:basedOn w:val="Style_5"/>
    <w:next w:val="Style_5"/>
    <w:link w:val="Style_34_ch"/>
    <w:uiPriority w:val="39"/>
    <w:pPr>
      <w:widowControl w:val="1"/>
      <w:spacing w:after="100"/>
      <w:ind/>
    </w:pPr>
  </w:style>
  <w:style w:styleId="Style_34_ch" w:type="character">
    <w:name w:val="toc 1"/>
    <w:basedOn w:val="Style_5_ch"/>
    <w:link w:val="Style_34"/>
  </w:style>
  <w:style w:styleId="Style_35" w:type="paragraph">
    <w:name w:val="Default Paragraph Font"/>
    <w:link w:val="Style_35_ch"/>
  </w:style>
  <w:style w:styleId="Style_35_ch" w:type="character">
    <w:name w:val="Default Paragraph Font"/>
    <w:link w:val="Style_35"/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36" w:type="paragraph">
    <w:name w:val="List Paragraph"/>
    <w:basedOn w:val="Style_5"/>
    <w:link w:val="Style_36_ch"/>
    <w:pPr>
      <w:widowControl w:val="1"/>
      <w:spacing w:after="0" w:line="240" w:lineRule="auto"/>
      <w:ind w:left="720"/>
      <w:contextualSpacing w:val="1"/>
    </w:pPr>
    <w:rPr>
      <w:rFonts w:ascii="Times New Roman" w:hAnsi="Times New Roman"/>
      <w:sz w:val="24"/>
    </w:rPr>
  </w:style>
  <w:style w:styleId="Style_36_ch" w:type="character">
    <w:name w:val="List Paragraph"/>
    <w:basedOn w:val="Style_5_ch"/>
    <w:link w:val="Style_36"/>
    <w:rPr>
      <w:rFonts w:ascii="Times New Roman" w:hAnsi="Times New Roman"/>
      <w:sz w:val="24"/>
    </w:rPr>
  </w:style>
  <w:style w:styleId="Style_37" w:type="paragraph">
    <w:name w:val="Header and Footer"/>
    <w:link w:val="Style_37_ch"/>
    <w:pPr>
      <w:widowControl w:val="1"/>
      <w:spacing w:line="240" w:lineRule="auto"/>
      <w:ind/>
      <w:jc w:val="both"/>
    </w:pPr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38" w:type="paragraph">
    <w:name w:val="Гиперссылка1"/>
    <w:link w:val="Style_38_ch"/>
    <w:rPr>
      <w:color w:val="0000FF"/>
      <w:u w:val="single"/>
    </w:rPr>
  </w:style>
  <w:style w:styleId="Style_38_ch" w:type="character">
    <w:name w:val="Гиперссылка1"/>
    <w:link w:val="Style_38"/>
    <w:rPr>
      <w:color w:val="0000FF"/>
      <w:u w:val="single"/>
    </w:rPr>
  </w:style>
  <w:style w:styleId="Style_39" w:type="paragraph">
    <w:name w:val="caption"/>
    <w:basedOn w:val="Style_5"/>
    <w:next w:val="Style_5"/>
    <w:link w:val="Style_39_ch"/>
    <w:pPr>
      <w:widowControl w:val="1"/>
      <w:spacing w:line="240" w:lineRule="auto"/>
      <w:ind/>
    </w:pPr>
    <w:rPr>
      <w:b w:val="1"/>
      <w:color w:themeColor="accent1" w:val="4F81BD"/>
      <w:sz w:val="18"/>
    </w:rPr>
  </w:style>
  <w:style w:styleId="Style_39_ch" w:type="character">
    <w:name w:val="caption"/>
    <w:basedOn w:val="Style_5_ch"/>
    <w:link w:val="Style_39"/>
    <w:rPr>
      <w:b w:val="1"/>
      <w:color w:themeColor="accent1" w:val="4F81BD"/>
      <w:sz w:val="18"/>
    </w:rPr>
  </w:style>
  <w:style w:styleId="Style_40" w:type="paragraph">
    <w:name w:val="Титул"/>
    <w:basedOn w:val="Style_5"/>
    <w:link w:val="Style_40_ch"/>
    <w:pPr>
      <w:widowControl w:val="1"/>
      <w:spacing w:after="120" w:before="120" w:line="240" w:lineRule="auto"/>
      <w:ind/>
      <w:jc w:val="center"/>
    </w:pPr>
    <w:rPr>
      <w:rFonts w:ascii="Times New Roman" w:hAnsi="Times New Roman"/>
      <w:sz w:val="28"/>
    </w:rPr>
  </w:style>
  <w:style w:styleId="Style_40_ch" w:type="character">
    <w:name w:val="Титул"/>
    <w:basedOn w:val="Style_5_ch"/>
    <w:link w:val="Style_40"/>
    <w:rPr>
      <w:rFonts w:ascii="Times New Roman" w:hAnsi="Times New Roman"/>
      <w:sz w:val="28"/>
    </w:rPr>
  </w:style>
  <w:style w:styleId="Style_41" w:type="paragraph">
    <w:name w:val="toc 9"/>
    <w:next w:val="Style_5"/>
    <w:link w:val="Style_41_ch"/>
    <w:uiPriority w:val="39"/>
    <w:pPr>
      <w:widowControl w:val="1"/>
      <w:ind w:left="1600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42" w:type="paragraph">
    <w:name w:val="annotation text"/>
    <w:basedOn w:val="Style_5"/>
    <w:link w:val="Style_42_ch"/>
    <w:pPr>
      <w:widowControl w:val="1"/>
      <w:spacing w:line="240" w:lineRule="auto"/>
      <w:ind/>
    </w:pPr>
    <w:rPr>
      <w:sz w:val="20"/>
    </w:rPr>
  </w:style>
  <w:style w:styleId="Style_42_ch" w:type="character">
    <w:name w:val="annotation text"/>
    <w:basedOn w:val="Style_5_ch"/>
    <w:link w:val="Style_42"/>
    <w:rPr>
      <w:sz w:val="20"/>
    </w:rPr>
  </w:style>
  <w:style w:styleId="Style_43" w:type="paragraph">
    <w:name w:val="toc 8"/>
    <w:next w:val="Style_5"/>
    <w:link w:val="Style_43_ch"/>
    <w:uiPriority w:val="39"/>
    <w:pPr>
      <w:widowControl w:val="1"/>
      <w:ind w:left="1400"/>
    </w:pPr>
    <w:rPr>
      <w:rFonts w:ascii="XO Thames" w:hAnsi="XO Thames"/>
      <w:sz w:val="28"/>
    </w:rPr>
  </w:style>
  <w:style w:styleId="Style_43_ch" w:type="character">
    <w:name w:val="toc 8"/>
    <w:link w:val="Style_43"/>
    <w:rPr>
      <w:rFonts w:ascii="XO Thames" w:hAnsi="XO Thames"/>
      <w:sz w:val="28"/>
    </w:rPr>
  </w:style>
  <w:style w:styleId="Style_44" w:type="paragraph">
    <w:name w:val="apple-converted-space"/>
    <w:basedOn w:val="Style_10"/>
    <w:link w:val="Style_44_ch"/>
  </w:style>
  <w:style w:styleId="Style_44_ch" w:type="character">
    <w:name w:val="apple-converted-space"/>
    <w:basedOn w:val="Style_10_ch"/>
    <w:link w:val="Style_44"/>
  </w:style>
  <w:style w:styleId="Style_45" w:type="paragraph">
    <w:name w:val="Знак примечания1"/>
    <w:basedOn w:val="Style_10"/>
    <w:link w:val="Style_45_ch"/>
    <w:rPr>
      <w:sz w:val="16"/>
    </w:rPr>
  </w:style>
  <w:style w:styleId="Style_45_ch" w:type="character">
    <w:name w:val="Знак примечания1"/>
    <w:basedOn w:val="Style_10_ch"/>
    <w:link w:val="Style_45"/>
    <w:rPr>
      <w:sz w:val="16"/>
    </w:rPr>
  </w:style>
  <w:style w:styleId="Style_46" w:type="paragraph">
    <w:name w:val="ГОСТ_Список_маркир_2 уровень"/>
    <w:basedOn w:val="Style_22"/>
    <w:link w:val="Style_46_ch"/>
    <w:pPr>
      <w:widowControl w:val="1"/>
      <w:numPr>
        <w:ilvl w:val="1"/>
        <w:numId w:val="4"/>
      </w:numPr>
      <w:tabs>
        <w:tab w:leader="none" w:pos="1134" w:val="left"/>
      </w:tabs>
      <w:spacing w:before="120" w:line="276" w:lineRule="auto"/>
      <w:ind/>
      <w:contextualSpacing w:val="1"/>
    </w:pPr>
  </w:style>
  <w:style w:styleId="Style_46_ch" w:type="character">
    <w:name w:val="ГОСТ_Список_маркир_2 уровень"/>
    <w:basedOn w:val="Style_22_ch"/>
    <w:link w:val="Style_46"/>
  </w:style>
  <w:style w:styleId="Style_1" w:type="paragraph">
    <w:name w:val="No Spacing"/>
    <w:link w:val="Style_1_ch"/>
    <w:pPr>
      <w:widowControl w:val="1"/>
      <w:spacing w:after="0" w:line="240" w:lineRule="auto"/>
      <w:ind/>
    </w:pPr>
  </w:style>
  <w:style w:styleId="Style_1_ch" w:type="character">
    <w:name w:val="No Spacing"/>
    <w:link w:val="Style_1"/>
  </w:style>
  <w:style w:styleId="Style_47" w:type="paragraph">
    <w:name w:val="toc 5"/>
    <w:next w:val="Style_5"/>
    <w:link w:val="Style_47_ch"/>
    <w:uiPriority w:val="39"/>
    <w:pPr>
      <w:widowControl w:val="1"/>
      <w:ind w:left="800"/>
    </w:pPr>
    <w:rPr>
      <w:rFonts w:ascii="XO Thames" w:hAnsi="XO Thames"/>
      <w:sz w:val="28"/>
    </w:rPr>
  </w:style>
  <w:style w:styleId="Style_47_ch" w:type="character">
    <w:name w:val="toc 5"/>
    <w:link w:val="Style_47"/>
    <w:rPr>
      <w:rFonts w:ascii="XO Thames" w:hAnsi="XO Thames"/>
      <w:sz w:val="28"/>
    </w:rPr>
  </w:style>
  <w:style w:styleId="Style_48" w:type="paragraph">
    <w:name w:val="Просмотренная гиперссылка1"/>
    <w:basedOn w:val="Style_10"/>
    <w:link w:val="Style_48_ch"/>
    <w:rPr>
      <w:color w:themeColor="followedHyperlink" w:val="800080"/>
      <w:u w:val="single"/>
    </w:rPr>
  </w:style>
  <w:style w:styleId="Style_48_ch" w:type="character">
    <w:name w:val="Просмотренная гиперссылка1"/>
    <w:basedOn w:val="Style_10_ch"/>
    <w:link w:val="Style_48"/>
    <w:rPr>
      <w:color w:themeColor="followedHyperlink" w:val="800080"/>
      <w:u w:val="single"/>
    </w:rPr>
  </w:style>
  <w:style w:styleId="Style_49" w:type="paragraph">
    <w:name w:val="footer"/>
    <w:basedOn w:val="Style_5"/>
    <w:link w:val="Style_4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49_ch" w:type="character">
    <w:name w:val="footer"/>
    <w:basedOn w:val="Style_5_ch"/>
    <w:link w:val="Style_49"/>
  </w:style>
  <w:style w:styleId="Style_50" w:type="paragraph">
    <w:name w:val="Subtitle"/>
    <w:next w:val="Style_5"/>
    <w:link w:val="Style_5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50_ch" w:type="character">
    <w:name w:val="Subtitle"/>
    <w:link w:val="Style_50"/>
    <w:rPr>
      <w:rFonts w:ascii="XO Thames" w:hAnsi="XO Thames"/>
      <w:i w:val="1"/>
      <w:sz w:val="24"/>
    </w:rPr>
  </w:style>
  <w:style w:styleId="Style_51" w:type="paragraph">
    <w:name w:val="ГОСТ_Список_маркир_1 уровень"/>
    <w:basedOn w:val="Style_22"/>
    <w:link w:val="Style_51_ch"/>
    <w:pPr>
      <w:widowControl w:val="1"/>
      <w:numPr>
        <w:numId w:val="4"/>
      </w:numPr>
      <w:spacing w:after="0" w:before="0" w:line="276" w:lineRule="auto"/>
      <w:ind/>
      <w:contextualSpacing w:val="1"/>
    </w:pPr>
  </w:style>
  <w:style w:styleId="Style_51_ch" w:type="character">
    <w:name w:val="ГОСТ_Список_маркир_1 уровень"/>
    <w:basedOn w:val="Style_22_ch"/>
    <w:link w:val="Style_51"/>
  </w:style>
  <w:style w:styleId="Style_52" w:type="paragraph">
    <w:name w:val="Title_Pages"/>
    <w:basedOn w:val="Style_5"/>
    <w:link w:val="Style_52_ch"/>
    <w:pPr>
      <w:widowControl w:val="1"/>
      <w:spacing w:after="0" w:before="200" w:line="240" w:lineRule="auto"/>
      <w:ind/>
      <w:jc w:val="center"/>
    </w:pPr>
    <w:rPr>
      <w:rFonts w:ascii="Times New Roman" w:hAnsi="Times New Roman"/>
      <w:sz w:val="20"/>
    </w:rPr>
  </w:style>
  <w:style w:styleId="Style_52_ch" w:type="character">
    <w:name w:val="Title_Pages"/>
    <w:basedOn w:val="Style_5_ch"/>
    <w:link w:val="Style_52"/>
    <w:rPr>
      <w:rFonts w:ascii="Times New Roman" w:hAnsi="Times New Roman"/>
      <w:sz w:val="20"/>
    </w:rPr>
  </w:style>
  <w:style w:styleId="Style_53" w:type="paragraph">
    <w:name w:val="Title"/>
    <w:next w:val="Style_5"/>
    <w:link w:val="Style_5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3_ch" w:type="character">
    <w:name w:val="Title"/>
    <w:link w:val="Style_53"/>
    <w:rPr>
      <w:rFonts w:ascii="XO Thames" w:hAnsi="XO Thames"/>
      <w:b w:val="1"/>
      <w:caps w:val="1"/>
      <w:sz w:val="40"/>
    </w:rPr>
  </w:style>
  <w:style w:styleId="Style_54" w:type="paragraph">
    <w:name w:val="heading 4"/>
    <w:next w:val="Style_5"/>
    <w:link w:val="Style_5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4_ch" w:type="character">
    <w:name w:val="heading 4"/>
    <w:link w:val="Style_54"/>
    <w:rPr>
      <w:rFonts w:ascii="XO Thames" w:hAnsi="XO Thames"/>
      <w:b w:val="1"/>
      <w:sz w:val="24"/>
    </w:rPr>
  </w:style>
  <w:style w:styleId="Style_55" w:type="paragraph">
    <w:name w:val="annotation subject"/>
    <w:basedOn w:val="Style_42"/>
    <w:next w:val="Style_42"/>
    <w:link w:val="Style_55_ch"/>
    <w:rPr>
      <w:b w:val="1"/>
    </w:rPr>
  </w:style>
  <w:style w:styleId="Style_55_ch" w:type="character">
    <w:name w:val="annotation subject"/>
    <w:basedOn w:val="Style_42_ch"/>
    <w:link w:val="Style_55"/>
    <w:rPr>
      <w:b w:val="1"/>
    </w:rPr>
  </w:style>
  <w:style w:styleId="Style_56" w:type="paragraph">
    <w:name w:val="heading 2"/>
    <w:basedOn w:val="Style_5"/>
    <w:next w:val="Style_5"/>
    <w:link w:val="Style_56_ch"/>
    <w:uiPriority w:val="9"/>
    <w:qFormat/>
    <w:pPr>
      <w:keepNext w:val="1"/>
      <w:keepLines w:val="1"/>
      <w:widowControl w:val="1"/>
      <w:numPr>
        <w:numId w:val="6"/>
      </w:numPr>
      <w:tabs>
        <w:tab w:leader="none" w:pos="851" w:val="left"/>
      </w:tabs>
      <w:spacing w:after="0" w:before="200"/>
      <w:ind w:hanging="720" w:left="720"/>
      <w:outlineLvl w:val="1"/>
    </w:pPr>
    <w:rPr>
      <w:rFonts w:ascii="Times New Roman" w:hAnsi="Times New Roman"/>
      <w:b w:val="1"/>
      <w:color w:themeColor="text1" w:val="000000"/>
      <w:sz w:val="26"/>
    </w:rPr>
  </w:style>
  <w:style w:styleId="Style_56_ch" w:type="character">
    <w:name w:val="heading 2"/>
    <w:basedOn w:val="Style_5_ch"/>
    <w:link w:val="Style_56"/>
    <w:rPr>
      <w:rFonts w:ascii="Times New Roman" w:hAnsi="Times New Roman"/>
      <w:b w:val="1"/>
      <w:color w:themeColor="text1" w:val="000000"/>
      <w:sz w:val="2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2026-05-22T00:19:00Z</dcterms:created>
  <dcterms:modified xsi:type="dcterms:W3CDTF">2026-06-09T07:00:31Z</dcterms:modified>
</cp:coreProperties>
</file>