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76" w:lineRule="auto"/>
        <w:ind/>
        <w:jc w:val="right"/>
        <w:rPr>
          <w:sz w:val="28"/>
        </w:rPr>
      </w:pPr>
      <w:r>
        <w:rPr>
          <w:sz w:val="28"/>
        </w:rPr>
        <w:t>Проект</w:t>
      </w:r>
    </w:p>
    <w:p w14:paraId="02000000">
      <w:pPr>
        <w:widowControl w:val="1"/>
        <w:spacing w:line="276" w:lineRule="auto"/>
        <w:ind/>
        <w:rPr>
          <w:b w:val="1"/>
          <w:sz w:val="28"/>
        </w:rPr>
      </w:pPr>
    </w:p>
    <w:p w14:paraId="03000000">
      <w:pPr>
        <w:widowControl w:val="1"/>
        <w:spacing w:line="276" w:lineRule="auto"/>
        <w:ind/>
        <w:rPr>
          <w:b w:val="1"/>
          <w:sz w:val="28"/>
        </w:rPr>
      </w:pPr>
    </w:p>
    <w:p w14:paraId="04000000">
      <w:pPr>
        <w:widowControl w:val="1"/>
        <w:spacing w:line="276" w:lineRule="auto"/>
        <w:ind/>
        <w:jc w:val="center"/>
        <w:rPr>
          <w:sz w:val="28"/>
        </w:rPr>
      </w:pPr>
      <w:r>
        <w:rPr>
          <w:sz w:val="28"/>
        </w:rPr>
        <w:t>ПРАВИТЕЛЬСТВО РЕСПУБЛИКИ САХА (ЯКУТИЯ)</w:t>
      </w:r>
    </w:p>
    <w:p w14:paraId="05000000">
      <w:pPr>
        <w:widowControl w:val="1"/>
        <w:spacing w:line="276" w:lineRule="auto"/>
        <w:ind/>
        <w:jc w:val="center"/>
        <w:rPr>
          <w:sz w:val="28"/>
        </w:rPr>
      </w:pPr>
    </w:p>
    <w:p w14:paraId="06000000">
      <w:pPr>
        <w:widowControl w:val="1"/>
        <w:spacing w:line="276" w:lineRule="auto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7000000">
      <w:pPr>
        <w:widowControl w:val="1"/>
        <w:spacing w:line="276" w:lineRule="auto"/>
        <w:ind/>
        <w:rPr>
          <w:b w:val="1"/>
          <w:sz w:val="28"/>
        </w:rPr>
      </w:pPr>
    </w:p>
    <w:p w14:paraId="08000000">
      <w:pPr>
        <w:widowControl w:val="1"/>
        <w:ind/>
        <w:jc w:val="center"/>
        <w:rPr>
          <w:sz w:val="28"/>
        </w:rPr>
      </w:pPr>
      <w:r>
        <w:rPr>
          <w:sz w:val="28"/>
        </w:rPr>
        <w:t>от «___</w:t>
      </w:r>
      <w:r>
        <w:rPr>
          <w:sz w:val="28"/>
        </w:rPr>
        <w:t>_»_</w:t>
      </w:r>
      <w:r>
        <w:rPr>
          <w:sz w:val="28"/>
        </w:rPr>
        <w:t>__________________2026 г. №_____</w:t>
      </w:r>
    </w:p>
    <w:p w14:paraId="09000000">
      <w:pPr>
        <w:widowControl w:val="1"/>
        <w:ind/>
        <w:jc w:val="center"/>
      </w:pPr>
    </w:p>
    <w:p w14:paraId="0A000000">
      <w:pPr>
        <w:widowControl w:val="1"/>
        <w:ind/>
        <w:jc w:val="center"/>
      </w:pPr>
    </w:p>
    <w:p w14:paraId="0B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Об утверждении Методики оценки </w:t>
      </w:r>
      <w:r>
        <w:rPr>
          <w:b w:val="1"/>
          <w:sz w:val="28"/>
        </w:rPr>
        <w:t>эффективности</w:t>
      </w:r>
    </w:p>
    <w:p w14:paraId="0C000000">
      <w:pPr>
        <w:widowControl w:val="1"/>
        <w:spacing w:line="276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использования иностранной рабочей силы в Республике Саха (Якутия)</w:t>
      </w:r>
    </w:p>
    <w:p w14:paraId="0D000000">
      <w:pPr>
        <w:widowControl w:val="1"/>
        <w:spacing w:line="360" w:lineRule="auto"/>
        <w:ind/>
        <w:jc w:val="center"/>
        <w:rPr>
          <w:b w:val="1"/>
          <w:sz w:val="28"/>
        </w:rPr>
      </w:pPr>
    </w:p>
    <w:p w14:paraId="0E000000">
      <w:pPr>
        <w:widowControl w:val="1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соответствии с пунктом 2 статьи 18.1 Федерального закона от 25.07.2002 года № 115-ФЗ «</w:t>
      </w:r>
      <w:r>
        <w:rPr>
          <w:sz w:val="28"/>
        </w:rPr>
        <w:t>О правовом положении иностранных граждан в Российской Федерации»</w:t>
      </w:r>
      <w:r>
        <w:rPr>
          <w:sz w:val="28"/>
        </w:rPr>
        <w:t xml:space="preserve">, Правительство Республики Саха (Якутия) </w:t>
      </w:r>
      <w:r>
        <w:rPr>
          <w:spacing w:val="54"/>
          <w:sz w:val="28"/>
        </w:rPr>
        <w:t>постановляет</w:t>
      </w:r>
      <w:r>
        <w:rPr>
          <w:sz w:val="28"/>
        </w:rPr>
        <w:t>:</w:t>
      </w:r>
    </w:p>
    <w:p w14:paraId="0F000000">
      <w:pPr>
        <w:widowControl w:val="1"/>
        <w:numPr>
          <w:ilvl w:val="0"/>
          <w:numId w:val="1"/>
        </w:num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Утвердить Методику оценки эффективности использования иностранной рабочей силы в Республике Саха (Якутия) (далее - Методика) согласно приложению к настоящему постановлению.</w:t>
      </w:r>
    </w:p>
    <w:p w14:paraId="10000000">
      <w:pPr>
        <w:widowControl w:val="1"/>
        <w:numPr>
          <w:ilvl w:val="0"/>
          <w:numId w:val="1"/>
        </w:num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Поручить Министерству экономики Республики Саха (Якутия), Министерству образования и науки Республики Саха (Якутия), Министерству здравоохранения Республики Саха (Якутия) и рекомендовать Министерству внутренних дел по Республике Саха (Якутия), </w:t>
      </w:r>
      <w:r>
        <w:rPr>
          <w:sz w:val="28"/>
        </w:rPr>
        <w:t xml:space="preserve">Управлению Федеральной налоговой службы по Республике Саха (Якутия), </w:t>
      </w:r>
      <w:r>
        <w:rPr>
          <w:sz w:val="28"/>
        </w:rPr>
        <w:t xml:space="preserve">Территориальному органу Федеральной службы государственной статистики по Республике Саха (Якутия) </w:t>
      </w:r>
      <w:r>
        <w:rPr>
          <w:sz w:val="28"/>
        </w:rPr>
        <w:t>ежегодно в срок до 30 июля</w:t>
      </w:r>
      <w:r>
        <w:rPr>
          <w:sz w:val="28"/>
        </w:rPr>
        <w:t xml:space="preserve"> предоставлять информацию Государственному комитету Республики Саха (Якутия) по занятости населения в соответствии с Методикой.</w:t>
      </w:r>
    </w:p>
    <w:p w14:paraId="11000000">
      <w:pPr>
        <w:widowControl w:val="1"/>
        <w:numPr>
          <w:ilvl w:val="0"/>
          <w:numId w:val="1"/>
        </w:num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Государственному комитету Республики Саха (Якутия) по занятости населения</w:t>
      </w:r>
      <w:r>
        <w:rPr>
          <w:sz w:val="28"/>
        </w:rPr>
        <w:t xml:space="preserve"> ежегодно, в срок до</w:t>
      </w:r>
      <w:r>
        <w:rPr>
          <w:sz w:val="28"/>
        </w:rPr>
        <w:t xml:space="preserve"> </w:t>
      </w:r>
      <w:r>
        <w:rPr>
          <w:sz w:val="28"/>
        </w:rPr>
        <w:t>1 сентября,</w:t>
      </w:r>
      <w:r>
        <w:rPr>
          <w:sz w:val="28"/>
        </w:rPr>
        <w:t xml:space="preserve"> направлять </w:t>
      </w:r>
      <w:r>
        <w:rPr>
          <w:sz w:val="28"/>
        </w:rPr>
        <w:t>в Министерство труда</w:t>
      </w:r>
      <w:r>
        <w:rPr>
          <w:sz w:val="28"/>
        </w:rPr>
        <w:t xml:space="preserve"> и социальной защиты Российской Федерации</w:t>
      </w:r>
      <w:r>
        <w:rPr>
          <w:sz w:val="28"/>
        </w:rPr>
        <w:t xml:space="preserve"> результаты оценки эффективности использования иностранной рабочей силы за отчетный год в соответствии с утвержденной Методикой</w:t>
      </w:r>
      <w:r>
        <w:rPr>
          <w:sz w:val="28"/>
        </w:rPr>
        <w:t>.</w:t>
      </w:r>
    </w:p>
    <w:p w14:paraId="12000000">
      <w:pPr>
        <w:widowControl w:val="1"/>
        <w:numPr>
          <w:ilvl w:val="0"/>
          <w:numId w:val="1"/>
        </w:num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Контроль исполнения настоящего постановления возложить на заместителя Председателя Правительства Республики Саха (Якутия) Степанова Г.М</w:t>
      </w:r>
      <w:r>
        <w:rPr>
          <w:sz w:val="28"/>
        </w:rPr>
        <w:t>.</w:t>
      </w:r>
    </w:p>
    <w:p w14:paraId="13000000">
      <w:pPr>
        <w:widowControl w:val="1"/>
        <w:numPr>
          <w:ilvl w:val="0"/>
          <w:numId w:val="1"/>
        </w:num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Опубликовать настоящее постановление в официальных средствах массовой информации.</w:t>
      </w:r>
    </w:p>
    <w:p w14:paraId="14000000">
      <w:pPr>
        <w:widowControl w:val="1"/>
        <w:spacing w:line="360" w:lineRule="auto"/>
        <w:ind w:firstLine="709"/>
        <w:jc w:val="both"/>
        <w:rPr>
          <w:sz w:val="28"/>
        </w:rPr>
      </w:pPr>
    </w:p>
    <w:p w14:paraId="15000000">
      <w:pPr>
        <w:widowControl w:val="1"/>
        <w:ind w:left="709"/>
        <w:jc w:val="both"/>
        <w:rPr>
          <w:sz w:val="28"/>
        </w:rPr>
      </w:pPr>
    </w:p>
    <w:p w14:paraId="16000000">
      <w:pPr>
        <w:widowControl w:val="1"/>
        <w:ind w:left="709"/>
        <w:jc w:val="both"/>
        <w:rPr>
          <w:sz w:val="28"/>
        </w:rPr>
      </w:pPr>
      <w:r>
        <w:rPr>
          <w:sz w:val="28"/>
        </w:rPr>
        <w:t>Председатель Правительства</w:t>
      </w:r>
    </w:p>
    <w:p w14:paraId="17000000">
      <w:pPr>
        <w:widowControl w:val="1"/>
        <w:ind w:left="709"/>
        <w:jc w:val="both"/>
        <w:rPr>
          <w:sz w:val="28"/>
        </w:rPr>
      </w:pPr>
      <w:r>
        <w:rPr>
          <w:sz w:val="28"/>
        </w:rPr>
        <w:t>Республики Саха (Якутия)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>К.Е. Бычков</w:t>
      </w:r>
    </w:p>
    <w:p w14:paraId="18000000">
      <w:pPr>
        <w:widowControl w:val="1"/>
        <w:ind w:left="709"/>
        <w:jc w:val="both"/>
        <w:rPr>
          <w:sz w:val="28"/>
        </w:rPr>
      </w:pPr>
    </w:p>
    <w:p w14:paraId="19000000">
      <w:pPr>
        <w:widowControl w:val="1"/>
        <w:ind w:left="709"/>
        <w:jc w:val="both"/>
        <w:rPr>
          <w:sz w:val="28"/>
        </w:rPr>
      </w:pPr>
      <w:r>
        <w:rPr>
          <w:sz w:val="28"/>
        </w:rPr>
        <w:br w:type="page"/>
      </w:r>
    </w:p>
    <w:sectPr>
      <w:pgSz w:h="16838" w:orient="portrait" w:w="11906"/>
      <w:pgMar w:bottom="1134" w:footer="709" w:gutter="0" w:header="709" w:left="1418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tab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4"/>
    </w:rPr>
  </w:style>
  <w:style w:default="1" w:styleId="Style_1_ch" w:type="character">
    <w:name w:val="Normal"/>
    <w:link w:val="Style_1"/>
    <w:rPr>
      <w:sz w:val="24"/>
    </w:rPr>
  </w:style>
  <w:style w:styleId="Style_2" w:type="paragraph">
    <w:name w:val="Гиперссылка1"/>
    <w:link w:val="Style_2_ch"/>
    <w:rPr>
      <w:color w:val="0000FF"/>
      <w:u w:val="single"/>
    </w:rPr>
  </w:style>
  <w:style w:styleId="Style_2_ch" w:type="character">
    <w:name w:val="Гиперссылка1"/>
    <w:link w:val="Style_2"/>
    <w:rPr>
      <w:color w:val="0000FF"/>
      <w:u w:val="single"/>
    </w:rPr>
  </w:style>
  <w:style w:styleId="Style_3" w:type="paragraph">
    <w:name w:val="Balloon Text"/>
    <w:basedOn w:val="Style_1"/>
    <w:link w:val="Style_3_ch"/>
    <w:rPr>
      <w:rFonts w:ascii="Tahoma" w:hAnsi="Tahoma"/>
      <w:sz w:val="16"/>
    </w:rPr>
  </w:style>
  <w:style w:styleId="Style_3_ch" w:type="character">
    <w:name w:val="Balloon Text"/>
    <w:basedOn w:val="Style_1_ch"/>
    <w:link w:val="Style_3"/>
    <w:rPr>
      <w:rFonts w:ascii="Tahoma" w:hAnsi="Tahoma"/>
      <w:sz w:val="16"/>
    </w:rPr>
  </w:style>
  <w:style w:styleId="Style_4" w:type="paragraph">
    <w:name w:val="toc 2"/>
    <w:next w:val="Style_1"/>
    <w:link w:val="Style_4_ch"/>
    <w:uiPriority w:val="39"/>
    <w:pPr>
      <w:widowControl w:val="1"/>
      <w:ind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1"/>
    <w:link w:val="Style_5_ch"/>
    <w:uiPriority w:val="39"/>
    <w:pPr>
      <w:widowControl w:val="1"/>
      <w:ind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Обычный1"/>
    <w:link w:val="Style_6_ch"/>
    <w:rPr>
      <w:sz w:val="24"/>
    </w:rPr>
  </w:style>
  <w:style w:styleId="Style_6_ch" w:type="character">
    <w:name w:val="Обычный1"/>
    <w:link w:val="Style_6"/>
    <w:rPr>
      <w:sz w:val="24"/>
    </w:rPr>
  </w:style>
  <w:style w:styleId="Style_7" w:type="paragraph">
    <w:name w:val="toc 6"/>
    <w:next w:val="Style_1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1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Основной шрифт абзаца1"/>
    <w:link w:val="Style_9_ch"/>
  </w:style>
  <w:style w:styleId="Style_9_ch" w:type="character">
    <w:name w:val="Основной шрифт абзаца1"/>
    <w:link w:val="Style_9"/>
  </w:style>
  <w:style w:styleId="Style_10" w:type="paragraph">
    <w:name w:val="Endnote"/>
    <w:link w:val="Style_10_ch"/>
    <w:pPr>
      <w:widowControl w:val="1"/>
      <w:ind w:firstLine="851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1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Подраздел"/>
    <w:basedOn w:val="Style_1"/>
    <w:link w:val="Style_12_ch"/>
    <w:pPr>
      <w:widowControl w:val="1"/>
      <w:ind/>
      <w:jc w:val="center"/>
    </w:pPr>
    <w:rPr>
      <w:b w:val="1"/>
    </w:rPr>
  </w:style>
  <w:style w:styleId="Style_12_ch" w:type="character">
    <w:name w:val="Подраздел"/>
    <w:basedOn w:val="Style_1_ch"/>
    <w:link w:val="Style_12"/>
    <w:rPr>
      <w:b w:val="1"/>
    </w:rPr>
  </w:style>
  <w:style w:styleId="Style_13" w:type="paragraph">
    <w:name w:val="toc 3"/>
    <w:next w:val="Style_1"/>
    <w:link w:val="Style_13_ch"/>
    <w:uiPriority w:val="39"/>
    <w:pPr>
      <w:widowControl w:val="1"/>
      <w:ind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1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1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Основной шрифт абзаца1"/>
    <w:link w:val="Style_18_ch"/>
  </w:style>
  <w:style w:styleId="Style_18_ch" w:type="character">
    <w:name w:val="Основной шрифт абзаца1"/>
    <w:link w:val="Style_18"/>
  </w:style>
  <w:style w:styleId="Style_19" w:type="paragraph">
    <w:name w:val="toc 1"/>
    <w:next w:val="Style_1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ind/>
      <w:jc w:val="both"/>
    </w:pPr>
    <w:rPr>
      <w:rFonts w:ascii="XO Thames" w:hAnsi="XO Thames"/>
    </w:rPr>
  </w:style>
  <w:style w:styleId="Style_20_ch" w:type="character">
    <w:name w:val="Header and Footer"/>
    <w:link w:val="Style_20"/>
    <w:rPr>
      <w:rFonts w:ascii="XO Thames" w:hAnsi="XO Thames"/>
    </w:rPr>
  </w:style>
  <w:style w:styleId="Style_21" w:type="paragraph">
    <w:name w:val="toc 9"/>
    <w:next w:val="Style_1"/>
    <w:link w:val="Style_21_ch"/>
    <w:uiPriority w:val="39"/>
    <w:pPr>
      <w:widowControl w:val="1"/>
      <w:ind w:left="1600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ConsPlusNormal"/>
    <w:link w:val="Style_23_ch"/>
    <w:rPr>
      <w:rFonts w:ascii="Arial" w:hAnsi="Arial"/>
    </w:rPr>
  </w:style>
  <w:style w:styleId="Style_23_ch" w:type="character">
    <w:name w:val="ConsPlusNormal"/>
    <w:link w:val="Style_23"/>
    <w:rPr>
      <w:rFonts w:ascii="Arial" w:hAnsi="Arial"/>
    </w:rPr>
  </w:style>
  <w:style w:styleId="Style_24" w:type="paragraph">
    <w:name w:val="toc 8"/>
    <w:next w:val="Style_1"/>
    <w:link w:val="Style_24_ch"/>
    <w:uiPriority w:val="39"/>
    <w:pPr>
      <w:widowControl w:val="1"/>
      <w:ind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1"/>
    <w:link w:val="Style_25_ch"/>
    <w:uiPriority w:val="39"/>
    <w:pPr>
      <w:widowControl w:val="1"/>
      <w:ind w:left="800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1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ConsPlusNonformat"/>
    <w:link w:val="Style_27_ch"/>
    <w:pPr>
      <w:widowControl w:val="1"/>
      <w:ind/>
      <w:jc w:val="center"/>
    </w:pPr>
    <w:rPr>
      <w:rFonts w:ascii="Courier New" w:hAnsi="Courier New"/>
    </w:rPr>
  </w:style>
  <w:style w:styleId="Style_27_ch" w:type="character">
    <w:name w:val="ConsPlusNonformat"/>
    <w:link w:val="Style_27"/>
    <w:rPr>
      <w:rFonts w:ascii="Courier New" w:hAnsi="Courier New"/>
    </w:rPr>
  </w:style>
  <w:style w:styleId="Style_28" w:type="paragraph">
    <w:name w:val="Title"/>
    <w:next w:val="Style_1"/>
    <w:link w:val="Style_2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1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1"/>
    <w:link w:val="Style_30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Гиперссылка2"/>
    <w:link w:val="Style_31_ch"/>
    <w:rPr>
      <w:color w:val="0000FF"/>
      <w:u w:val="single"/>
    </w:rPr>
  </w:style>
  <w:style w:styleId="Style_31_ch" w:type="character">
    <w:name w:val="Гиперссылка2"/>
    <w:link w:val="Style_31"/>
    <w:rPr>
      <w:color w:val="0000FF"/>
      <w:u w:val="single"/>
    </w:rPr>
  </w:style>
  <w:style w:styleId="Style_32" w:type="paragraph">
    <w:name w:val="Обычный1"/>
    <w:link w:val="Style_32_ch"/>
    <w:rPr>
      <w:sz w:val="24"/>
    </w:rPr>
  </w:style>
  <w:style w:styleId="Style_32_ch" w:type="character">
    <w:name w:val="Обычный1"/>
    <w:link w:val="Style_32"/>
    <w:rPr>
      <w:sz w:val="24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2026-07-28T06:54:49Z</dcterms:created>
  <dcterms:modified xsi:type="dcterms:W3CDTF">2026-07-28T07:24:51Z</dcterms:modified>
</cp:coreProperties>
</file>