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5000000">
      <w:pPr>
        <w:pStyle w:val="Style_3"/>
        <w:widowControl w:val="1"/>
        <w:spacing w:after="0" w:before="0"/>
        <w:ind w:firstLine="0"/>
        <w:jc w:val="right"/>
        <w:rPr>
          <w:b w:val="0"/>
        </w:rPr>
      </w:pPr>
      <w:r>
        <w:rPr>
          <w:b w:val="0"/>
        </w:rPr>
        <w:t>УТВЕРЖДЕНА</w:t>
      </w:r>
    </w:p>
    <w:p w14:paraId="06000000">
      <w:pPr>
        <w:pStyle w:val="Style_3"/>
        <w:widowControl w:val="1"/>
        <w:spacing w:after="0" w:before="0"/>
        <w:ind w:firstLine="0"/>
        <w:jc w:val="right"/>
        <w:rPr>
          <w:b w:val="0"/>
        </w:rPr>
      </w:pPr>
      <w:r>
        <w:rPr>
          <w:b w:val="0"/>
        </w:rPr>
        <w:t>постановлением Правительства</w:t>
      </w:r>
    </w:p>
    <w:p w14:paraId="07000000">
      <w:pPr>
        <w:pStyle w:val="Style_3"/>
        <w:widowControl w:val="1"/>
        <w:spacing w:after="0" w:before="0"/>
        <w:ind w:firstLine="0"/>
        <w:jc w:val="right"/>
        <w:rPr>
          <w:b w:val="0"/>
        </w:rPr>
      </w:pPr>
      <w:r>
        <w:rPr>
          <w:b w:val="0"/>
        </w:rPr>
        <w:t>Республики Саха (Якутия)</w:t>
      </w:r>
    </w:p>
    <w:p w14:paraId="08000000">
      <w:pPr>
        <w:pStyle w:val="Style_3"/>
        <w:widowControl w:val="1"/>
        <w:spacing w:after="0" w:before="0"/>
        <w:ind w:firstLine="0"/>
        <w:jc w:val="right"/>
        <w:rPr>
          <w:b w:val="0"/>
        </w:rPr>
      </w:pPr>
      <w:r>
        <w:rPr>
          <w:b w:val="0"/>
        </w:rPr>
        <w:t>от ___ июня 2026 года № ____</w:t>
      </w:r>
    </w:p>
    <w:p w14:paraId="09000000">
      <w:pPr>
        <w:pStyle w:val="Style_3"/>
        <w:rPr>
          <w:b w:val="0"/>
        </w:rPr>
      </w:pPr>
    </w:p>
    <w:p w14:paraId="0A000000">
      <w:pPr>
        <w:pStyle w:val="Style_3"/>
      </w:pPr>
      <w:r>
        <w:t>Методика оценки эффективности использования иностранной рабочей силы в Республике Саха (Якутия)</w:t>
      </w:r>
    </w:p>
    <w:p w14:paraId="0B000000">
      <w:pPr>
        <w:pStyle w:val="Style_4"/>
      </w:pPr>
    </w:p>
    <w:p w14:paraId="0C000000">
      <w:pPr>
        <w:pStyle w:val="Style_3"/>
      </w:pPr>
      <w:bookmarkStart w:id="1" w:name="anchor101"/>
      <w:bookmarkEnd w:id="1"/>
      <w:r>
        <w:t xml:space="preserve">I. Назначение и </w:t>
      </w:r>
      <w:r>
        <w:t>использование методики оценки эффективности использования иностранной рабочей силы в Республике Саха (Якутия)</w:t>
      </w:r>
    </w:p>
    <w:p w14:paraId="0D000000">
      <w:pPr>
        <w:pStyle w:val="Style_4"/>
      </w:pPr>
    </w:p>
    <w:p w14:paraId="0E000000">
      <w:pPr>
        <w:pStyle w:val="Style_4"/>
      </w:pPr>
      <w:bookmarkStart w:id="2" w:name="anchor11"/>
      <w:bookmarkEnd w:id="2"/>
      <w:r>
        <w:t>1.1. Методика оценки эффективности использования иностранной рабочей силы в Республике Саха (Якутия) (далее - Методика) разработана в соответстви</w:t>
      </w:r>
      <w:r>
        <w:t xml:space="preserve">и с </w:t>
      </w:r>
      <w:r>
        <w:fldChar w:fldCharType="begin"/>
      </w:r>
      <w:r>
        <w:instrText>HYPERLINK "http://ivo.garant.ru/document/redirect/184755/18012"</w:instrText>
      </w:r>
      <w:r>
        <w:fldChar w:fldCharType="separate"/>
      </w:r>
      <w:r>
        <w:t>пунктом 2 статьи 18.1.</w:t>
      </w:r>
      <w:r>
        <w:fldChar w:fldCharType="end"/>
      </w:r>
      <w:r>
        <w:t xml:space="preserve"> Федерального закона от 25.07.2002 года № 115-ФЗ «О правовом положении иностранных граждан в Российской Федерации».</w:t>
      </w:r>
    </w:p>
    <w:p w14:paraId="0F000000">
      <w:pPr>
        <w:pStyle w:val="Style_4"/>
      </w:pPr>
      <w:bookmarkStart w:id="3" w:name="anchor12"/>
      <w:bookmarkEnd w:id="3"/>
      <w:r>
        <w:t xml:space="preserve">1.2. Методика разработана для проведения оценки </w:t>
      </w:r>
      <w:r>
        <w:t>эффективности использования иностранной рабочей силы (далее - ИРС) органами власти Республики Саха (Якутия) за отчетный год, которая предполагает анализ влияния ИРС на экономику и социальную сферу и производится в целях выработки политики в сфере привлечен</w:t>
      </w:r>
      <w:r>
        <w:t>ия и использования ИРС.</w:t>
      </w:r>
    </w:p>
    <w:p w14:paraId="10000000">
      <w:pPr>
        <w:pStyle w:val="Style_4"/>
      </w:pPr>
      <w:bookmarkStart w:id="4" w:name="anchor13"/>
      <w:bookmarkEnd w:id="4"/>
      <w:r>
        <w:t xml:space="preserve">1.3. Оценка эффективности использования ИРС ежегодно осуществляется Государственным комитетом Республики Саха (Якутия) по занятости населения на основе анализа комплекса показателей </w:t>
      </w:r>
      <w:r>
        <w:t>за отчетный год,</w:t>
      </w:r>
      <w:r>
        <w:t xml:space="preserve"> предоставленных по данной методике</w:t>
      </w:r>
      <w:r>
        <w:t xml:space="preserve"> федеральными, республиканскими и муниципальными органами, находящимися на территории Республики Саха (Якутия).</w:t>
      </w:r>
    </w:p>
    <w:p w14:paraId="11000000">
      <w:pPr>
        <w:pStyle w:val="Style_4"/>
      </w:pPr>
      <w:bookmarkStart w:id="5" w:name="anchor14"/>
      <w:bookmarkEnd w:id="5"/>
      <w:r>
        <w:t>1.4. Оценка эффективности использования ИРС производится по следующим направлениям:</w:t>
      </w:r>
    </w:p>
    <w:p w14:paraId="12000000">
      <w:pPr>
        <w:pStyle w:val="Style_4"/>
      </w:pPr>
      <w:bookmarkStart w:id="6" w:name="anchor1401"/>
      <w:bookmarkEnd w:id="6"/>
      <w:r>
        <w:t xml:space="preserve">а) оценка вклада ИРС в экономику Республики Саха (Якутия); </w:t>
      </w:r>
    </w:p>
    <w:p w14:paraId="13000000">
      <w:pPr>
        <w:pStyle w:val="Style_4"/>
      </w:pPr>
      <w:r>
        <w:t>б) оценка влияния ИРС на доходы и расходы бюджета, связанные с привлечением и использованием ИРС;</w:t>
      </w:r>
    </w:p>
    <w:p w14:paraId="14000000">
      <w:pPr>
        <w:pStyle w:val="Style_4"/>
      </w:pPr>
      <w:bookmarkStart w:id="7" w:name="anchor1402"/>
      <w:bookmarkEnd w:id="7"/>
      <w:r>
        <w:t>в) оценка влияния ИРС на рынок труда Республики Саха (Якутия);</w:t>
      </w:r>
    </w:p>
    <w:p w14:paraId="15000000">
      <w:pPr>
        <w:pStyle w:val="Style_4"/>
      </w:pPr>
      <w:bookmarkStart w:id="8" w:name="anchor1403"/>
      <w:bookmarkEnd w:id="8"/>
      <w:r>
        <w:t>г) оценка влияния ИРС на качественные параметры рынка труда Республики Саха (Якутия);</w:t>
      </w:r>
    </w:p>
    <w:p w14:paraId="16000000">
      <w:pPr>
        <w:pStyle w:val="Style_4"/>
      </w:pPr>
      <w:r>
        <w:t>д) оценка</w:t>
      </w:r>
      <w:r>
        <w:t xml:space="preserve"> влияния ИРС на социальную стабильность в Республике Саха (Якутия).</w:t>
      </w:r>
    </w:p>
    <w:p w14:paraId="17000000">
      <w:pPr>
        <w:pStyle w:val="Style_4"/>
      </w:pPr>
      <w:bookmarkStart w:id="9" w:name="anchor15"/>
      <w:bookmarkEnd w:id="9"/>
      <w:r>
        <w:t>1.5. Результаты оценки эффективности использования ИРС обобщаются и учитываются при:</w:t>
      </w:r>
    </w:p>
    <w:p w14:paraId="18000000">
      <w:pPr>
        <w:pStyle w:val="Style_4"/>
      </w:pPr>
      <w:r>
        <w:t>- принятии решений в области политики привлечения и использования ИРС;</w:t>
      </w:r>
    </w:p>
    <w:p w14:paraId="19000000">
      <w:pPr>
        <w:pStyle w:val="Style_4"/>
      </w:pPr>
      <w:r>
        <w:t>- рассмотрении заявок работодате</w:t>
      </w:r>
      <w:r>
        <w:t>лей, заказчиков работ (услуг) о потребности в привлечении иностранных работников для замещения вакантных и создаваемых рабочих мест либо выполнения работ (оказания услуг), в том числе увеличении (уменьшении) размера потребности в привлечении иностранных ра</w:t>
      </w:r>
      <w:r>
        <w:t>ботников;</w:t>
      </w:r>
    </w:p>
    <w:p w14:paraId="1A000000">
      <w:pPr>
        <w:pStyle w:val="Style_4"/>
      </w:pPr>
      <w:r>
        <w:t>- установлении запрета на привлечение хозяйствующими субъектами, осуществляющими деятельность на территории Республики Саха (Якутия), иностранных граждан, осуществляющих трудовую деятельность на основании патентов, по отдельным видам экономическо</w:t>
      </w:r>
      <w:r>
        <w:t>й деятельности;</w:t>
      </w:r>
    </w:p>
    <w:p w14:paraId="1B000000">
      <w:pPr>
        <w:pStyle w:val="Style_4"/>
      </w:pPr>
    </w:p>
    <w:p w14:paraId="1C000000">
      <w:pPr>
        <w:pStyle w:val="Style_3"/>
      </w:pPr>
      <w:bookmarkStart w:id="10" w:name="anchor102"/>
      <w:bookmarkEnd w:id="10"/>
      <w:r>
        <w:t>II. Информативные источники для расчета показателей оценки эффективности использования иностранной рабочей силы</w:t>
      </w:r>
    </w:p>
    <w:p w14:paraId="1D000000">
      <w:pPr>
        <w:pStyle w:val="Style_4"/>
      </w:pPr>
    </w:p>
    <w:p w14:paraId="1E000000">
      <w:pPr>
        <w:pStyle w:val="Style_4"/>
        <w:widowControl w:val="1"/>
        <w:ind/>
        <w:jc w:val="both"/>
        <w:rPr>
          <w:sz w:val="24"/>
        </w:rPr>
      </w:pPr>
      <w:bookmarkStart w:id="11" w:name="anchor21"/>
      <w:bookmarkEnd w:id="11"/>
      <w:r>
        <w:t xml:space="preserve">2.1. Основными </w:t>
      </w:r>
      <w:r>
        <w:t>информационными и</w:t>
      </w:r>
      <w:r>
        <w:rPr>
          <w:sz w:val="24"/>
        </w:rPr>
        <w:t>сточниками, использующимися для получения исходных показателей для оценки эффективности использования ИРС, являются данные государственной статистики и материалы ведомственного учета, данные органов исполнительной власти Республики Саха (Я</w:t>
      </w:r>
      <w:r>
        <w:rPr>
          <w:sz w:val="24"/>
        </w:rPr>
        <w:t>кутия) и территориальных органов федеральных органов исполнительной власти.</w:t>
      </w:r>
    </w:p>
    <w:p w14:paraId="1F000000">
      <w:pPr>
        <w:pStyle w:val="Style_4"/>
        <w:widowControl w:val="1"/>
        <w:ind/>
        <w:jc w:val="both"/>
        <w:rPr>
          <w:sz w:val="24"/>
        </w:rPr>
      </w:pPr>
      <w:r>
        <w:rPr>
          <w:sz w:val="24"/>
        </w:rPr>
        <w:t xml:space="preserve">Для проведения оценки эффективности использования ИРС </w:t>
      </w:r>
      <w:r>
        <w:rPr>
          <w:sz w:val="24"/>
        </w:rPr>
        <w:t xml:space="preserve">органы государственной и муниципальной власти </w:t>
      </w:r>
      <w:r>
        <w:rPr>
          <w:sz w:val="24"/>
        </w:rPr>
        <w:t xml:space="preserve">ежегодно </w:t>
      </w:r>
      <w:r>
        <w:rPr>
          <w:sz w:val="24"/>
        </w:rPr>
        <w:t>в срок до</w:t>
      </w:r>
      <w:r>
        <w:rPr>
          <w:sz w:val="24"/>
        </w:rPr>
        <w:t xml:space="preserve"> </w:t>
      </w:r>
      <w:r>
        <w:rPr>
          <w:sz w:val="24"/>
        </w:rPr>
        <w:t xml:space="preserve">30 июня </w:t>
      </w:r>
      <w:r>
        <w:rPr>
          <w:sz w:val="24"/>
        </w:rPr>
        <w:t>предоставляют в Государственный комитет</w:t>
      </w:r>
      <w:r>
        <w:rPr>
          <w:sz w:val="24"/>
        </w:rPr>
        <w:t xml:space="preserve"> Республики Саха (Якутия) по занятости населения на бумажном носителе и в электронном виде следующие сведения:</w:t>
      </w:r>
    </w:p>
    <w:p w14:paraId="20000000">
      <w:pPr>
        <w:pStyle w:val="Style_4"/>
        <w:widowControl w:val="1"/>
        <w:ind/>
        <w:jc w:val="both"/>
        <w:rPr>
          <w:sz w:val="24"/>
        </w:rPr>
      </w:pPr>
      <w:bookmarkStart w:id="12" w:name="anchor2101"/>
      <w:bookmarkEnd w:id="12"/>
      <w:r>
        <w:rPr>
          <w:sz w:val="24"/>
        </w:rPr>
        <w:t>а) Территориальный орган Федеральной службы государственной статистики по Республике Саха (Якутия):</w:t>
      </w:r>
    </w:p>
    <w:p w14:paraId="21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объем валового регионального продукта</w:t>
      </w:r>
      <w:r>
        <w:rPr>
          <w:sz w:val="24"/>
        </w:rPr>
        <w:t>;</w:t>
      </w:r>
    </w:p>
    <w:p w14:paraId="22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занятого населения в экономике;</w:t>
      </w:r>
    </w:p>
    <w:p w14:paraId="23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оборот организаций по видам экономической деятельности;</w:t>
      </w:r>
    </w:p>
    <w:p w14:paraId="24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безработных в Республике Саха (Якутия) по квалификационным группам;</w:t>
      </w:r>
    </w:p>
    <w:p w14:paraId="25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принято работников в организации (чел.);</w:t>
      </w:r>
    </w:p>
    <w:p w14:paraId="26000000">
      <w:pPr>
        <w:widowControl w:val="1"/>
        <w:numPr>
          <w:ilvl w:val="0"/>
          <w:numId w:val="1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выбыло работников из организации (чел.);</w:t>
      </w:r>
    </w:p>
    <w:p w14:paraId="27000000">
      <w:pPr>
        <w:widowControl w:val="1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б) Министерство вн</w:t>
      </w:r>
      <w:r>
        <w:rPr>
          <w:sz w:val="24"/>
        </w:rPr>
        <w:t>утренних дел по Республике Саха (Якутия):</w:t>
      </w:r>
    </w:p>
    <w:p w14:paraId="28000000">
      <w:pPr>
        <w:widowControl w:val="1"/>
        <w:numPr>
          <w:numId w:val="2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иностранных граждан, поставленных на миграционный учет;</w:t>
      </w:r>
    </w:p>
    <w:p w14:paraId="29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привлекаемой иностранной рабочей силы;</w:t>
      </w:r>
    </w:p>
    <w:p w14:paraId="2A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уровень образования привлекаемой иностранной рабочей силы;</w:t>
      </w:r>
    </w:p>
    <w:p w14:paraId="2B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и структура иностранной рабочей силы по видам экономической деятельности;</w:t>
      </w:r>
    </w:p>
    <w:p w14:paraId="2C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прибывших детей иностранных граждан;</w:t>
      </w:r>
    </w:p>
    <w:p w14:paraId="2D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иностранных граждан, находящихся на территории РС(Я), по состоянию на конец отчетного периода;</w:t>
      </w:r>
    </w:p>
    <w:p w14:paraId="2E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число и доля уголовных преступлений и административных правонарушений, соверш</w:t>
      </w:r>
      <w:r>
        <w:rPr>
          <w:sz w:val="24"/>
        </w:rPr>
        <w:t>енных иностранными гражданами и в отношении их;</w:t>
      </w:r>
    </w:p>
    <w:p w14:paraId="2F000000">
      <w:pPr>
        <w:widowControl w:val="1"/>
        <w:numPr>
          <w:ilvl w:val="0"/>
          <w:numId w:val="3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расходы бюджета на депортацию и административное выдворение иностранных граждан (тыс. рублей);</w:t>
      </w:r>
    </w:p>
    <w:p w14:paraId="30000000">
      <w:pPr>
        <w:widowControl w:val="1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в) Управление федеральной налоговой службы по Республике Саха (Якутия):</w:t>
      </w:r>
    </w:p>
    <w:p w14:paraId="31000000">
      <w:pPr>
        <w:widowControl w:val="1"/>
        <w:numPr>
          <w:ilvl w:val="0"/>
          <w:numId w:val="4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сумма налогов на доходы иностранных граждан;</w:t>
      </w:r>
    </w:p>
    <w:p w14:paraId="32000000">
      <w:pPr>
        <w:widowControl w:val="1"/>
        <w:numPr>
          <w:ilvl w:val="0"/>
          <w:numId w:val="4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сумма средств, полученных с выданных иностранным гражданам патентов;</w:t>
      </w:r>
    </w:p>
    <w:p w14:paraId="33000000">
      <w:pPr>
        <w:widowControl w:val="1"/>
        <w:numPr>
          <w:ilvl w:val="0"/>
          <w:numId w:val="4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всего доходов </w:t>
      </w:r>
      <w:r>
        <w:rPr>
          <w:sz w:val="24"/>
        </w:rPr>
        <w:t>бюджета от привлечения иностранных</w:t>
      </w:r>
      <w:r>
        <w:rPr>
          <w:sz w:val="24"/>
        </w:rPr>
        <w:t xml:space="preserve"> граждан</w:t>
      </w:r>
      <w:r>
        <w:rPr>
          <w:sz w:val="24"/>
        </w:rPr>
        <w:t>;</w:t>
      </w:r>
    </w:p>
    <w:p w14:paraId="34000000">
      <w:pPr>
        <w:widowControl w:val="1"/>
        <w:numPr>
          <w:ilvl w:val="0"/>
          <w:numId w:val="4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вклад </w:t>
      </w:r>
      <w:r>
        <w:rPr>
          <w:sz w:val="24"/>
        </w:rPr>
        <w:t>иностранной рабочей силы в доходную часть бюджета Республики Саха (Якутия) (</w:t>
      </w:r>
      <w:r>
        <w:rPr>
          <w:sz w:val="24"/>
        </w:rPr>
        <w:t>НДФЛ)</w:t>
      </w:r>
      <w:r>
        <w:rPr>
          <w:sz w:val="24"/>
        </w:rPr>
        <w:t xml:space="preserve"> (тыс. рублей).</w:t>
      </w:r>
    </w:p>
    <w:p w14:paraId="35000000">
      <w:pPr>
        <w:widowControl w:val="1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г) Министерство образо</w:t>
      </w:r>
      <w:r>
        <w:rPr>
          <w:sz w:val="24"/>
        </w:rPr>
        <w:t>вания и науки Республики Саха (Якутия):</w:t>
      </w:r>
    </w:p>
    <w:p w14:paraId="36000000">
      <w:pPr>
        <w:widowControl w:val="1"/>
        <w:numPr>
          <w:ilvl w:val="0"/>
          <w:numId w:val="5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детей иностранных граждан, обучающихся в детских дошкольных учреждениях и общеобразовательных учреждениях;</w:t>
      </w:r>
    </w:p>
    <w:p w14:paraId="37000000">
      <w:pPr>
        <w:widowControl w:val="1"/>
        <w:numPr>
          <w:ilvl w:val="0"/>
          <w:numId w:val="5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детей российских граждан, обучающихся в детских дошкольных учреждениях и школах</w:t>
      </w:r>
      <w:r>
        <w:rPr>
          <w:sz w:val="24"/>
        </w:rPr>
        <w:t xml:space="preserve"> общеобразовательных учреждениях;</w:t>
      </w:r>
    </w:p>
    <w:p w14:paraId="38000000">
      <w:pPr>
        <w:widowControl w:val="1"/>
        <w:numPr>
          <w:ilvl w:val="0"/>
          <w:numId w:val="5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расходы республиканского бюджета на содержание и обучение детей иностранных граждан, обучавшихся в детских дошкольных учреждениях и общеобразовательных учреждениях.</w:t>
      </w:r>
    </w:p>
    <w:p w14:paraId="39000000">
      <w:pPr>
        <w:widowControl w:val="1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д) Министерство здравоохранения Республики Саха (Якутия):</w:t>
      </w:r>
    </w:p>
    <w:p w14:paraId="3A000000">
      <w:pPr>
        <w:widowControl w:val="1"/>
        <w:numPr>
          <w:ilvl w:val="0"/>
          <w:numId w:val="6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численность иностранных граждан, которым оказана экстренная и другая медицинская помощь;</w:t>
      </w:r>
    </w:p>
    <w:p w14:paraId="3B000000">
      <w:pPr>
        <w:widowControl w:val="1"/>
        <w:numPr>
          <w:ilvl w:val="0"/>
          <w:numId w:val="6"/>
        </w:numPr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 xml:space="preserve"> расходы республиканского бюджета на оказание медицинской помощи иностранным гражданам.</w:t>
      </w:r>
    </w:p>
    <w:p w14:paraId="3C000000">
      <w:pPr>
        <w:widowControl w:val="1"/>
        <w:spacing w:after="0" w:line="240" w:lineRule="auto"/>
        <w:ind w:firstLine="709" w:left="0"/>
        <w:jc w:val="both"/>
        <w:rPr>
          <w:sz w:val="24"/>
        </w:rPr>
      </w:pPr>
      <w:r>
        <w:rPr>
          <w:sz w:val="24"/>
        </w:rPr>
        <w:t>е) Министерство экономики Республики Саха (Якутия):</w:t>
      </w:r>
    </w:p>
    <w:p w14:paraId="3D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объем регионального валового продукта;</w:t>
      </w:r>
    </w:p>
    <w:p w14:paraId="3E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доля регионального валового продукта, приходящаяся на ИРС;</w:t>
      </w:r>
    </w:p>
    <w:p w14:paraId="3F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объем инвестиций в основной капитал;</w:t>
      </w:r>
    </w:p>
    <w:p w14:paraId="40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реализовано инвестиционных проектов, программ, мероприятий;</w:t>
      </w:r>
    </w:p>
    <w:p w14:paraId="41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доля инвестиционных проектов, реализуемых с привлечением иностранных работников;</w:t>
      </w:r>
    </w:p>
    <w:p w14:paraId="42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доля инвестиционных проектов, реализация которых невозможна без ИРС;</w:t>
      </w:r>
    </w:p>
    <w:p w14:paraId="43000000">
      <w:pPr>
        <w:widowControl w:val="1"/>
        <w:numPr>
          <w:numId w:val="7"/>
        </w:numPr>
        <w:ind w:firstLine="709" w:left="0"/>
        <w:jc w:val="both"/>
        <w:rPr>
          <w:sz w:val="24"/>
        </w:rPr>
      </w:pPr>
      <w:r>
        <w:rPr>
          <w:sz w:val="24"/>
        </w:rPr>
        <w:t>численность иностранных работников, используемых на инвестиционных проектах.</w:t>
      </w:r>
    </w:p>
    <w:p w14:paraId="44000000">
      <w:pPr>
        <w:widowControl w:val="1"/>
        <w:spacing w:after="0" w:line="240" w:lineRule="auto"/>
        <w:ind w:firstLine="720"/>
        <w:jc w:val="both"/>
        <w:rPr>
          <w:sz w:val="24"/>
        </w:rPr>
      </w:pPr>
      <w:r>
        <w:rPr>
          <w:sz w:val="24"/>
        </w:rPr>
        <w:t>ж) Администрации муниципальных районов и городских округов Республики Саха (Яку</w:t>
      </w:r>
      <w:r>
        <w:rPr>
          <w:sz w:val="24"/>
        </w:rPr>
        <w:t>тия):</w:t>
      </w:r>
    </w:p>
    <w:p w14:paraId="45000000">
      <w:pPr>
        <w:widowControl w:val="1"/>
        <w:numPr>
          <w:ilvl w:val="0"/>
          <w:numId w:val="7"/>
        </w:numPr>
        <w:ind w:firstLine="709" w:left="0"/>
      </w:pPr>
      <w:r>
        <w:rPr>
          <w:sz w:val="24"/>
        </w:rPr>
        <w:t>расходы муниципального бюджета, связанные с иностранными гражданами.</w:t>
      </w:r>
    </w:p>
    <w:p w14:paraId="46000000">
      <w:pPr>
        <w:pStyle w:val="Style_4"/>
        <w:widowControl w:val="1"/>
        <w:ind/>
        <w:jc w:val="both"/>
        <w:rPr>
          <w:sz w:val="24"/>
        </w:rPr>
      </w:pPr>
      <w:bookmarkStart w:id="13" w:name="anchor22"/>
      <w:bookmarkEnd w:id="13"/>
      <w:r>
        <w:rPr>
          <w:sz w:val="24"/>
        </w:rPr>
        <w:t xml:space="preserve">2.2. В связи с изменениями нормативных правовых актов и другой возникшей необходимостью Государственный комитет Республики Саха (Якутия) по занятости населения может </w:t>
      </w:r>
      <w:r>
        <w:rPr>
          <w:sz w:val="24"/>
        </w:rPr>
        <w:t>запросить дополнительную информацию, связанную с использованием иностранной рабочей силы.</w:t>
      </w:r>
    </w:p>
    <w:p w14:paraId="47000000">
      <w:pPr>
        <w:pStyle w:val="Style_4"/>
        <w:widowControl w:val="1"/>
        <w:ind/>
        <w:jc w:val="both"/>
      </w:pPr>
      <w:r>
        <w:rPr>
          <w:sz w:val="24"/>
        </w:rPr>
        <w:t>2.3. Оценка эффективност</w:t>
      </w:r>
      <w:r>
        <w:t xml:space="preserve">и использования ИРС осуществляется на основе анализа показателей </w:t>
      </w:r>
      <w:r>
        <w:t>за отчетный год, предшествующий текущему, и 2 года, предшествующих отчетному.</w:t>
      </w:r>
    </w:p>
    <w:p w14:paraId="48000000">
      <w:pPr>
        <w:pStyle w:val="Style_4"/>
      </w:pPr>
    </w:p>
    <w:p w14:paraId="49000000">
      <w:pPr>
        <w:pStyle w:val="Style_3"/>
        <w:widowControl w:val="1"/>
        <w:spacing w:after="0" w:before="0"/>
        <w:ind/>
      </w:pPr>
      <w:bookmarkStart w:id="14" w:name="anchor103"/>
      <w:bookmarkEnd w:id="14"/>
      <w:r>
        <w:t>III. Показатели оценки эффективности использования ИРС</w:t>
      </w:r>
    </w:p>
    <w:p w14:paraId="4A000000">
      <w:pPr>
        <w:pStyle w:val="Style_3"/>
        <w:widowControl w:val="1"/>
        <w:spacing w:after="0" w:before="0"/>
        <w:ind/>
      </w:pPr>
    </w:p>
    <w:p w14:paraId="4B000000">
      <w:pPr>
        <w:pStyle w:val="Style_3"/>
        <w:widowControl w:val="1"/>
        <w:spacing w:after="0" w:before="0"/>
        <w:ind/>
      </w:pPr>
      <w:r>
        <w:t>3.</w:t>
      </w:r>
      <w:r>
        <w:t>1.Оценка</w:t>
      </w:r>
      <w:r>
        <w:t xml:space="preserve"> влияния иностранной рабочей силы на экономику</w:t>
      </w:r>
    </w:p>
    <w:p w14:paraId="4C000000">
      <w:pPr>
        <w:pStyle w:val="Style_3"/>
        <w:widowControl w:val="1"/>
        <w:spacing w:after="0" w:before="0"/>
        <w:ind/>
      </w:pPr>
      <w:r>
        <w:t>Республики Саха (Якутия)</w:t>
      </w:r>
    </w:p>
    <w:p w14:paraId="4D000000">
      <w:pPr>
        <w:pStyle w:val="Style_4"/>
      </w:pPr>
    </w:p>
    <w:p w14:paraId="4E000000">
      <w:pPr>
        <w:pStyle w:val="Style_4"/>
      </w:pPr>
      <w:bookmarkStart w:id="15" w:name="anchor31"/>
      <w:bookmarkEnd w:id="15"/>
      <w:r>
        <w:t>3.1.1 Расчет вклада ИРС в экономическое</w:t>
      </w:r>
      <w:r>
        <w:t xml:space="preserve"> развитие производится в целом и по видам экономической деятельности, в которых участвуют ИРС.</w:t>
      </w:r>
    </w:p>
    <w:p w14:paraId="4F000000">
      <w:pPr>
        <w:pStyle w:val="Style_4"/>
      </w:pPr>
      <w:r>
        <w:t>Исходные показатели:</w:t>
      </w:r>
    </w:p>
    <w:p w14:paraId="50000000">
      <w:pPr>
        <w:pStyle w:val="Style_4"/>
      </w:pPr>
      <w:r>
        <w:t>- численность занятого в экономике населения по видам экономической деятельности (</w:t>
      </w:r>
      <w:r>
        <w:fldChar w:fldCharType="begin"/>
      </w:r>
      <w:r>
        <w:instrText>HYPERLINK \l "anchor1100"</w:instrText>
      </w:r>
      <w:r>
        <w:fldChar w:fldCharType="separate"/>
      </w:r>
      <w:r>
        <w:t>Приложение № 1</w:t>
      </w:r>
      <w:r>
        <w:fldChar w:fldCharType="end"/>
      </w:r>
      <w:r>
        <w:t>);</w:t>
      </w:r>
    </w:p>
    <w:p w14:paraId="51000000">
      <w:pPr>
        <w:pStyle w:val="Style_4"/>
      </w:pPr>
      <w:r>
        <w:t>- численность</w:t>
      </w:r>
      <w:r>
        <w:t xml:space="preserve"> иностранной рабочей силы по видам экономической деятельности (</w:t>
      </w:r>
      <w:r>
        <w:fldChar w:fldCharType="begin"/>
      </w:r>
      <w:r>
        <w:instrText>HYPERLINK \l "anchor1200"</w:instrText>
      </w:r>
      <w:r>
        <w:fldChar w:fldCharType="separate"/>
      </w:r>
      <w:r>
        <w:t>Приложение № 2</w:t>
      </w:r>
      <w:r>
        <w:fldChar w:fldCharType="end"/>
      </w:r>
      <w:r>
        <w:t>);</w:t>
      </w:r>
    </w:p>
    <w:p w14:paraId="52000000">
      <w:pPr>
        <w:pStyle w:val="Style_4"/>
      </w:pPr>
      <w:r>
        <w:t>- оборот организаций, отгрузка товаров и услуг собственного производства в текущих ценах по видам экономической деятельности (</w:t>
      </w:r>
      <w:r>
        <w:fldChar w:fldCharType="begin"/>
      </w:r>
      <w:r>
        <w:instrText>HYPERLINK \l "anchor1300"</w:instrText>
      </w:r>
      <w:r>
        <w:fldChar w:fldCharType="separate"/>
      </w:r>
      <w:r>
        <w:t>Приложение № 3</w:t>
      </w:r>
      <w:r>
        <w:fldChar w:fldCharType="end"/>
      </w:r>
      <w:r>
        <w:t>);</w:t>
      </w:r>
    </w:p>
    <w:p w14:paraId="53000000">
      <w:pPr>
        <w:pStyle w:val="Style_4"/>
      </w:pPr>
      <w:r>
        <w:t>- валовой региональный продукт (Приложение № 3).</w:t>
      </w:r>
    </w:p>
    <w:p w14:paraId="54000000">
      <w:pPr>
        <w:pStyle w:val="Style_4"/>
      </w:pPr>
      <w:r>
        <w:t xml:space="preserve">Расчетные данные: </w:t>
      </w:r>
    </w:p>
    <w:p w14:paraId="55000000">
      <w:pPr>
        <w:pStyle w:val="Style_4"/>
      </w:pPr>
      <w:r>
        <w:t>- темп роста вклада ИРС в ВРП.</w:t>
      </w:r>
      <w:r>
        <w:rPr>
          <w:color w:val="0F1115"/>
          <w:sz w:val="28"/>
        </w:rPr>
        <w:t xml:space="preserve"> </w:t>
      </w:r>
      <w:r>
        <w:t>Рассчитывается как отношение вклада ИРС в ВРП текущего года к вкладу предыдущего года. Вклад ИРС в ВРП оценивается пропорционально доле</w:t>
      </w:r>
      <w:r>
        <w:t xml:space="preserve"> ИРС </w:t>
      </w:r>
      <w:r>
        <w:t>в общей численности</w:t>
      </w:r>
      <w:r>
        <w:t xml:space="preserve"> занятых по основным отраслям. Целевое значение: ≥100%.</w:t>
      </w:r>
    </w:p>
    <w:p w14:paraId="56000000">
      <w:pPr>
        <w:pStyle w:val="Style_4"/>
      </w:pPr>
      <w:r>
        <w:t>- Производительность труда ИРС (тыс. руб./чел.).  Рассчитывается как отношение вклада ИРС в оборот организаций к среднегодовой численности ИРС. Целевое значение: ≥ среднерегион</w:t>
      </w:r>
      <w:r>
        <w:t>альной производительности труда.</w:t>
      </w:r>
    </w:p>
    <w:p w14:paraId="57000000">
      <w:pPr>
        <w:pStyle w:val="Style_4"/>
      </w:pPr>
      <w:r>
        <w:t>Информационной базой для расчета вклада ИРС являются данные Государственной статистики по РС (Я) о численности занятых в экономике республики и обороте организаций по видам экономической деятельности и данные УВМ МВД по РС(</w:t>
      </w:r>
      <w:r>
        <w:t>Я) о количестве подтверждений на выданные разрешения на работу и структуре ИРС по видам деятельности.</w:t>
      </w:r>
    </w:p>
    <w:p w14:paraId="58000000">
      <w:pPr>
        <w:pStyle w:val="Style_4"/>
      </w:pPr>
      <w:r>
        <w:t xml:space="preserve">Оценка вклада ИРС в экономическое развитие республики в целом определяется в виде компоненты экономического эффекта: </w:t>
      </w:r>
    </w:p>
    <w:p w14:paraId="59000000">
      <w:pPr>
        <w:pStyle w:val="Style_5"/>
        <w:widowControl w:val="1"/>
        <w:spacing w:line="360" w:lineRule="auto"/>
        <w:ind/>
        <w:jc w:val="center"/>
      </w:pPr>
      <w:r>
        <w:t>K_эконом</w:t>
      </w:r>
      <w:r>
        <w:t xml:space="preserve"> = 0.6 × (Нормализованный "Т</w:t>
      </w:r>
      <w:r>
        <w:t>емп роста вклада в ВРП") + 0.4 × (Нормализованная "Производительность труда ИРС")</w:t>
      </w:r>
    </w:p>
    <w:p w14:paraId="5A000000">
      <w:pPr>
        <w:pStyle w:val="Style_4"/>
      </w:pPr>
      <w:r>
        <w:t>Вес данной компоненты = 0,25.</w:t>
      </w:r>
    </w:p>
    <w:p w14:paraId="5B000000">
      <w:pPr>
        <w:pStyle w:val="Style_4"/>
      </w:pPr>
    </w:p>
    <w:p w14:paraId="5C000000">
      <w:pPr>
        <w:pStyle w:val="Style_4"/>
        <w:widowControl w:val="1"/>
        <w:ind/>
        <w:jc w:val="center"/>
        <w:rPr>
          <w:b w:val="1"/>
        </w:rPr>
      </w:pPr>
      <w:bookmarkStart w:id="16" w:name="anchor32"/>
      <w:bookmarkEnd w:id="16"/>
      <w:r>
        <w:rPr>
          <w:b w:val="1"/>
        </w:rPr>
        <w:t>3.2. Оценка вклада в доходную часть бюджетов и расходов бюджета республики, связанную с привлечением и использованием ИРС</w:t>
      </w:r>
    </w:p>
    <w:p w14:paraId="5D000000">
      <w:pPr>
        <w:pStyle w:val="Style_4"/>
      </w:pPr>
      <w:r>
        <w:t>3.2.1</w:t>
      </w:r>
      <w:r>
        <w:rPr>
          <w:sz w:val="28"/>
        </w:rPr>
        <w:t xml:space="preserve"> </w:t>
      </w:r>
      <w:r>
        <w:t>Оценка влияния</w:t>
      </w:r>
      <w:r>
        <w:t xml:space="preserve"> ИРС на доходы и расходы бюджета Республики Саха (Якутия), связанные с привлечением иностранных работников, определяется через компоненту бюджетного эффекта. </w:t>
      </w:r>
    </w:p>
    <w:p w14:paraId="5E000000">
      <w:pPr>
        <w:pStyle w:val="Style_4"/>
      </w:pPr>
      <w:r>
        <w:t>Исходные показатели:</w:t>
      </w:r>
    </w:p>
    <w:p w14:paraId="5F000000">
      <w:pPr>
        <w:pStyle w:val="Style_4"/>
      </w:pPr>
      <w:r>
        <w:t>- численность иностранных граждан, которым была оказана экстренная медицинск</w:t>
      </w:r>
      <w:r>
        <w:t>ая помощь (человек), расходы бюджета на ее оказание (</w:t>
      </w:r>
      <w:r>
        <w:fldChar w:fldCharType="begin"/>
      </w:r>
      <w:r>
        <w:instrText>HYPERLINK \l "anchor1500"</w:instrText>
      </w:r>
      <w:r>
        <w:fldChar w:fldCharType="separate"/>
      </w:r>
      <w:r>
        <w:t>Приложение № 5</w:t>
      </w:r>
      <w:r>
        <w:fldChar w:fldCharType="end"/>
      </w:r>
      <w:r>
        <w:t>);</w:t>
      </w:r>
    </w:p>
    <w:p w14:paraId="60000000">
      <w:pPr>
        <w:pStyle w:val="Style_4"/>
      </w:pPr>
      <w:r>
        <w:t>- расходы бюджета на оказание другой медицинской помощи иностранным гражданам (тысяч рублей);</w:t>
      </w:r>
    </w:p>
    <w:p w14:paraId="61000000">
      <w:pPr>
        <w:pStyle w:val="Style_4"/>
      </w:pPr>
      <w:r>
        <w:t xml:space="preserve">- численность детей иностранных граждан, обучающихся в </w:t>
      </w:r>
      <w:r>
        <w:t>детских дошкольных учреждениях и школах (человек) и расходы бюджета на их содержание и обучение (тыс. рублей);</w:t>
      </w:r>
    </w:p>
    <w:p w14:paraId="62000000">
      <w:pPr>
        <w:pStyle w:val="Style_4"/>
      </w:pPr>
      <w:r>
        <w:t>- расходы бюджета на поддержание инфраструктуры, используемой иностранными гражданами (общежития, транспорт, связь, ЖКХ и т.п.) (тысяч рублей);</w:t>
      </w:r>
    </w:p>
    <w:p w14:paraId="63000000">
      <w:pPr>
        <w:pStyle w:val="Style_4"/>
      </w:pPr>
      <w:r>
        <w:t>-</w:t>
      </w:r>
      <w:r>
        <w:t xml:space="preserve"> расходы бюджета на депортацию и административное выдворение иностранных граждан (тысяч рублей);</w:t>
      </w:r>
    </w:p>
    <w:p w14:paraId="64000000">
      <w:pPr>
        <w:pStyle w:val="Style_4"/>
      </w:pPr>
      <w:r>
        <w:t>- прочие расходы бюджета;</w:t>
      </w:r>
    </w:p>
    <w:p w14:paraId="65000000">
      <w:pPr>
        <w:pStyle w:val="Style_4"/>
      </w:pPr>
      <w:r>
        <w:t>- вклад иностранной рабочей силы в доходную часть бюджета.</w:t>
      </w:r>
    </w:p>
    <w:p w14:paraId="66000000">
      <w:pPr>
        <w:pStyle w:val="Style_4"/>
      </w:pPr>
      <w:r>
        <w:t>Расчетные показатели:</w:t>
      </w:r>
    </w:p>
    <w:p w14:paraId="67000000">
      <w:pPr>
        <w:pStyle w:val="Style_4"/>
      </w:pPr>
      <w:r>
        <w:t>- Коэффициент бюджетной эффективности ИРС (коэффицие</w:t>
      </w:r>
      <w:r>
        <w:t>нт), который рассчитывается как отношение доходов бюджета от ИРС (НДФЛ + платежи за патенты) к расходам бюджета, связанным с ИРС (медицина, образование, инфраструктура). Целевое значение: ≥1;</w:t>
      </w:r>
    </w:p>
    <w:p w14:paraId="68000000">
      <w:pPr>
        <w:pStyle w:val="Style_4"/>
      </w:pPr>
      <w:r>
        <w:t>- Коэффициент налоговой нагрузки на одного мигранта (тыс. руб.),</w:t>
      </w:r>
      <w:r>
        <w:t xml:space="preserve"> который рассчитывается как общая сумма поступлений от ИРС (НДФЛ, патенты), деленная на среднегодовую численность мигрантов. Целевое значение: ≥0, положительная динамика.</w:t>
      </w:r>
    </w:p>
    <w:p w14:paraId="69000000">
      <w:pPr>
        <w:pStyle w:val="Style_4"/>
      </w:pPr>
      <w:r>
        <w:t>Расходы бюджета на оказание услуг иностранным гражданам рассчитываются исходя из уста</w:t>
      </w:r>
      <w:r>
        <w:t xml:space="preserve">новленного норматива на 1 человека, умноженного на количество иностранных граждан пользующимися данными услугами. Например, утвержденный норматив содержания 1 ребенка в </w:t>
      </w:r>
      <w:r>
        <w:t>детском саду умножается на количество детей иностранных граждан, посещающих детские дош</w:t>
      </w:r>
      <w:r>
        <w:t>кольные учреждения; утвержденный норматив на обучение 1 ребенка, умножается на количество детей иностранных граждан, обучавшихся в школах, и т. д. (</w:t>
      </w:r>
      <w:r>
        <w:fldChar w:fldCharType="begin"/>
      </w:r>
      <w:r>
        <w:instrText>HYPERLINK \l "anchor1500"</w:instrText>
      </w:r>
      <w:r>
        <w:fldChar w:fldCharType="separate"/>
      </w:r>
      <w:r>
        <w:t>Приложение № 5</w:t>
      </w:r>
      <w:r>
        <w:fldChar w:fldCharType="end"/>
      </w:r>
      <w:r>
        <w:t>)</w:t>
      </w:r>
    </w:p>
    <w:p w14:paraId="6A000000">
      <w:pPr>
        <w:pStyle w:val="Style_4"/>
      </w:pPr>
      <w:r>
        <w:t xml:space="preserve">В доходы </w:t>
      </w:r>
      <w:r>
        <w:t>бюджета,</w:t>
      </w:r>
      <w:r>
        <w:t xml:space="preserve"> связанные с использованием иностранной рабочей </w:t>
      </w:r>
      <w:r>
        <w:t>силы, включаются сумма удержанного налога НДФЛ с доходов, выплаченных иностранным гражданам по данным 2 - НДФЛ и сумма платежей иностранных работников на приобретение патентов на трудовую деятельность, по данным налоговых органов (млн. руб.).</w:t>
      </w:r>
    </w:p>
    <w:p w14:paraId="6B000000">
      <w:pPr>
        <w:pStyle w:val="Style_4"/>
      </w:pPr>
      <w:r>
        <w:t>В совокупных б</w:t>
      </w:r>
      <w:r>
        <w:t>юджетных расходах необходимо учитывать все расходы, включая расходы муниципальных бюджетов.</w:t>
      </w:r>
    </w:p>
    <w:p w14:paraId="6C000000">
      <w:pPr>
        <w:pStyle w:val="Style_4"/>
      </w:pPr>
      <w:r>
        <w:t>Баланс доходов и расходов бюджета рассчитывается путем вычитания совокупных доходов из величины совокупных расходов бюджета (</w:t>
      </w:r>
      <w:r>
        <w:fldChar w:fldCharType="begin"/>
      </w:r>
      <w:r>
        <w:instrText>HYPERLINK \l "anchor1500"</w:instrText>
      </w:r>
      <w:r>
        <w:fldChar w:fldCharType="separate"/>
      </w:r>
      <w:r>
        <w:t>Приложение № 5</w:t>
      </w:r>
      <w:r>
        <w:fldChar w:fldCharType="end"/>
      </w:r>
      <w:r>
        <w:t>).</w:t>
      </w:r>
    </w:p>
    <w:p w14:paraId="6D000000">
      <w:pPr>
        <w:pStyle w:val="Style_4"/>
      </w:pPr>
    </w:p>
    <w:p w14:paraId="6E000000">
      <w:pPr>
        <w:pStyle w:val="Style_4"/>
      </w:pPr>
      <w:r>
        <w:t>Информационной базой расчета показателей раздела 3.2. являются данные муниципальных органов, органов исполнительной власти республики и региональных, федеральных налоговых органов.</w:t>
      </w:r>
    </w:p>
    <w:p w14:paraId="6F000000">
      <w:pPr>
        <w:pStyle w:val="Style_4"/>
      </w:pPr>
      <w:r>
        <w:t>Оценка влияния ИРС на доходы и расходы бюджета Республики Саха (Якут</w:t>
      </w:r>
      <w:r>
        <w:t>ия), связанные с привлечением иностранных работников, определяется через компоненту бюджетной эффективности:</w:t>
      </w:r>
    </w:p>
    <w:p w14:paraId="70000000">
      <w:pPr>
        <w:pStyle w:val="Style_5"/>
        <w:widowControl w:val="1"/>
        <w:ind/>
        <w:jc w:val="center"/>
      </w:pPr>
      <w:r>
        <w:t>K_бюджет</w:t>
      </w:r>
      <w:r>
        <w:t xml:space="preserve"> = 0.7 × (Нормализованная "Бюджетная эффективность") + 0.3 × (Нормализованная "Налоговая нагрузка")</w:t>
      </w:r>
    </w:p>
    <w:p w14:paraId="71000000">
      <w:pPr>
        <w:pStyle w:val="Style_4"/>
      </w:pPr>
      <w:r>
        <w:t>Вес данной компоненты = 0,25.</w:t>
      </w:r>
    </w:p>
    <w:p w14:paraId="72000000">
      <w:pPr>
        <w:pStyle w:val="Style_4"/>
      </w:pPr>
    </w:p>
    <w:p w14:paraId="73000000">
      <w:pPr>
        <w:pStyle w:val="Style_3"/>
        <w:widowControl w:val="1"/>
        <w:spacing w:after="0" w:before="0"/>
        <w:ind w:firstLine="0"/>
      </w:pPr>
      <w:bookmarkStart w:id="17" w:name="anchor104"/>
      <w:bookmarkEnd w:id="17"/>
      <w:r>
        <w:rPr>
          <w:b w:val="0"/>
        </w:rPr>
        <w:t xml:space="preserve">3.3. </w:t>
      </w:r>
      <w:r>
        <w:t>Оценка влияния иностранной рабочей силы</w:t>
      </w:r>
    </w:p>
    <w:p w14:paraId="74000000">
      <w:pPr>
        <w:pStyle w:val="Style_3"/>
        <w:widowControl w:val="1"/>
        <w:spacing w:after="0" w:before="0"/>
        <w:ind w:firstLine="0"/>
      </w:pPr>
      <w:r>
        <w:t>на рынок труда в Республике Саха (Якутия)</w:t>
      </w:r>
    </w:p>
    <w:p w14:paraId="75000000">
      <w:pPr>
        <w:pStyle w:val="Style_4"/>
      </w:pPr>
    </w:p>
    <w:p w14:paraId="76000000">
      <w:pPr>
        <w:pStyle w:val="Style_4"/>
      </w:pPr>
      <w:bookmarkStart w:id="18" w:name="anchor41"/>
      <w:bookmarkEnd w:id="18"/>
      <w:r>
        <w:t>3.3.1. Расчет влияния иностранной рабочей силы на безработицу и напряженность на рынке труда определяется через коэффициент заполнения вакансий ИРС и соотношения уровня безр</w:t>
      </w:r>
      <w:r>
        <w:t>аботицы и доли ИРС к численности занятого населения.</w:t>
      </w:r>
    </w:p>
    <w:p w14:paraId="77000000">
      <w:pPr>
        <w:pStyle w:val="Style_4"/>
      </w:pPr>
      <w:r>
        <w:t>Исходные показатели:</w:t>
      </w:r>
    </w:p>
    <w:p w14:paraId="78000000">
      <w:pPr>
        <w:pStyle w:val="Style_4"/>
      </w:pPr>
      <w:r>
        <w:t>- численность экономически активного населения (</w:t>
      </w:r>
      <w:r>
        <w:fldChar w:fldCharType="begin"/>
      </w:r>
      <w:r>
        <w:instrText>HYPERLINK \l "anchor1100"</w:instrText>
      </w:r>
      <w:r>
        <w:fldChar w:fldCharType="separate"/>
      </w:r>
      <w:r>
        <w:t>Приложение № 1</w:t>
      </w:r>
      <w:r>
        <w:fldChar w:fldCharType="end"/>
      </w:r>
      <w:r>
        <w:t>);</w:t>
      </w:r>
    </w:p>
    <w:p w14:paraId="79000000">
      <w:pPr>
        <w:pStyle w:val="Style_4"/>
      </w:pPr>
      <w:r>
        <w:t>- число вакансий, заявленных организациями в службу занятости, в том числе по видам трудо</w:t>
      </w:r>
      <w:r>
        <w:t>вой деятельности (</w:t>
      </w:r>
      <w:r>
        <w:fldChar w:fldCharType="begin"/>
      </w:r>
      <w:r>
        <w:instrText>HYPERLINK \l "anchor1600"</w:instrText>
      </w:r>
      <w:r>
        <w:fldChar w:fldCharType="separate"/>
      </w:r>
      <w:r>
        <w:t>Приложение № 6</w:t>
      </w:r>
      <w:r>
        <w:fldChar w:fldCharType="end"/>
      </w:r>
      <w:r>
        <w:t>);</w:t>
      </w:r>
    </w:p>
    <w:p w14:paraId="7A000000">
      <w:pPr>
        <w:pStyle w:val="Style_4"/>
      </w:pPr>
      <w:r>
        <w:t>- численность безработных, в том числе по видам трудовой деятельности (</w:t>
      </w:r>
      <w:r>
        <w:fldChar w:fldCharType="begin"/>
      </w:r>
      <w:r>
        <w:instrText>HYPERLINK \l "anchor1900"</w:instrText>
      </w:r>
      <w:r>
        <w:fldChar w:fldCharType="separate"/>
      </w:r>
      <w:r>
        <w:t>Приложение № 9</w:t>
      </w:r>
      <w:r>
        <w:fldChar w:fldCharType="end"/>
      </w:r>
      <w:r>
        <w:t>);</w:t>
      </w:r>
    </w:p>
    <w:p w14:paraId="7B000000">
      <w:pPr>
        <w:pStyle w:val="Style_4"/>
      </w:pPr>
      <w:r>
        <w:t>- численность ИРС, в том числе по видам экономической деятельности и по видам</w:t>
      </w:r>
      <w:r>
        <w:t xml:space="preserve"> трудовой деятельности (</w:t>
      </w:r>
      <w:r>
        <w:fldChar w:fldCharType="begin"/>
      </w:r>
      <w:r>
        <w:instrText>HYPERLINK \l "anchor1200"</w:instrText>
      </w:r>
      <w:r>
        <w:fldChar w:fldCharType="separate"/>
      </w:r>
      <w:r>
        <w:t>Приложение № 2</w:t>
      </w:r>
      <w:r>
        <w:fldChar w:fldCharType="end"/>
      </w:r>
      <w:r>
        <w:t>).</w:t>
      </w:r>
    </w:p>
    <w:p w14:paraId="7C000000">
      <w:pPr>
        <w:pStyle w:val="Style_4"/>
      </w:pPr>
      <w:r>
        <w:t>Расчетные показатели:</w:t>
      </w:r>
    </w:p>
    <w:p w14:paraId="7D000000">
      <w:pPr>
        <w:pStyle w:val="Style_4"/>
      </w:pPr>
      <w:r>
        <w:t xml:space="preserve">- Коэффициент заполнения вакансий ИРС, который рассчитывается как отношение численности ИРС по профессиям/отраслям к числу заявленных вакансий по этим же </w:t>
      </w:r>
      <w:r>
        <w:t>профессиям/отраслям. Значение &gt;1 может указывать на вытеснение местных кадров. Целевое значение: 0.8 - 1.2.</w:t>
      </w:r>
    </w:p>
    <w:p w14:paraId="7E000000">
      <w:pPr>
        <w:pStyle w:val="Style_4"/>
      </w:pPr>
      <w:r>
        <w:t xml:space="preserve">- Соотношение уровня безработицы и доли ИРС к численности занятого населения. Данный показатель </w:t>
      </w:r>
      <w:r>
        <w:t>должен  анализироваться</w:t>
      </w:r>
      <w:r>
        <w:t xml:space="preserve"> в динамике: рост доли ИРС не</w:t>
      </w:r>
      <w:r>
        <w:t xml:space="preserve"> должен сопровождаться ростом безработицы среди местного населения. Целевое значение: отрицательная динамика или стабильно низкий уровень.</w:t>
      </w:r>
    </w:p>
    <w:p w14:paraId="7F000000">
      <w:pPr>
        <w:pStyle w:val="Style_4"/>
      </w:pPr>
      <w:r>
        <w:t>Для оценки степени зависимости отраслей экономики республики от притока ИРС выявляются отрасли с относительно высоким</w:t>
      </w:r>
      <w:r>
        <w:t xml:space="preserve"> (выше средней) и отрасли с относительно низким (ниже среднего) участием ИРС. Для этого, определяются показатели соотношения численности ИРС к численности занятого населения, исчисленные по видам экономической деятельности и сопоставляются с показателем ср</w:t>
      </w:r>
      <w:r>
        <w:t>едней величины этого соотношения по республике.</w:t>
      </w:r>
    </w:p>
    <w:p w14:paraId="80000000">
      <w:pPr>
        <w:pStyle w:val="Style_4"/>
      </w:pPr>
      <w:r>
        <w:t xml:space="preserve">Показатель отношения численности безработных к численности ИРС вычисляется по видам трудовой деятельности. Виды деятельности, в которых заняты иностранные работники, </w:t>
      </w:r>
      <w:r>
        <w:t>ранжируются в зависимости от величины этог</w:t>
      </w:r>
      <w:r>
        <w:t>о показателя и сопоставляются с совокупным (средним) показателем отношения численности безработных к численности ИРС. Делается заключение о меньшем или большем (по отношению к среднему) уровне давления ИРС на рынок труда по отдельным видам деятельности (об</w:t>
      </w:r>
      <w:r>
        <w:t xml:space="preserve"> относительно "благополучных" и "напряженных" участках рынка).</w:t>
      </w:r>
    </w:p>
    <w:p w14:paraId="81000000">
      <w:pPr>
        <w:pStyle w:val="Style_4"/>
      </w:pPr>
      <w:r>
        <w:t>Доля численности безработных в численности ИРС вычисляется в разрезе квалификационных групп. Величина этого показателя для каждой квалификационной группы сопоставляется с совокупным (средним) п</w:t>
      </w:r>
      <w:r>
        <w:t>оказателем отношения численности безработных к численности ИРС. Делается заключение о меньшем или большем (по отношению к среднему) уровне давления ИРС на рынок труда по отдельным квалификационным группам (об относительно "благополучных" и "напряженных" уч</w:t>
      </w:r>
      <w:r>
        <w:t>астках рынка в разрезе квалификации).</w:t>
      </w:r>
    </w:p>
    <w:p w14:paraId="82000000">
      <w:pPr>
        <w:pStyle w:val="Style_4"/>
      </w:pPr>
      <w:r>
        <w:t>Показатели отношения численности, привлекаемой ИРС к числу заявленных вакансий по видам деятельности и квалификационным группам анализируются по аналогичной схеме.</w:t>
      </w:r>
    </w:p>
    <w:p w14:paraId="83000000">
      <w:pPr>
        <w:pStyle w:val="Style_4"/>
      </w:pPr>
      <w:bookmarkStart w:id="19" w:name="anchor42"/>
      <w:bookmarkEnd w:id="19"/>
      <w:r>
        <w:t>Оценка влияния иностранной рабочей силы на рынок труда</w:t>
      </w:r>
      <w:r>
        <w:t xml:space="preserve"> определяется через компоненту влияния ИРС на рынок труда: </w:t>
      </w:r>
    </w:p>
    <w:p w14:paraId="84000000">
      <w:pPr>
        <w:pStyle w:val="Style_4"/>
      </w:pPr>
      <w:r>
        <w:t>K_рынок_труда</w:t>
      </w:r>
      <w:r>
        <w:t xml:space="preserve"> = 0.6 × (Нормализованный "Коэффициент заполнения вакансий" с учетом целевого коридора) + 0.4 × (Оценка динамики "Соотношения безработицы и доли ИРС")</w:t>
      </w:r>
    </w:p>
    <w:p w14:paraId="85000000">
      <w:pPr>
        <w:pStyle w:val="Style_4"/>
      </w:pPr>
      <w:r>
        <w:t>Вес данной компоненты предлагает</w:t>
      </w:r>
      <w:r>
        <w:t>ся оценить в 0,22.</w:t>
      </w:r>
    </w:p>
    <w:p w14:paraId="86000000">
      <w:pPr>
        <w:pStyle w:val="Style_4"/>
      </w:pPr>
    </w:p>
    <w:p w14:paraId="87000000">
      <w:pPr>
        <w:pStyle w:val="Style_4"/>
        <w:widowControl w:val="1"/>
        <w:ind/>
        <w:jc w:val="center"/>
        <w:rPr>
          <w:b w:val="1"/>
        </w:rPr>
      </w:pPr>
      <w:r>
        <w:rPr>
          <w:b w:val="1"/>
        </w:rPr>
        <w:t>3.4. Оценка влияния ИРС на качественные параметры рынка труда</w:t>
      </w:r>
    </w:p>
    <w:p w14:paraId="88000000">
      <w:pPr>
        <w:pStyle w:val="Style_4"/>
        <w:widowControl w:val="1"/>
        <w:ind/>
        <w:jc w:val="center"/>
        <w:rPr>
          <w:b w:val="1"/>
        </w:rPr>
      </w:pPr>
      <w:r>
        <w:rPr>
          <w:b w:val="1"/>
        </w:rPr>
        <w:t>Республики Саха (Якутия)</w:t>
      </w:r>
    </w:p>
    <w:p w14:paraId="89000000">
      <w:pPr>
        <w:pStyle w:val="Style_4"/>
        <w:widowControl w:val="1"/>
        <w:ind/>
        <w:jc w:val="center"/>
        <w:rPr>
          <w:b w:val="1"/>
        </w:rPr>
      </w:pPr>
    </w:p>
    <w:p w14:paraId="8A000000">
      <w:pPr>
        <w:pStyle w:val="Style_4"/>
      </w:pPr>
      <w:r>
        <w:t>3.4.1. Влияние ИРС на структурную и качественную эффективность привлекаемой ИРС оценивается через определение доли ИРС в дефицитных отраслях и индек</w:t>
      </w:r>
      <w:r>
        <w:t xml:space="preserve">с квалификации ИРС. </w:t>
      </w:r>
    </w:p>
    <w:p w14:paraId="8B000000">
      <w:pPr>
        <w:pStyle w:val="Style_4"/>
      </w:pPr>
      <w:r>
        <w:t>Исходные показатели:</w:t>
      </w:r>
    </w:p>
    <w:p w14:paraId="8C000000">
      <w:pPr>
        <w:pStyle w:val="Style_4"/>
      </w:pPr>
      <w:r>
        <w:t>- численность ИРС, в том числе по видам экономической деятельности и по видам трудовой деятельности (</w:t>
      </w:r>
      <w:r>
        <w:fldChar w:fldCharType="begin"/>
      </w:r>
      <w:r>
        <w:instrText>HYPERLINK \l "anchor1200"</w:instrText>
      </w:r>
      <w:r>
        <w:fldChar w:fldCharType="separate"/>
      </w:r>
      <w:r>
        <w:t>Приложение № 2</w:t>
      </w:r>
      <w:r>
        <w:fldChar w:fldCharType="end"/>
      </w:r>
      <w:r>
        <w:t>).</w:t>
      </w:r>
    </w:p>
    <w:p w14:paraId="8D000000">
      <w:pPr>
        <w:pStyle w:val="Style_4"/>
      </w:pPr>
      <w:r>
        <w:t>- число вакансий, заявленных организациями в службу занятости, в том</w:t>
      </w:r>
      <w:r>
        <w:t xml:space="preserve"> числе по видам трудовой деятельности (</w:t>
      </w:r>
      <w:r>
        <w:fldChar w:fldCharType="begin"/>
      </w:r>
      <w:r>
        <w:instrText>HYPERLINK \l "anchor1600"</w:instrText>
      </w:r>
      <w:r>
        <w:fldChar w:fldCharType="separate"/>
      </w:r>
      <w:r>
        <w:t>Приложение № 6</w:t>
      </w:r>
      <w:r>
        <w:fldChar w:fldCharType="end"/>
      </w:r>
      <w:r>
        <w:t>);</w:t>
      </w:r>
    </w:p>
    <w:p w14:paraId="8E000000">
      <w:pPr>
        <w:pStyle w:val="Style_4"/>
      </w:pPr>
      <w:r>
        <w:t>- численность высоко- и среднеквалифицированных иностранных работников.</w:t>
      </w:r>
    </w:p>
    <w:p w14:paraId="8F000000">
      <w:pPr>
        <w:pStyle w:val="Style_4"/>
      </w:pPr>
      <w:r>
        <w:t xml:space="preserve">Расчетные показатели: </w:t>
      </w:r>
    </w:p>
    <w:p w14:paraId="90000000">
      <w:pPr>
        <w:pStyle w:val="Style_4"/>
      </w:pPr>
      <w:r>
        <w:t>- Доля ИРС в дефицитных отраслях (%) представляет собой удельный вес ИРС, зан</w:t>
      </w:r>
      <w:r>
        <w:t>ятых в отраслях, включенных в перечень дефицитных профессий. Целевое значение: ≥50% от общей численности ИРС.</w:t>
      </w:r>
    </w:p>
    <w:p w14:paraId="91000000">
      <w:pPr>
        <w:pStyle w:val="Style_4"/>
      </w:pPr>
      <w:r>
        <w:t>- Индекс квалификации ИРС рассчитывается как доля высоко- и среднеквалифицированных работников в общей численности ИРС. Целевое значение: ≥0, поло</w:t>
      </w:r>
      <w:r>
        <w:t>жительная динамика.</w:t>
      </w:r>
    </w:p>
    <w:p w14:paraId="92000000">
      <w:pPr>
        <w:pStyle w:val="Style_4"/>
      </w:pPr>
      <w:r>
        <w:t xml:space="preserve">Оценка влияния ИРС на качественные параметры рынка труда определяется через компоненту структурной эффективности:  </w:t>
      </w:r>
    </w:p>
    <w:p w14:paraId="93000000">
      <w:pPr>
        <w:pStyle w:val="Style_5"/>
        <w:widowControl w:val="1"/>
        <w:ind/>
        <w:jc w:val="both"/>
      </w:pPr>
      <w:r>
        <w:t>K_структура</w:t>
      </w:r>
      <w:r>
        <w:t xml:space="preserve"> = 0.5 × (Нормализованная "Доля в дефицитных отраслях") + 0.5 × (Нормализованный "Индекс квалификации")</w:t>
      </w:r>
    </w:p>
    <w:p w14:paraId="94000000">
      <w:pPr>
        <w:pStyle w:val="Style_4"/>
      </w:pPr>
      <w:r>
        <w:t>Вес д</w:t>
      </w:r>
      <w:r>
        <w:t>анной компоненты = 0,16</w:t>
      </w:r>
    </w:p>
    <w:p w14:paraId="95000000">
      <w:pPr>
        <w:pStyle w:val="Style_4"/>
      </w:pPr>
    </w:p>
    <w:p w14:paraId="96000000">
      <w:pPr>
        <w:pStyle w:val="Style_4"/>
        <w:widowControl w:val="1"/>
        <w:ind/>
        <w:jc w:val="center"/>
        <w:rPr>
          <w:b w:val="1"/>
        </w:rPr>
      </w:pPr>
      <w:r>
        <w:rPr>
          <w:b w:val="1"/>
        </w:rPr>
        <w:t>3.5. Оценка влияния ИРС на социальную стабильность в Республике Саха (Якутия)</w:t>
      </w:r>
    </w:p>
    <w:p w14:paraId="97000000">
      <w:pPr>
        <w:pStyle w:val="Style_4"/>
      </w:pPr>
    </w:p>
    <w:p w14:paraId="98000000">
      <w:pPr>
        <w:pStyle w:val="Style_4"/>
      </w:pPr>
      <w:r>
        <w:t xml:space="preserve">3.5.1 Влияние ИРС на социальную стабильность определяется через определение уровня преступности среди иностранных граждан и коэффициента социальной нагрузки. </w:t>
      </w:r>
    </w:p>
    <w:p w14:paraId="99000000">
      <w:pPr>
        <w:pStyle w:val="Style_4"/>
      </w:pPr>
      <w:r>
        <w:t>Исходные показатели:</w:t>
      </w:r>
    </w:p>
    <w:p w14:paraId="9A000000">
      <w:pPr>
        <w:pStyle w:val="Style_4"/>
      </w:pPr>
      <w:r>
        <w:t>- число преступлений, совершенных иностранными гражданами и против иностранн</w:t>
      </w:r>
      <w:r>
        <w:t>ых граждан, в том числе по видам преступлений, и их доля в общей численности соответствующих преступлений;</w:t>
      </w:r>
    </w:p>
    <w:p w14:paraId="9B000000">
      <w:pPr>
        <w:pStyle w:val="Style_4"/>
      </w:pPr>
      <w:r>
        <w:t>- численность детей иностранных граждан, обучающихся в государственных дошкольных и школьных учреждениях;</w:t>
      </w:r>
    </w:p>
    <w:p w14:paraId="9C000000">
      <w:pPr>
        <w:pStyle w:val="Style_4"/>
      </w:pPr>
      <w:r>
        <w:t>- численность детей российских граждан, обу</w:t>
      </w:r>
      <w:r>
        <w:t>чающихся в государственных дошкольных и школьных учреждениях.</w:t>
      </w:r>
    </w:p>
    <w:p w14:paraId="9D000000">
      <w:pPr>
        <w:pStyle w:val="Style_4"/>
      </w:pPr>
      <w:r>
        <w:t xml:space="preserve">Расчетные показатели: </w:t>
      </w:r>
    </w:p>
    <w:p w14:paraId="9E000000">
      <w:pPr>
        <w:pStyle w:val="Style_4"/>
      </w:pPr>
      <w:r>
        <w:t>- уровень преступности среди иностранных граждан (на 1000 чел.). Целевое значение: ≤ среднерегионального уровня преступности;</w:t>
      </w:r>
    </w:p>
    <w:p w14:paraId="9F000000">
      <w:pPr>
        <w:pStyle w:val="Style_4"/>
      </w:pPr>
      <w:r>
        <w:t xml:space="preserve">- коэффициент социальной </w:t>
      </w:r>
      <w:r>
        <w:t>нагрузки рассчитывается как доля детей иностранных граждан, обучающихся в государственных школах и детсадах, в общей численности детей региона. Целевое значение: ≤0,1.</w:t>
      </w:r>
    </w:p>
    <w:p w14:paraId="A0000000">
      <w:pPr>
        <w:pStyle w:val="Style_4"/>
      </w:pPr>
      <w:r>
        <w:t>Оценка влияния ИРС на социальную стабильность в Республике Саха (Якутия) определяется че</w:t>
      </w:r>
      <w:r>
        <w:t xml:space="preserve">рез компоненту социальной эффективности: </w:t>
      </w:r>
    </w:p>
    <w:p w14:paraId="A1000000">
      <w:pPr>
        <w:pStyle w:val="Style_4"/>
      </w:pPr>
      <w:r>
        <w:t xml:space="preserve"> </w:t>
      </w:r>
      <w:r>
        <w:t>К_социальный</w:t>
      </w:r>
      <w:r>
        <w:t xml:space="preserve"> = 0.6 × (Нормализованный "Уровень преступности") + 0.4 × (Нормализованный "Коэффициент соц. нагрузки")</w:t>
      </w:r>
    </w:p>
    <w:p w14:paraId="A2000000">
      <w:pPr>
        <w:pStyle w:val="Style_4"/>
      </w:pPr>
      <w:r>
        <w:t xml:space="preserve"> Вес данной компоненты предлагается оценить в 0,12.</w:t>
      </w:r>
    </w:p>
    <w:p w14:paraId="A3000000">
      <w:pPr>
        <w:pStyle w:val="Style_3"/>
      </w:pPr>
      <w:bookmarkStart w:id="20" w:name="anchor105"/>
      <w:bookmarkEnd w:id="20"/>
      <w:r>
        <w:t>IV. Определение интегрального показателя эффе</w:t>
      </w:r>
      <w:r>
        <w:t>ктивности использования иностранной рабочей силы на территории Республики Саха (Якутия)</w:t>
      </w:r>
    </w:p>
    <w:p w14:paraId="A4000000">
      <w:pPr>
        <w:pStyle w:val="Style_4"/>
      </w:pPr>
    </w:p>
    <w:p w14:paraId="A5000000">
      <w:pPr>
        <w:pStyle w:val="Style_4"/>
      </w:pPr>
      <w:bookmarkStart w:id="21" w:name="anchor51"/>
      <w:bookmarkEnd w:id="21"/>
      <w:r>
        <w:t>4.1. Интегральный показатель рассчитывается как средневзвешенная сумма компонент:</w:t>
      </w:r>
    </w:p>
    <w:p w14:paraId="A6000000">
      <w:pPr>
        <w:pStyle w:val="Style_4"/>
      </w:pPr>
      <w:r>
        <w:t>Iэирс</w:t>
      </w:r>
      <w:r>
        <w:t xml:space="preserve"> = 0,25⋅Kэконом + 0,25⋅Kбюджет + 0,26⋅Kтруд + 0,16⋅Kструкт + 0,12⋅Kсоц</w:t>
      </w:r>
    </w:p>
    <w:p w14:paraId="A7000000">
      <w:pPr>
        <w:pStyle w:val="Style_4"/>
      </w:pPr>
      <w:r>
        <w:t>4.2. С це</w:t>
      </w:r>
      <w:r>
        <w:t>лью минимизации доминирования одних показателей с большим числовым диапазоном над другими необходимо использовать метод нормализации (Приложение № 12).</w:t>
      </w:r>
    </w:p>
    <w:p w14:paraId="A8000000">
      <w:pPr>
        <w:pStyle w:val="Style_4"/>
      </w:pPr>
      <w:r>
        <w:t xml:space="preserve">4.3. Критерии оценки интегрального индекса: </w:t>
      </w:r>
    </w:p>
    <w:p w14:paraId="A9000000">
      <w:pPr>
        <w:pStyle w:val="Style_4"/>
      </w:pPr>
      <w:r>
        <w:t>- 0,75–1,00 — высокая эффективность (зеленая зона);</w:t>
      </w:r>
    </w:p>
    <w:p w14:paraId="AA000000">
      <w:pPr>
        <w:pStyle w:val="Style_4"/>
      </w:pPr>
      <w:r>
        <w:t>- 0,50–0,74 </w:t>
      </w:r>
      <w:r>
        <w:t>— умеренная эффективность (желтая зона);</w:t>
      </w:r>
    </w:p>
    <w:p w14:paraId="AB000000">
      <w:pPr>
        <w:pStyle w:val="Style_4"/>
      </w:pPr>
      <w:r>
        <w:t xml:space="preserve">- &lt;0,50 — низкая эффективность (красная зона) </w:t>
      </w:r>
      <w:bookmarkStart w:id="22" w:name="anchor106"/>
      <w:bookmarkEnd w:id="22"/>
      <w:bookmarkStart w:id="23" w:name="anchor1100"/>
      <w:bookmarkEnd w:id="23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1 к Методике оценки эффективности использования иностранной рабочей силы в Республике Саха (Якутия)</w:t>
            </w:r>
          </w:p>
          <w:p w14:paraId="AE000000">
            <w:pPr>
              <w:widowControl w:val="1"/>
              <w:ind/>
              <w:jc w:val="both"/>
            </w:pPr>
          </w:p>
        </w:tc>
      </w:tr>
    </w:tbl>
    <w:p w14:paraId="AF000000">
      <w:pPr>
        <w:pStyle w:val="Style_3"/>
      </w:pPr>
      <w:r>
        <w:t>Численность занятого населения Республики Саха (Як</w:t>
      </w:r>
      <w:r>
        <w:t>утия)</w:t>
      </w:r>
    </w:p>
    <w:p w14:paraId="B0000000">
      <w:pPr>
        <w:pStyle w:val="Style_4"/>
        <w:widowControl w:val="1"/>
        <w:ind w:firstLine="680"/>
        <w:jc w:val="right"/>
      </w:pPr>
      <w:r>
        <w:t>(тыс. человек)</w:t>
      </w: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846"/>
        <w:gridCol w:w="8344"/>
        <w:gridCol w:w="1128"/>
      </w:tblGrid>
      <w:tr>
        <w:tc>
          <w:tcPr>
            <w:tcW w:type="dxa" w:w="8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B100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34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B200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B300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84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4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834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6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7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8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Численность постоянного населения на начало года (тыс. человек)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9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A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B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Численность трудоспособного населения (тыс. человек)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C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D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E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</w:t>
            </w:r>
            <w:r>
              <w:rPr>
                <w:sz w:val="22"/>
              </w:rPr>
              <w:t>экономически активного населения (тыс. человек)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1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Раздел 1. Среднегодовая численность занятого в экономике населения (тыс. человек)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2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3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4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 том числе по видам экономической деятельности: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5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6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7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 и лесное хозяйство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8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9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A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Рыболовство и рыбоводство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B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C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4.3.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D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E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F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4.4.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0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1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2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4.5.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3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Производство и распределение электроэнергии, газа и воды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4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5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4.6.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6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7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8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4.7.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9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Оптовая и розничная торговля; ремонт </w:t>
            </w:r>
            <w:r>
              <w:rPr>
                <w:sz w:val="22"/>
              </w:rPr>
              <w:t>автотранспортных средств, мотоциклов, бытовых изделий и предметов личного пользования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A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B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4.8.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C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Гостиницы и рестораны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D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E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4.9.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F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 и связь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0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1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4.10.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2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Финансовая деятельность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3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4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4.11.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5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Операции с недвижимым имуществом, аренда и </w:t>
            </w:r>
            <w:r>
              <w:rPr>
                <w:sz w:val="22"/>
              </w:rPr>
              <w:t>предоставление услуг.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6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7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8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безопасности; социальное страхование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9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A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4.13.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B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C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4.14.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Здравоохранение и предоставление социальных услуг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4.13.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Предоставление прочих коммунальных, </w:t>
            </w:r>
            <w:r>
              <w:rPr>
                <w:sz w:val="22"/>
              </w:rPr>
              <w:t>социальных и персональных услуг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Раздел 2. Численность занятого населения по группам занятий, в том числе: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Руководители (представители) органов власти и управления всех учреждений, включая руководителей учреждений, организаций и </w:t>
            </w:r>
            <w:r>
              <w:rPr>
                <w:sz w:val="22"/>
              </w:rPr>
              <w:t>предприятий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Специалисты высшего уровня квалификации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5.3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0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Специалисты среднего уровня квалификации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0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F00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5.4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0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Служащие, занятые подготовкой информации, оформлением документации, учетом и обслуживанием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1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2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5.5.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3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Работники сферы </w:t>
            </w:r>
            <w:r>
              <w:rPr>
                <w:sz w:val="22"/>
              </w:rPr>
              <w:t>обслуживания, жилищно-коммунального хозяйства, торговли и родственных видов деятельности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4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5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5.6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Квалифицированные работники сельского, лесного, охотничьего хозяйства, рыболовства и рыбоводства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7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8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5.7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Квалифицированные рабочие крупных и мелких промышлен</w:t>
            </w:r>
            <w:r>
              <w:rPr>
                <w:sz w:val="22"/>
              </w:rPr>
              <w:t>ных предприятий, художественных промыслов, строительства, транспорта, связи, геологии и разведки недр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A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B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5.8.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C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Операторы, аппаратчики, машинисты установок и машин и слесари - сборщики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D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E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5.9.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F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Неквалифицированные рабочие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0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1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Раздел 3. По </w:t>
            </w:r>
            <w:r>
              <w:rPr>
                <w:sz w:val="22"/>
              </w:rPr>
              <w:t>отдельным наиболее востребованным профессиям: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3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4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Каменщики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6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7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Бетонщики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9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A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5.3.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B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Штукатуры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C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D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5.4.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Сварщики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F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5.5.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Монтажники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3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5.6.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4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Трактористы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5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6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5.7.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Слесари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8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9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5.8.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A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Водители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5.9.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Машинисты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5.10.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0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Механики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1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5.11.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3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Повар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5.12.</w:t>
            </w:r>
          </w:p>
        </w:tc>
        <w:tc>
          <w:tcPr>
            <w:tcW w:type="dxa" w:w="834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6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Продавец и т. д.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38010000">
      <w:pPr>
        <w:pStyle w:val="Style_4"/>
      </w:pPr>
    </w:p>
    <w:p w14:paraId="39010000">
      <w:pPr>
        <w:widowControl w:val="1"/>
        <w:spacing w:after="200" w:line="276" w:lineRule="auto"/>
        <w:ind/>
      </w:pPr>
      <w:bookmarkStart w:id="24" w:name="anchor1200"/>
      <w:bookmarkEnd w:id="24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</w:t>
            </w:r>
            <w:r>
              <w:rPr>
                <w:color w:val="000000"/>
              </w:rPr>
              <w:t>2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3C010000">
            <w:pPr>
              <w:widowControl w:val="1"/>
              <w:ind/>
              <w:jc w:val="both"/>
            </w:pPr>
          </w:p>
        </w:tc>
      </w:tr>
    </w:tbl>
    <w:p w14:paraId="3D010000">
      <w:pPr>
        <w:pStyle w:val="Style_3"/>
      </w:pPr>
      <w:r>
        <w:t xml:space="preserve">Численность привлеченной в Республику Саха (Якутия) иностранной рабочей силы </w:t>
      </w:r>
    </w:p>
    <w:p w14:paraId="3E010000">
      <w:pPr>
        <w:pStyle w:val="Style_4"/>
        <w:widowControl w:val="1"/>
        <w:ind w:firstLine="680"/>
        <w:jc w:val="right"/>
      </w:pPr>
      <w:r>
        <w:t>(человек)</w:t>
      </w:r>
    </w:p>
    <w:tbl>
      <w:tblPr>
        <w:tblStyle w:val="Style_1"/>
        <w:tblW w:type="auto" w:w="0"/>
        <w:tblInd w:type="dxa" w:w="113"/>
        <w:tblLayout w:type="fixed"/>
      </w:tblPr>
      <w:tblGrid>
        <w:gridCol w:w="1271"/>
        <w:gridCol w:w="7964"/>
        <w:gridCol w:w="1083"/>
      </w:tblGrid>
      <w:tr>
        <w:trPr>
          <w:trHeight w:hRule="atLeast" w:val="30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79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vAlign w:val="center"/>
          </w:tcPr>
          <w:p w14:paraId="4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083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101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rPr>
          <w:trHeight w:hRule="atLeast" w:val="1020"/>
        </w:trPr>
        <w:tc>
          <w:tcPr>
            <w:tcW w:type="dxa" w:w="127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7964"/>
            <w:tcBorders>
              <w:top w:color="000000" w:sz="4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3010000">
            <w:pPr>
              <w:widowControl w:val="1"/>
              <w:ind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Численность иностранных </w:t>
            </w:r>
            <w:r>
              <w:rPr>
                <w:b w:val="1"/>
                <w:sz w:val="22"/>
              </w:rPr>
              <w:t>граждан,  прибывших</w:t>
            </w:r>
            <w:r>
              <w:rPr>
                <w:b w:val="1"/>
                <w:sz w:val="22"/>
              </w:rPr>
              <w:t xml:space="preserve"> в  Республику</w:t>
            </w:r>
            <w:r>
              <w:rPr>
                <w:b w:val="1"/>
                <w:sz w:val="22"/>
              </w:rPr>
              <w:t xml:space="preserve"> Саха (Якутия) в целях осуществления трудовой деятельности, в том числе по категориям:</w:t>
            </w:r>
          </w:p>
        </w:tc>
        <w:tc>
          <w:tcPr>
            <w:tcW w:type="dxa" w:w="1083"/>
            <w:tcBorders>
              <w:top w:color="000000" w:sz="2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4010000">
            <w:pPr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6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Граждане дальнего зарубежья (визовые)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9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Граждане ближнего зарубежья (безвизовые)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1.3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C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Граждане стран членов ЕАЭС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4F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Количество оформленных разрешений на работу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2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Количество оформленных патентов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5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Количество действительных патентов на конец отчетного периода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8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Выдано патентов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102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4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B010000">
            <w:pPr>
              <w:widowControl w:val="1"/>
              <w:ind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Численность иностранной рабочей силы, на которых от </w:t>
            </w:r>
            <w:r>
              <w:rPr>
                <w:b w:val="1"/>
                <w:sz w:val="22"/>
              </w:rPr>
              <w:t>работодателей получены уведомления о привлечении, в том числе, по видам экономической деятельности: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C010000">
            <w:pPr>
              <w:widowControl w:val="1"/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E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Сельское,лесное</w:t>
            </w:r>
            <w:r>
              <w:rPr>
                <w:sz w:val="22"/>
              </w:rPr>
              <w:t xml:space="preserve"> хозяйство, охота, рыболовство и рыбоводство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5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1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4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7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76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A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Водоснабжение; водоотведение, организация сбора и утилизации отходов, деятельность по ликвидации </w:t>
            </w:r>
            <w:r>
              <w:rPr>
                <w:sz w:val="22"/>
              </w:rPr>
              <w:t>загрязнений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D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6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0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Торговля оптовая и розничная; ремонт автотранспортных средств, мотоциклов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3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6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Деятельность гостиниц и предприятий </w:t>
            </w:r>
            <w:r>
              <w:rPr>
                <w:sz w:val="22"/>
              </w:rPr>
              <w:t>общественного питания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9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C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финансовая и страховая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7F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2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Деятельность </w:t>
            </w:r>
            <w:r>
              <w:rPr>
                <w:sz w:val="22"/>
              </w:rPr>
              <w:t>профессиональная, научная и техническая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5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8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B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C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E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8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1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4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Предоставление прочих коммунальных, социальных и </w:t>
            </w:r>
            <w:r>
              <w:rPr>
                <w:sz w:val="22"/>
              </w:rPr>
              <w:t>персональных услуг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127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Раздел T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7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потребления.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51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A010000">
            <w:pPr>
              <w:widowControl w:val="1"/>
              <w:ind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По отдельным наиболее </w:t>
            </w:r>
            <w:r>
              <w:rPr>
                <w:b w:val="1"/>
                <w:sz w:val="22"/>
              </w:rPr>
              <w:t>востребованным профессиям: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D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Арматурщики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9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0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Бетонщики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3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Бухгалтеры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6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Водители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9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Геологи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C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Грузчики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AF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Директора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2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Инженеры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5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Каменщики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8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Машинисты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00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B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Механики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C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B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Монтажники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Операторы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4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Повара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6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7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Подсобные рабочие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9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A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Продавцы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C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D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Разнорабочие 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CF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0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Сварщики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2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3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Слесари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4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5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6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Уборщики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7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8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9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Штукатуры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A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B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C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Маляры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DE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DF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Горнорабочие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0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  <w:tr>
        <w:trPr>
          <w:trHeight w:hRule="atLeast" w:val="315"/>
        </w:trPr>
        <w:tc>
          <w:tcPr>
            <w:tcW w:type="dxa" w:w="1271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E1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796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201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Отделочники</w:t>
            </w:r>
          </w:p>
        </w:tc>
        <w:tc>
          <w:tcPr>
            <w:tcW w:type="dxa" w:w="1083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E3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</w:tr>
    </w:tbl>
    <w:p w14:paraId="E4010000">
      <w:pPr>
        <w:pStyle w:val="Style_4"/>
      </w:pPr>
    </w:p>
    <w:p w14:paraId="E5010000">
      <w:pPr>
        <w:widowControl w:val="1"/>
        <w:spacing w:after="200" w:line="276" w:lineRule="auto"/>
        <w:ind/>
      </w:pPr>
      <w:bookmarkStart w:id="25" w:name="anchor1300"/>
      <w:bookmarkEnd w:id="25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3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E8010000">
            <w:pPr>
              <w:widowControl w:val="1"/>
              <w:ind/>
              <w:jc w:val="both"/>
            </w:pPr>
          </w:p>
        </w:tc>
      </w:tr>
    </w:tbl>
    <w:p w14:paraId="E9010000">
      <w:pPr>
        <w:pStyle w:val="Style_3"/>
      </w:pPr>
      <w:r>
        <w:t>Основные показатели для определения вклада в экономику Республики Саха (Якутия)</w:t>
      </w:r>
    </w:p>
    <w:p w14:paraId="EA010000">
      <w:pPr>
        <w:pStyle w:val="Style_4"/>
        <w:widowControl w:val="1"/>
        <w:ind w:firstLine="680"/>
        <w:jc w:val="right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993"/>
        <w:gridCol w:w="8218"/>
        <w:gridCol w:w="1107"/>
      </w:tblGrid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EB01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EC01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Наименование </w:t>
            </w:r>
            <w:r>
              <w:rPr>
                <w:sz w:val="22"/>
              </w:rPr>
              <w:t>показателя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1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ВРП (млн. рублей)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Оборот организаций, всего (млн. рублей), в том числе по видам экономической деятельности: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1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1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F01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Водоснабжение; водоотведение, организация сбора и утилизации отходов, </w:t>
            </w:r>
            <w:r>
              <w:rPr>
                <w:sz w:val="22"/>
              </w:rPr>
              <w:t>деятельность по ликвидации загрязнений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Торговля оптовая и розничная; ремонт автотранспортных средств, мотоциклов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A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B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C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D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гостиниц и </w:t>
            </w:r>
            <w:r>
              <w:rPr>
                <w:sz w:val="22"/>
              </w:rPr>
              <w:t>предприятий общественного питания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E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F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0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1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3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финансовая и страховая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4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6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7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9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</w:t>
            </w:r>
            <w:r>
              <w:rPr>
                <w:sz w:val="22"/>
              </w:rPr>
              <w:t>профессиональная, научная и техническая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A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B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C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D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821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F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10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rPr>
          <w:trHeight w:hRule="atLeast" w:val="233"/>
        </w:trP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3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4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5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6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8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9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A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Предоставление прочих коммунальных, социальных и </w:t>
            </w:r>
            <w:r>
              <w:rPr>
                <w:sz w:val="22"/>
              </w:rPr>
              <w:t>персональных услуг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Инвестиции в основной капитал (млн. руб.)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Реализовано инвестиционных проектов, программ, мероприятий, ед.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821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Доля инвестиционных проектов, реализуемых с привлечением иностранных работников, %</w:t>
            </w:r>
          </w:p>
        </w:tc>
        <w:tc>
          <w:tcPr>
            <w:tcW w:type="dxa" w:w="110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rPr>
          <w:trHeight w:hRule="atLeast" w:val="80"/>
        </w:trPr>
        <w:tc>
          <w:tcPr>
            <w:tcW w:type="dxa" w:w="993"/>
            <w:tcBorders>
              <w:top w:color="000000" w:sz="2" w:val="single"/>
              <w:left w:color="000000" w:sz="2" w:val="single"/>
              <w:bottom w:color="000000" w:sz="4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type="dxa" w:w="8218"/>
            <w:tcBorders>
              <w:top w:color="000000" w:sz="2" w:val="single"/>
              <w:bottom w:color="000000" w:sz="4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</w:t>
            </w:r>
            <w:r>
              <w:rPr>
                <w:sz w:val="22"/>
              </w:rPr>
              <w:t>иностранных работников, используемых на инвестиционных проектах, чел.</w:t>
            </w:r>
          </w:p>
        </w:tc>
        <w:tc>
          <w:tcPr>
            <w:tcW w:type="dxa" w:w="1107"/>
            <w:tcBorders>
              <w:top w:color="000000" w:sz="2" w:val="single"/>
              <w:bottom w:color="000000" w:sz="4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39020000">
      <w:pPr>
        <w:widowControl w:val="1"/>
        <w:spacing w:after="200" w:line="276" w:lineRule="auto"/>
        <w:ind/>
        <w:jc w:val="both"/>
      </w:pPr>
    </w:p>
    <w:p w14:paraId="3A020000">
      <w:pPr>
        <w:widowControl w:val="1"/>
        <w:spacing w:after="200" w:line="276" w:lineRule="auto"/>
        <w:ind/>
        <w:jc w:val="both"/>
      </w:pPr>
    </w:p>
    <w:p w14:paraId="3B020000">
      <w:pPr>
        <w:widowControl w:val="1"/>
        <w:spacing w:after="200" w:line="276" w:lineRule="auto"/>
        <w:ind/>
        <w:jc w:val="both"/>
      </w:pPr>
    </w:p>
    <w:p w14:paraId="3C020000">
      <w:pPr>
        <w:widowControl w:val="1"/>
        <w:spacing w:after="200" w:line="276" w:lineRule="auto"/>
        <w:ind/>
        <w:jc w:val="both"/>
      </w:pPr>
    </w:p>
    <w:p w14:paraId="3D020000">
      <w:pPr>
        <w:widowControl w:val="1"/>
        <w:spacing w:after="200" w:line="276" w:lineRule="auto"/>
        <w:ind/>
        <w:jc w:val="both"/>
      </w:pPr>
    </w:p>
    <w:p w14:paraId="3E020000">
      <w:pPr>
        <w:widowControl w:val="1"/>
        <w:spacing w:after="200" w:line="276" w:lineRule="auto"/>
        <w:ind/>
        <w:jc w:val="both"/>
      </w:pPr>
      <w:r>
        <w:br w:type="page"/>
      </w:r>
      <w:bookmarkStart w:id="26" w:name="anchor1400"/>
      <w:bookmarkEnd w:id="26"/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4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41020000">
            <w:pPr>
              <w:widowControl w:val="1"/>
              <w:ind/>
              <w:jc w:val="both"/>
            </w:pPr>
          </w:p>
        </w:tc>
      </w:tr>
    </w:tbl>
    <w:p w14:paraId="42020000">
      <w:pPr>
        <w:pStyle w:val="Style_3"/>
      </w:pPr>
      <w:r>
        <w:t>Оценка вклада ИРС в производство товаров и услуг</w:t>
      </w:r>
    </w:p>
    <w:p w14:paraId="43020000">
      <w:pPr>
        <w:pStyle w:val="Style_4"/>
        <w:widowControl w:val="1"/>
        <w:ind w:firstLine="680"/>
        <w:jc w:val="right"/>
      </w:pPr>
      <w:r>
        <w:t>(тыс. рублей)</w:t>
      </w: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1276"/>
        <w:gridCol w:w="7975"/>
        <w:gridCol w:w="1067"/>
      </w:tblGrid>
      <w:tr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4402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797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4502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06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602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1276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7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797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8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Вклад ИРС в оборот организаций, всего </w:t>
            </w:r>
            <w:r>
              <w:rPr>
                <w:sz w:val="22"/>
              </w:rPr>
              <w:t>(тыс. рублей), в том числе по видам экономической деятельности:</w:t>
            </w:r>
          </w:p>
        </w:tc>
        <w:tc>
          <w:tcPr>
            <w:tcW w:type="dxa" w:w="106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9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A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B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Сельское,лесное</w:t>
            </w:r>
            <w:r>
              <w:rPr>
                <w:sz w:val="22"/>
              </w:rPr>
              <w:t xml:space="preserve"> хозяйство, охота, рыболовство и рыбоводство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C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D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E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F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9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A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C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D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Торговля оптовая и розничная; ремонт автотранспортных средств, мотоциклов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F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0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1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2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3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гостиниц и предприятий общественного питания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5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6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8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9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финансовая и страховая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B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C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E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F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профессиональная, научная и техническая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0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1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2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административная и сопутствующие </w:t>
            </w:r>
            <w:r>
              <w:rPr>
                <w:sz w:val="22"/>
              </w:rPr>
              <w:t>дополнительные услуги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4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5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6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7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8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9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A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B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D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E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F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Доля вклада ИРС в производство товаров и услуг, в том числе по видам </w:t>
            </w:r>
            <w:r>
              <w:rPr>
                <w:sz w:val="22"/>
              </w:rPr>
              <w:t>экономической деятельности: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Сельское,лесное</w:t>
            </w:r>
            <w:r>
              <w:rPr>
                <w:sz w:val="22"/>
              </w:rPr>
              <w:t xml:space="preserve"> хозяйство, охота, рыболовство и рыбоводство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9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A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B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C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D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E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F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0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Обеспечение электрической энергией, газом и паром; </w:t>
            </w:r>
            <w:r>
              <w:rPr>
                <w:sz w:val="22"/>
              </w:rPr>
              <w:t>кондиционирование воздуха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1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2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3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4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5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6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7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8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9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Торговля оптовая и розничная; ремонт </w:t>
            </w:r>
            <w:r>
              <w:rPr>
                <w:sz w:val="22"/>
              </w:rPr>
              <w:t>автотранспортных средств, мотоциклов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A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B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C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D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E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F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гостиниц и предприятий общественного питания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0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1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2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3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4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5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финансовая и </w:t>
            </w:r>
            <w:r>
              <w:rPr>
                <w:sz w:val="22"/>
              </w:rPr>
              <w:t>страховая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6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7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8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9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A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B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профессиональная, научная и техническая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C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D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E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F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9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A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культуры, спорта, </w:t>
            </w:r>
            <w:r>
              <w:rPr>
                <w:sz w:val="22"/>
              </w:rPr>
              <w:t>организации досуга и развлечений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B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C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D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E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Доля регионального валового продукта, приходящаяся на ИРС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1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276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2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</w:t>
            </w:r>
          </w:p>
        </w:tc>
        <w:tc>
          <w:tcPr>
            <w:tcW w:type="dxa" w:w="797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3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Доля инвестиционных проектов, реализация которых </w:t>
            </w:r>
            <w:r>
              <w:rPr>
                <w:sz w:val="22"/>
              </w:rPr>
              <w:t>невозможна без ИРС</w:t>
            </w:r>
          </w:p>
        </w:tc>
        <w:tc>
          <w:tcPr>
            <w:tcW w:type="dxa" w:w="106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4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C5020000">
      <w:pPr>
        <w:pStyle w:val="Style_4"/>
      </w:pPr>
    </w:p>
    <w:p w14:paraId="C6020000">
      <w:pPr>
        <w:pStyle w:val="Style_4"/>
      </w:pPr>
    </w:p>
    <w:p w14:paraId="C7020000">
      <w:pPr>
        <w:widowControl w:val="1"/>
        <w:spacing w:after="200" w:line="276" w:lineRule="auto"/>
        <w:ind/>
      </w:pPr>
      <w:bookmarkStart w:id="27" w:name="anchor1500"/>
      <w:bookmarkEnd w:id="27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5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CA020000">
            <w:pPr>
              <w:widowControl w:val="1"/>
              <w:ind/>
              <w:jc w:val="both"/>
            </w:pPr>
          </w:p>
        </w:tc>
      </w:tr>
    </w:tbl>
    <w:p w14:paraId="CB020000">
      <w:pPr>
        <w:pStyle w:val="Style_3"/>
      </w:pPr>
      <w:r>
        <w:t>Сопоставление доходов и расходов бюджета Республики Саха (Якутия), связанных с привлечением иностранных граждан</w:t>
      </w:r>
    </w:p>
    <w:p w14:paraId="CC020000">
      <w:pPr>
        <w:pStyle w:val="Style_4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627"/>
        <w:gridCol w:w="8581"/>
        <w:gridCol w:w="1110"/>
      </w:tblGrid>
      <w:tr>
        <w:trPr>
          <w:trHeight w:hRule="atLeast" w:val="227"/>
        </w:trP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CD02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CE02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F02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0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1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иностранных граждан </w:t>
            </w:r>
            <w:r>
              <w:rPr>
                <w:sz w:val="22"/>
              </w:rPr>
              <w:t>поставленных на</w:t>
            </w:r>
            <w:r>
              <w:rPr>
                <w:sz w:val="22"/>
              </w:rPr>
              <w:t xml:space="preserve"> миграционный учет Республике Саха (Якутия), из них: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2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3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4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 месту жительства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5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6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7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  месту</w:t>
            </w:r>
            <w:r>
              <w:rPr>
                <w:sz w:val="22"/>
              </w:rPr>
              <w:t xml:space="preserve"> пребывания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8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9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A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  месту</w:t>
            </w:r>
            <w:r>
              <w:rPr>
                <w:sz w:val="22"/>
              </w:rPr>
              <w:t xml:space="preserve"> пребывания (первично)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B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C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D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Численность прибывших детей иностранных граждан от 0 до 16 лет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E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F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0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Численность ИГ, находящихся на территории РС(Я), по состоянию на конец отчетного периода, из них: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1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2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3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зарегистрированные по месту жительства на </w:t>
            </w:r>
            <w:r>
              <w:rPr>
                <w:sz w:val="22"/>
              </w:rPr>
              <w:t>основании разрешений на временное проживание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4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5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6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зарегистрированные по месту жительства на основании вида на жительство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7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8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9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зарегистрированные по месту пребывания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A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B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C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детей иностранных граждан, обучающихся в детских дошкольных </w:t>
            </w:r>
            <w:r>
              <w:rPr>
                <w:sz w:val="22"/>
              </w:rPr>
              <w:t>учреждениях и школах (человек)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D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E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F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Численность детей российских граждан, обучающихся в детских дошкольных учреждениях и школах (человек)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1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2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детей российских граждан, обучающихся в государственных и </w:t>
            </w:r>
            <w:r>
              <w:rPr>
                <w:sz w:val="22"/>
              </w:rPr>
              <w:t>муниципальных</w:t>
            </w:r>
            <w:r>
              <w:rPr>
                <w:sz w:val="22"/>
              </w:rPr>
              <w:t xml:space="preserve"> школах (человек)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3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4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5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Расходы бюджета на содержание и обучение детей иностранных граждан, обучавшихся в детских дошкольных учреждениях и школах.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6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7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8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Расходы бюджета на поддержание социальной инфраструктуры, используемой иностранными гражданами (общежития и т.п.)</w:t>
            </w:r>
            <w:r>
              <w:rPr>
                <w:sz w:val="22"/>
              </w:rPr>
              <w:t xml:space="preserve">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9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A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B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Численность иностранных граждан, которым была оказана экстренная, скорая, в том числе скорая специализированная, </w:t>
            </w:r>
            <w:r>
              <w:rPr>
                <w:sz w:val="22"/>
              </w:rPr>
              <w:t>медицинская  помощь</w:t>
            </w:r>
            <w:r>
              <w:rPr>
                <w:sz w:val="22"/>
              </w:rPr>
              <w:t xml:space="preserve"> (человек)*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C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D02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E02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Расходы бюджета на оказание экстренной, скорой, в том числе скорой </w:t>
            </w:r>
            <w:r>
              <w:rPr>
                <w:sz w:val="22"/>
              </w:rPr>
              <w:t>специализированной, медицинской помощи иностранным гражданам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F02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Расходы бюджета на оказание другой (неотложной, плановой) медицинской помощи иностранным гражданам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3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Расходы бюджета на депортацию и административное выдворение иностранных граждан (тыс. </w:t>
            </w:r>
            <w:r>
              <w:rPr>
                <w:sz w:val="22"/>
              </w:rPr>
              <w:t>рублей)*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7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Прочие расходы бюджета.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8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A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Совокупные расходы муниципальных бюджетов Республики Саха (Якутия)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B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D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Совокупные </w:t>
            </w:r>
            <w:r>
              <w:rPr>
                <w:sz w:val="22"/>
              </w:rPr>
              <w:t>расходы бюджета Республики Саха (Якутия)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E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F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0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Всего расходов бюджетов всех уровней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1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3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Вклад иностранной рабочей силы в доходную часть бюджета Республики Саха (Якутия) (</w:t>
            </w:r>
            <w:r>
              <w:rPr>
                <w:sz w:val="22"/>
              </w:rPr>
              <w:t>НДФЛ )</w:t>
            </w:r>
            <w:r>
              <w:rPr>
                <w:sz w:val="22"/>
              </w:rPr>
              <w:t xml:space="preserve"> (тыс. рублей)</w:t>
            </w:r>
          </w:p>
        </w:tc>
        <w:tc>
          <w:tcPr>
            <w:tcW w:type="dxa" w:w="1110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4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6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Сумма платежей </w:t>
            </w:r>
            <w:r>
              <w:rPr>
                <w:sz w:val="22"/>
              </w:rPr>
              <w:t>иностранных работников на приобретение патентов на трудовую деятельность (тыс. руб.)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7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9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Всего доходов </w:t>
            </w:r>
            <w:r>
              <w:rPr>
                <w:sz w:val="22"/>
              </w:rPr>
              <w:t>бюджета от привлечения иностранных</w:t>
            </w:r>
            <w:r>
              <w:rPr>
                <w:sz w:val="22"/>
              </w:rPr>
              <w:t xml:space="preserve"> граждан (тыс. рублей)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A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C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Баланс доходов и расходов бюджетов всех уровней (тыс. рублей)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D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627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58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F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Сальдо  доходов</w:t>
            </w:r>
            <w:r>
              <w:rPr>
                <w:sz w:val="22"/>
              </w:rPr>
              <w:t xml:space="preserve"> и расходов бюджета Республики Саха (Якутия) (тыс. рублей)</w:t>
            </w:r>
          </w:p>
        </w:tc>
        <w:tc>
          <w:tcPr>
            <w:tcW w:type="dxa" w:w="1110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21030000">
      <w:pPr>
        <w:widowControl w:val="1"/>
        <w:spacing w:after="200" w:line="276" w:lineRule="auto"/>
        <w:ind/>
        <w:jc w:val="both"/>
      </w:pPr>
      <w:bookmarkStart w:id="28" w:name="anchor1600"/>
      <w:bookmarkEnd w:id="28"/>
    </w:p>
    <w:p w14:paraId="22030000">
      <w:pPr>
        <w:widowControl w:val="1"/>
        <w:spacing w:after="200" w:line="276" w:lineRule="auto"/>
        <w:ind/>
        <w:jc w:val="both"/>
      </w:pPr>
    </w:p>
    <w:p w14:paraId="23030000">
      <w:pPr>
        <w:widowControl w:val="1"/>
        <w:spacing w:after="200" w:line="276" w:lineRule="auto"/>
        <w:ind/>
        <w:jc w:val="both"/>
      </w:pPr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6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26030000">
            <w:pPr>
              <w:widowControl w:val="1"/>
              <w:ind/>
              <w:jc w:val="both"/>
            </w:pPr>
          </w:p>
        </w:tc>
      </w:tr>
    </w:tbl>
    <w:p w14:paraId="27030000">
      <w:pPr>
        <w:pStyle w:val="Style_3"/>
      </w:pPr>
      <w:r>
        <w:t>Число вакансий, заявленных организациями в службу занятости</w:t>
      </w:r>
    </w:p>
    <w:p w14:paraId="28030000">
      <w:pPr>
        <w:pStyle w:val="Style_4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1134"/>
        <w:gridCol w:w="8057"/>
        <w:gridCol w:w="1127"/>
      </w:tblGrid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2903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2A03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</w:t>
            </w:r>
            <w:r>
              <w:rPr>
                <w:sz w:val="22"/>
              </w:rPr>
              <w:t>азателя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3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D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Выбыло работников из организаций (человек)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2.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0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Принято работников в организации (человек)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1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3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Количество поступивших вакансий в течение отчетного периода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b w:val="1"/>
                <w:sz w:val="22"/>
              </w:rPr>
              <w:t>4.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6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b w:val="1"/>
                <w:sz w:val="22"/>
              </w:rPr>
              <w:t xml:space="preserve">Количество вакансий, в том числе, по </w:t>
            </w:r>
            <w:r>
              <w:rPr>
                <w:b w:val="1"/>
                <w:sz w:val="22"/>
              </w:rPr>
              <w:t>видам экономической деятельности: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8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9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A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C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D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F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0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1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2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Обеспечение электрической энергией, газом и </w:t>
            </w:r>
            <w:r>
              <w:rPr>
                <w:sz w:val="22"/>
              </w:rPr>
              <w:t>паром; кондиционирование воздуха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3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4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5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6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7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8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9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A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B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Торговля оптовая и розничная; ремонт </w:t>
            </w:r>
            <w:r>
              <w:rPr>
                <w:sz w:val="22"/>
              </w:rPr>
              <w:t>автотранспортных средств, мотоциклов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C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D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E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F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гостиниц и предприятий общественного питания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3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7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финансовая и </w:t>
            </w:r>
            <w:r>
              <w:rPr>
                <w:sz w:val="22"/>
              </w:rPr>
              <w:t>страховая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A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D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профессиональная, научная и техническая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0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1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2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3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6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8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9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C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культуры, спорта, </w:t>
            </w:r>
            <w:r>
              <w:rPr>
                <w:sz w:val="22"/>
              </w:rPr>
              <w:t>организации досуга и развлечений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F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Предоставление прочих коммунальных, социальных и персональных услуг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0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1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Т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2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домашних хозяйств как работодателей; недифференцированная деятельность частных домашних хозяйств по </w:t>
            </w:r>
            <w:r>
              <w:rPr>
                <w:sz w:val="22"/>
              </w:rPr>
              <w:t>производству товаров и оказанию услуг для собственного потребления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4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5.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5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Число заявок по наиболее востребованным профессиям (единиц):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7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78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Арматурщики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9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A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B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Бетонщики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D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7E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Бухгалтеры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F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Водители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3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8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Геологи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87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Грузчики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8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9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8A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Директора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B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8D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Инженеры</w:t>
            </w:r>
          </w:p>
        </w:tc>
        <w:tc>
          <w:tcPr>
            <w:tcW w:type="dxa" w:w="1127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E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F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0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Каменщики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1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2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3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Машинисты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4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5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6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Механики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7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8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9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Монтажники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A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9C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Операторы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D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F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Повара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0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1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A2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Подсобные рабочие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3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4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5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Продавцы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6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7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A8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Разнорабочие 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9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A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B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Сварщики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C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D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E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Слесари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F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B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Уборщики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3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  <w:tc>
          <w:tcPr>
            <w:tcW w:type="dxa" w:w="805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Штукатуры</w:t>
            </w:r>
          </w:p>
        </w:tc>
        <w:tc>
          <w:tcPr>
            <w:tcW w:type="dxa" w:w="1127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B6030000">
      <w:pPr>
        <w:pStyle w:val="Style_4"/>
      </w:pPr>
    </w:p>
    <w:p w14:paraId="B7030000">
      <w:pPr>
        <w:widowControl w:val="1"/>
        <w:spacing w:after="200" w:line="276" w:lineRule="auto"/>
        <w:ind/>
      </w:pPr>
      <w:bookmarkStart w:id="29" w:name="anchor1700"/>
      <w:bookmarkEnd w:id="29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7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BA030000">
            <w:pPr>
              <w:widowControl w:val="1"/>
              <w:ind/>
              <w:jc w:val="both"/>
            </w:pPr>
          </w:p>
        </w:tc>
      </w:tr>
    </w:tbl>
    <w:p w14:paraId="BB030000">
      <w:pPr>
        <w:pStyle w:val="Style_3"/>
      </w:pPr>
      <w:r>
        <w:t>Доля численности, привлекаемой иностранной рабочей силы в численности занятого населения</w:t>
      </w:r>
    </w:p>
    <w:p w14:paraId="BC030000">
      <w:pPr>
        <w:pStyle w:val="Style_4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1134"/>
        <w:gridCol w:w="8104"/>
        <w:gridCol w:w="1079"/>
      </w:tblGrid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BD03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10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BE03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079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3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810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Совокупная (средняя) доля ИРС к численности занятого населения, в том числе по видам экономической деятельности: </w:t>
            </w:r>
          </w:p>
        </w:tc>
        <w:tc>
          <w:tcPr>
            <w:tcW w:type="dxa" w:w="1079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3030000">
            <w:pPr>
              <w:widowControl w:val="1"/>
              <w:spacing w:after="0" w:line="240" w:lineRule="auto"/>
              <w:ind w:firstLine="127"/>
              <w:jc w:val="both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 лесное хозяйство, охота, рыболовство и рыбоводство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7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8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9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A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B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D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E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F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0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Водоснабжение; водоотведение, организация сбора и утилизации отходов, деятельность по ликвидации </w:t>
            </w:r>
            <w:r>
              <w:rPr>
                <w:sz w:val="22"/>
              </w:rPr>
              <w:t>загрязнений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1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2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3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4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5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6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Торговля оптовая и розничная; ремонт автотранспортных средств, мотоциклов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7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8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9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A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C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гостиниц и предприятий общественного питания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D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E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F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0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1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2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финансовая и страховая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3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4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5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по операциям с недвижимым имуществом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6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7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8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профессиональная, научная и техническая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9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A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B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C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D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E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Государственное управление и обеспечение военной безопасности; социальное обеспечение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F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0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1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2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3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4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5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6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7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8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9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A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Предоставление прочих видов услуг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B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C03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T</w:t>
            </w:r>
          </w:p>
        </w:tc>
        <w:tc>
          <w:tcPr>
            <w:tcW w:type="dxa" w:w="810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FD03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домашних хозяйств как работодателей; </w:t>
            </w:r>
            <w:r>
              <w:rPr>
                <w:sz w:val="22"/>
              </w:rPr>
              <w:t>недифференцированная деятельность частных домашних хозяйств по производству товаров и оказанию услуг для собственного потребления.</w:t>
            </w:r>
          </w:p>
        </w:tc>
        <w:tc>
          <w:tcPr>
            <w:tcW w:type="dxa" w:w="107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E03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FF030000">
      <w:pPr>
        <w:pStyle w:val="Style_4"/>
      </w:pPr>
    </w:p>
    <w:p w14:paraId="00040000">
      <w:pPr>
        <w:pStyle w:val="Style_4"/>
      </w:pPr>
    </w:p>
    <w:p w14:paraId="01040000">
      <w:pPr>
        <w:widowControl w:val="1"/>
        <w:spacing w:after="200" w:line="276" w:lineRule="auto"/>
        <w:ind/>
      </w:pPr>
      <w:bookmarkStart w:id="30" w:name="anchor1800"/>
      <w:bookmarkEnd w:id="30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4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4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8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04040000">
            <w:pPr>
              <w:widowControl w:val="1"/>
              <w:ind/>
              <w:jc w:val="both"/>
            </w:pPr>
          </w:p>
        </w:tc>
      </w:tr>
    </w:tbl>
    <w:p w14:paraId="05040000">
      <w:pPr>
        <w:pStyle w:val="Style_3"/>
      </w:pPr>
      <w:r>
        <w:t>Соотношение численности, привлекаемой иностранной рабочей силы к числу заявленных вакансий</w:t>
      </w:r>
    </w:p>
    <w:p w14:paraId="06040000">
      <w:pPr>
        <w:pStyle w:val="Style_4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1134"/>
        <w:gridCol w:w="8074"/>
        <w:gridCol w:w="1109"/>
      </w:tblGrid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0704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07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0804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109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904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1134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A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</w:t>
            </w:r>
          </w:p>
        </w:tc>
        <w:tc>
          <w:tcPr>
            <w:tcW w:type="dxa" w:w="807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B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Совокупная (средняя) доля ИРС к общему числу вакансий</w:t>
            </w:r>
          </w:p>
        </w:tc>
        <w:tc>
          <w:tcPr>
            <w:tcW w:type="dxa" w:w="1109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C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D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A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0E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Сельское,лесное</w:t>
            </w:r>
            <w:r>
              <w:rPr>
                <w:sz w:val="22"/>
              </w:rPr>
              <w:t xml:space="preserve"> хозяйство, охота, рыболовство и рыбоводство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0F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0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B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1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Добыча полезных ископаемых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2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3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C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4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Обрабатывающие производства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5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D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7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8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9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E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A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B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C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F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D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Строительство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E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1F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G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0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Торговля оптовая и розничная; ремонт автотранспортных средств, мотоциклов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2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 H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3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Транспортировка и хранение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4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5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I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6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гостиниц и предприятий общественного питания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7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8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J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9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информации и связи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A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B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K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C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финансовая и страховая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D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E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L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F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по операциям с </w:t>
            </w:r>
            <w:r>
              <w:rPr>
                <w:sz w:val="22"/>
              </w:rPr>
              <w:t>недвижимым имуществом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0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1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M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2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профессиональная, научная и техническая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3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4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N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5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6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7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O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8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Государственное управление и обеспечение военной </w:t>
            </w:r>
            <w:r>
              <w:rPr>
                <w:sz w:val="22"/>
              </w:rPr>
              <w:t>безопасности; социальное обеспечение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9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A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P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B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Образование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C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D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Q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E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Деятельность в области </w:t>
            </w:r>
            <w:r>
              <w:rPr>
                <w:sz w:val="22"/>
              </w:rPr>
              <w:t>здравоохранения  и</w:t>
            </w:r>
            <w:r>
              <w:rPr>
                <w:sz w:val="22"/>
              </w:rPr>
              <w:t xml:space="preserve"> социальных услуг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F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0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R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1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2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3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S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4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Предоставление прочих видов услуг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5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1134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Раздел T</w:t>
            </w:r>
          </w:p>
        </w:tc>
        <w:tc>
          <w:tcPr>
            <w:tcW w:type="dxa" w:w="8074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7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Деятельность домашних хозяйств как работодателей; недифференцированная деятельность частных домашних хозяйств по производству товаров и оказанию услуг для собственного потребления.</w:t>
            </w:r>
          </w:p>
        </w:tc>
        <w:tc>
          <w:tcPr>
            <w:tcW w:type="dxa" w:w="1109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8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49040000">
      <w:pPr>
        <w:pStyle w:val="Style_4"/>
      </w:pPr>
    </w:p>
    <w:p w14:paraId="4A040000">
      <w:pPr>
        <w:pStyle w:val="Style_4"/>
      </w:pPr>
    </w:p>
    <w:p w14:paraId="4B040000">
      <w:pPr>
        <w:widowControl w:val="1"/>
        <w:spacing w:after="200" w:line="276" w:lineRule="auto"/>
        <w:ind/>
      </w:pPr>
      <w:bookmarkStart w:id="31" w:name="anchor1900"/>
      <w:bookmarkEnd w:id="31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4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9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4E040000">
            <w:pPr>
              <w:widowControl w:val="1"/>
              <w:ind/>
              <w:jc w:val="both"/>
            </w:pPr>
          </w:p>
        </w:tc>
      </w:tr>
    </w:tbl>
    <w:p w14:paraId="4F040000">
      <w:pPr>
        <w:pStyle w:val="Style_3"/>
      </w:pPr>
      <w:r>
        <w:t>Численность безработных, в том числе по видам трудовой деятельности</w:t>
      </w:r>
    </w:p>
    <w:p w14:paraId="50040000">
      <w:pPr>
        <w:pStyle w:val="Style_4"/>
        <w:widowControl w:val="1"/>
        <w:ind w:firstLine="680"/>
        <w:jc w:val="right"/>
      </w:pPr>
      <w:r>
        <w:t>(человек)</w:t>
      </w: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845"/>
        <w:gridCol w:w="8345"/>
        <w:gridCol w:w="1128"/>
      </w:tblGrid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5104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5204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304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4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40000">
            <w:pPr>
              <w:widowControl w:val="1"/>
              <w:spacing w:after="0" w:line="240" w:lineRule="auto"/>
              <w:ind w:firstLine="0"/>
              <w:jc w:val="both"/>
              <w:rPr>
                <w:sz w:val="22"/>
              </w:rPr>
            </w:pPr>
            <w:r>
              <w:rPr>
                <w:sz w:val="22"/>
              </w:rPr>
              <w:t>Уровень общей безработицы (отношение численности безработных к численности экономически активного населения %)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7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8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b w:val="1"/>
                <w:sz w:val="22"/>
              </w:rPr>
              <w:t>Раздел 1.</w:t>
            </w:r>
            <w:r>
              <w:rPr>
                <w:sz w:val="22"/>
              </w:rPr>
              <w:t xml:space="preserve"> Численность безработных, в том числе по группам занятий (человек)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A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B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Раздел 3. Число востребованных безработными </w:t>
            </w:r>
            <w:r>
              <w:rPr>
                <w:sz w:val="22"/>
              </w:rPr>
              <w:t>специальностей, в том числе: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D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E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Арматурщики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0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3.2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1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Бетонщики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2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3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3.3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4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Бухгалтеры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3.4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7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Водители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8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9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3.5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A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Геологи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C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3.6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D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Грузчики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E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F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3.7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0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Директора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1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2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3.8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3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Инженеры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4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5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3.9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6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Каменщики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7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8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3.10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9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Машинисты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A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B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3.11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C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Механики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D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E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3.12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F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Монтажники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0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1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3.13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2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Операторы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3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4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3.14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5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Повара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6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7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3.15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8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Подсобные рабочие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9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A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3.16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B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Продавцы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C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D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3.17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E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Разнорабочие 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F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0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3.18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1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Сварщики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2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3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3.19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4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Слесари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5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3.20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7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Уборщики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8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9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3.21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A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Штукатуры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B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C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9D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  <w:r>
              <w:rPr>
                <w:b w:val="1"/>
                <w:sz w:val="22"/>
              </w:rPr>
              <w:t>Раздел 3.</w:t>
            </w:r>
            <w:r>
              <w:rPr>
                <w:sz w:val="22"/>
              </w:rPr>
              <w:t xml:space="preserve"> Количество выпускников по наиболее востребованным специальностям: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E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9F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A0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Арматурщики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1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2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3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Бетонщики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4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5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4.3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6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Бухгалтеры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7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8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4.4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9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Водители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A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B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4.5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C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Каменщики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D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AE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4.6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AF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Кровельщики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0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1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4.7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2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Маляры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3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4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4.8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5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Машинисты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6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7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4.9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8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Механики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9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A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4.10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B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Монтажники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C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D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4.11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BE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Облицовщики-плиточники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BF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0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4.12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1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Пильщики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2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3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4.13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4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Плотники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5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6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4.14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7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Повара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8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9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4.15</w:t>
            </w:r>
          </w:p>
        </w:tc>
        <w:tc>
          <w:tcPr>
            <w:tcW w:type="dxa" w:w="8345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A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Продавцы</w:t>
            </w:r>
          </w:p>
        </w:tc>
        <w:tc>
          <w:tcPr>
            <w:tcW w:type="dxa" w:w="1128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B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C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4.16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CD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Проходчики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E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CF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4.17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0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Сварщики, электросварщики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1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2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4.18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3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Слесари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4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5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4.19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6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Столяры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7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8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4.20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bottom"/>
          </w:tcPr>
          <w:p w14:paraId="D9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Техники по наладке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A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B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4.21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C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Токари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D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DE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4.22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DF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Трактористы, бульдозеристы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0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1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4.23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2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Штукатуры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3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404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4.24</w:t>
            </w:r>
          </w:p>
        </w:tc>
        <w:tc>
          <w:tcPr>
            <w:tcW w:type="dxa" w:w="8345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E504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Электрики</w:t>
            </w:r>
          </w:p>
        </w:tc>
        <w:tc>
          <w:tcPr>
            <w:tcW w:type="dxa" w:w="1128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E604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E7040000">
      <w:pPr>
        <w:pStyle w:val="Style_4"/>
      </w:pPr>
    </w:p>
    <w:p w14:paraId="E8040000">
      <w:pPr>
        <w:widowControl w:val="1"/>
        <w:spacing w:after="200" w:line="276" w:lineRule="auto"/>
        <w:ind/>
      </w:pPr>
      <w:bookmarkStart w:id="32" w:name="anchor110000"/>
      <w:bookmarkEnd w:id="32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4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4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10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EB040000">
            <w:pPr>
              <w:widowControl w:val="1"/>
              <w:ind/>
              <w:jc w:val="both"/>
            </w:pPr>
          </w:p>
        </w:tc>
      </w:tr>
    </w:tbl>
    <w:p w14:paraId="EC040000">
      <w:pPr>
        <w:pStyle w:val="Style_4"/>
      </w:pPr>
    </w:p>
    <w:p w14:paraId="ED040000">
      <w:pPr>
        <w:pStyle w:val="Style_4"/>
        <w:widowControl w:val="1"/>
        <w:ind/>
        <w:jc w:val="center"/>
        <w:rPr>
          <w:b w:val="1"/>
        </w:rPr>
      </w:pPr>
      <w:r>
        <w:rPr>
          <w:b w:val="1"/>
        </w:rPr>
        <w:t>Уровень образования привлекаемой иностранной рабочей силы</w:t>
      </w:r>
    </w:p>
    <w:p w14:paraId="EE040000">
      <w:pPr>
        <w:pStyle w:val="Style_4"/>
        <w:widowControl w:val="1"/>
        <w:ind/>
        <w:jc w:val="right"/>
        <w:rPr>
          <w:sz w:val="28"/>
        </w:rPr>
      </w:pPr>
      <w:r>
        <w:rPr>
          <w:sz w:val="28"/>
        </w:rPr>
        <w:t>(чел)</w:t>
      </w:r>
    </w:p>
    <w:tbl>
      <w:tblPr>
        <w:tblStyle w:val="Style_1"/>
        <w:tblW w:type="auto" w:w="0"/>
        <w:tblInd w:type="dxa" w:w="113"/>
        <w:tblLayout w:type="fixed"/>
      </w:tblPr>
      <w:tblGrid>
        <w:gridCol w:w="9184"/>
        <w:gridCol w:w="1134"/>
      </w:tblGrid>
      <w:tr>
        <w:trPr>
          <w:trHeight w:hRule="atLeast" w:val="300"/>
        </w:trPr>
        <w:tc>
          <w:tcPr>
            <w:tcW w:type="dxa" w:w="9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bottom"/>
          </w:tcPr>
          <w:p w14:paraId="EF04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Показатель</w:t>
            </w:r>
          </w:p>
        </w:tc>
        <w:tc>
          <w:tcPr>
            <w:tcW w:type="dxa" w:w="1134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F004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40000">
            <w:pPr>
              <w:widowControl w:val="1"/>
              <w:ind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Всего в возрасте 14 лет и старше</w:t>
            </w:r>
          </w:p>
        </w:tc>
        <w:tc>
          <w:tcPr>
            <w:tcW w:type="dxa" w:w="1134"/>
            <w:tcBorders>
              <w:top w:color="000000" w:sz="2" w:val="single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2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в том числе </w:t>
            </w:r>
            <w:r>
              <w:rPr>
                <w:sz w:val="22"/>
              </w:rPr>
              <w:t>имели образование: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4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высшее профессиональное образование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6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неполное высшее профессиональное образование (незаконченное высшее)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8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</w:t>
            </w:r>
            <w:r>
              <w:rPr>
                <w:sz w:val="22"/>
              </w:rPr>
              <w:t>среднее  профессиональное</w:t>
            </w:r>
            <w:r>
              <w:rPr>
                <w:sz w:val="22"/>
              </w:rPr>
              <w:t xml:space="preserve"> (среднее специальное)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A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начальное профессиональное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C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среднее общее (полное)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FE04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4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основное общее (среднее общее неполное)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0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начальное общее (</w:t>
            </w:r>
            <w:r>
              <w:rPr>
                <w:sz w:val="22"/>
              </w:rPr>
              <w:t>начальное)  и</w:t>
            </w:r>
            <w:r>
              <w:rPr>
                <w:sz w:val="22"/>
              </w:rPr>
              <w:t xml:space="preserve"> не имеющие образования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2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    уровень образования не указан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4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5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Квалификация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6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Высококвалифицированные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8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Среднеквалифицированные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A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Низкоквалифицированные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C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5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ИТОГО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0E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Доля высоко и </w:t>
            </w:r>
            <w:r>
              <w:rPr>
                <w:sz w:val="22"/>
              </w:rPr>
              <w:t>среднеквалифицрованных</w:t>
            </w:r>
            <w:r>
              <w:rPr>
                <w:sz w:val="22"/>
              </w:rPr>
              <w:t xml:space="preserve"> специалистов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0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>Доля низкоквалифицированных специалистов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12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  <w:tr>
        <w:trPr>
          <w:trHeight w:hRule="atLeast" w:val="300"/>
        </w:trPr>
        <w:tc>
          <w:tcPr>
            <w:tcW w:type="dxa" w:w="9184"/>
            <w:tcBorders>
              <w:top w:sz="4" w:val="nil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50000">
            <w:pPr>
              <w:widowControl w:val="1"/>
              <w:ind/>
              <w:rPr>
                <w:sz w:val="22"/>
              </w:rPr>
            </w:pPr>
            <w:r>
              <w:rPr>
                <w:sz w:val="22"/>
              </w:rPr>
              <w:t xml:space="preserve">Динамика доли высоко и </w:t>
            </w:r>
            <w:r>
              <w:rPr>
                <w:sz w:val="22"/>
              </w:rPr>
              <w:t>среднеквалифированных</w:t>
            </w:r>
            <w:r>
              <w:rPr>
                <w:sz w:val="22"/>
              </w:rPr>
              <w:t xml:space="preserve"> специалистов</w:t>
            </w:r>
          </w:p>
        </w:tc>
        <w:tc>
          <w:tcPr>
            <w:tcW w:type="dxa" w:w="1134"/>
            <w:tcBorders>
              <w:top w:sz="4" w:val="nil"/>
              <w:left w:sz="4" w:val="nil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bottom"/>
          </w:tcPr>
          <w:p w14:paraId="14050000">
            <w:pPr>
              <w:widowControl w:val="1"/>
              <w:ind/>
              <w:jc w:val="center"/>
              <w:rPr>
                <w:sz w:val="22"/>
              </w:rPr>
            </w:pPr>
          </w:p>
        </w:tc>
      </w:tr>
    </w:tbl>
    <w:p w14:paraId="15050000">
      <w:pPr>
        <w:pStyle w:val="Style_4"/>
      </w:pPr>
    </w:p>
    <w:p w14:paraId="16050000">
      <w:pPr>
        <w:pStyle w:val="Style_4"/>
      </w:pPr>
      <w:bookmarkStart w:id="33" w:name="anchor111000"/>
      <w:bookmarkEnd w:id="33"/>
    </w:p>
    <w:p w14:paraId="17050000">
      <w:pPr>
        <w:widowControl w:val="1"/>
        <w:spacing w:after="200" w:line="276" w:lineRule="auto"/>
        <w:ind/>
      </w:pPr>
      <w:bookmarkStart w:id="34" w:name="anchor112000"/>
      <w:bookmarkEnd w:id="34"/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5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5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11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1A050000">
            <w:pPr>
              <w:widowControl w:val="1"/>
              <w:ind/>
              <w:jc w:val="both"/>
            </w:pPr>
          </w:p>
        </w:tc>
      </w:tr>
    </w:tbl>
    <w:p w14:paraId="1B050000">
      <w:pPr>
        <w:pStyle w:val="Style_3"/>
      </w:pPr>
      <w:r>
        <w:t>Оценка влияния иностранных граждан на криминогенную обстановку в Республике Саха (Якутия)</w:t>
      </w:r>
    </w:p>
    <w:p w14:paraId="1C050000">
      <w:pPr>
        <w:pStyle w:val="Style_4"/>
      </w:pPr>
    </w:p>
    <w:tbl>
      <w:tblPr>
        <w:tblStyle w:val="Style_1"/>
        <w:tblW w:type="auto" w:w="0"/>
        <w:tblInd w:type="dxa" w:w="10"/>
        <w:tblLayout w:type="fixed"/>
        <w:tblCellMar>
          <w:left w:type="dxa" w:w="10"/>
          <w:right w:type="dxa" w:w="10"/>
        </w:tblCellMar>
      </w:tblPr>
      <w:tblGrid>
        <w:gridCol w:w="845"/>
        <w:gridCol w:w="8322"/>
        <w:gridCol w:w="1151"/>
      </w:tblGrid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1D05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№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left w:type="dxa" w:w="10"/>
              <w:right w:type="dxa" w:w="10"/>
            </w:tcMar>
          </w:tcPr>
          <w:p w14:paraId="1E050000">
            <w:pPr>
              <w:pStyle w:val="Style_4"/>
              <w:widowControl w:val="1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Наименование показателя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1F050000">
            <w:pPr>
              <w:widowControl w:val="1"/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Значение</w:t>
            </w: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0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1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Число уголовных преступлений, совершенных иностранными гражданами, в т. ч. по видам преступлений: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2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3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1.1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4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b w:val="1"/>
                <w:sz w:val="22"/>
              </w:rPr>
              <w:t>в т.ч. по категориям преступлений: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5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6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7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 небольшой тяжести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8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9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A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 средней тяжести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B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C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2D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тяжкие преступления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E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2F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0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особо тяжкие преступления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1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2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1.2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3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b w:val="1"/>
                <w:sz w:val="22"/>
              </w:rPr>
              <w:t>в т.ч. по видам преступлений: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4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5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6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 против собственности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7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8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9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жизни и здоровья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A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B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C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против здоровья населения и </w:t>
            </w:r>
            <w:r>
              <w:rPr>
                <w:sz w:val="22"/>
              </w:rPr>
              <w:t>общественной нравственности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D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3E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3F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 против безопасности движения и эксплуатации транспортного средства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0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1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2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половой неприкосновенности и половой свободы личности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3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4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5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порядка управления</w:t>
            </w:r>
          </w:p>
        </w:tc>
        <w:tc>
          <w:tcPr>
            <w:tcW w:type="dxa" w:w="1151"/>
            <w:tcBorders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6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7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8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против </w:t>
            </w:r>
            <w:r>
              <w:rPr>
                <w:sz w:val="22"/>
              </w:rPr>
              <w:t>государственной власти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9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A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B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общественной безопасности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C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D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4E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конституционных прав и свобод граждан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4F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0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1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 в сфере экономической деятельности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2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3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4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преступления, связанные с незаконным оборотом алкогольной продукции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5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6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7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правосудия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8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9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A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против семьи и несовершеннолетних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B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C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5D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иные виды преступлений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E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5F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0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ст.158 "Кража"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1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2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3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ст.116 "Побои"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4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5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6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ст.161 "Грабеж"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7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8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9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Число уголовных преступлений, совершенных против иностранных граждан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A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B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3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C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Зарегистрировано преступлений в отчетном периоде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D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6E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4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6F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Раскрыто преступлений, дела и </w:t>
            </w:r>
            <w:r>
              <w:rPr>
                <w:sz w:val="22"/>
              </w:rPr>
              <w:t>материалы</w:t>
            </w:r>
            <w:r>
              <w:rPr>
                <w:sz w:val="22"/>
              </w:rPr>
              <w:t xml:space="preserve"> о которых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находились в производстве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0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1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2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Доля преступлений, совершенных иностранными гражданами, в общем количестве расследованных и разрешенных </w:t>
            </w:r>
            <w:r>
              <w:rPr>
                <w:sz w:val="22"/>
              </w:rPr>
              <w:t>преступлений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3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4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 6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5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Удельный вес преступлений, совершенных иностранными гражданами и лицами без гражданства, от числа расследованных преступлений в целом по России и по регионам ДФО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6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7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8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Уровень преступности среди иностранных граждан (число преступлений, совершенных инос</w:t>
            </w:r>
            <w:r>
              <w:rPr>
                <w:sz w:val="22"/>
              </w:rPr>
              <w:t>транными гражданами, на 1000 иностранных граждан)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9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A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B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Средний уровень преступности по РС(Я) (число совершенных преступлений на 1000 населения)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C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D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7E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>Число административных правонарушений, совершенных иностранными гражданами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7F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  <w:tr>
        <w:tc>
          <w:tcPr>
            <w:tcW w:type="dxa" w:w="845"/>
            <w:tcBorders>
              <w:top w:color="000000" w:sz="2" w:val="single"/>
              <w:left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0050000">
            <w:pPr>
              <w:widowControl w:val="1"/>
              <w:spacing w:after="0" w:line="240" w:lineRule="auto"/>
              <w:ind w:firstLine="0"/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type="dxa" w:w="8322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  <w:vAlign w:val="center"/>
          </w:tcPr>
          <w:p w14:paraId="81050000">
            <w:pPr>
              <w:widowControl w:val="1"/>
              <w:spacing w:after="0" w:line="240" w:lineRule="auto"/>
              <w:ind w:firstLine="0"/>
              <w:jc w:val="left"/>
              <w:rPr>
                <w:sz w:val="22"/>
              </w:rPr>
            </w:pPr>
            <w:r>
              <w:rPr>
                <w:sz w:val="22"/>
              </w:rPr>
              <w:t xml:space="preserve">Доля административных правонарушений, 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 xml:space="preserve">совершенных иностранными гражданами, в общем количестве выявленных административных правонарушений                        </w:t>
            </w:r>
          </w:p>
        </w:tc>
        <w:tc>
          <w:tcPr>
            <w:tcW w:type="dxa" w:w="1151"/>
            <w:tcBorders>
              <w:top w:color="000000" w:sz="2" w:val="single"/>
              <w:bottom w:color="000000" w:sz="2" w:val="single"/>
              <w:right w:color="000000" w:sz="2" w:val="single"/>
            </w:tcBorders>
            <w:tcMar>
              <w:top w:type="dxa" w:w="0"/>
              <w:left w:type="dxa" w:w="10"/>
              <w:bottom w:type="dxa" w:w="0"/>
              <w:right w:type="dxa" w:w="10"/>
            </w:tcMar>
          </w:tcPr>
          <w:p w14:paraId="82050000">
            <w:pPr>
              <w:widowControl w:val="1"/>
              <w:spacing w:after="0" w:line="240" w:lineRule="auto"/>
              <w:ind w:firstLine="720"/>
              <w:jc w:val="both"/>
              <w:rPr>
                <w:sz w:val="22"/>
              </w:rPr>
            </w:pPr>
          </w:p>
        </w:tc>
      </w:tr>
    </w:tbl>
    <w:p w14:paraId="83050000">
      <w:pPr>
        <w:pStyle w:val="Style_4"/>
      </w:pPr>
    </w:p>
    <w:p w14:paraId="84050000">
      <w:pPr>
        <w:pStyle w:val="Style_4"/>
      </w:pPr>
    </w:p>
    <w:p w14:paraId="85050000">
      <w:pPr>
        <w:pStyle w:val="Style_4"/>
      </w:pPr>
    </w:p>
    <w:p w14:paraId="86050000">
      <w:pPr>
        <w:pStyle w:val="Style_4"/>
      </w:pPr>
    </w:p>
    <w:p w14:paraId="87050000">
      <w:pPr>
        <w:pStyle w:val="Style_4"/>
      </w:pPr>
      <w:r>
        <w:br w:type="page"/>
      </w:r>
    </w:p>
    <w:tbl>
      <w:tblPr>
        <w:tblStyle w:val="Style_1"/>
        <w:tblW w:type="auto" w:w="0"/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5154"/>
        <w:gridCol w:w="5154"/>
      </w:tblGrid>
      <w:tr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50000">
            <w:pPr>
              <w:widowControl w:val="1"/>
              <w:ind/>
              <w:jc w:val="both"/>
            </w:pPr>
          </w:p>
        </w:tc>
        <w:tc>
          <w:tcPr>
            <w:tcW w:type="dxa" w:w="515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50000">
            <w:pPr>
              <w:widowControl w:val="1"/>
              <w:ind/>
              <w:jc w:val="both"/>
              <w:rPr>
                <w:color w:val="000000"/>
              </w:rPr>
            </w:pPr>
            <w:r>
              <w:rPr>
                <w:color w:val="000000"/>
              </w:rPr>
              <w:t>Приложение № 12</w:t>
            </w:r>
            <w:r>
              <w:rPr>
                <w:color w:val="000000"/>
              </w:rPr>
              <w:t xml:space="preserve"> к Методике оценки эффективности использования иностранной рабочей силы в Республике Саха (Якутия)</w:t>
            </w:r>
          </w:p>
          <w:p w14:paraId="8A050000">
            <w:pPr>
              <w:widowControl w:val="1"/>
              <w:ind/>
              <w:jc w:val="both"/>
            </w:pPr>
          </w:p>
        </w:tc>
      </w:tr>
    </w:tbl>
    <w:p w14:paraId="8B050000">
      <w:pPr>
        <w:pStyle w:val="Style_4"/>
      </w:pPr>
    </w:p>
    <w:p w14:paraId="8C050000">
      <w:pPr>
        <w:pStyle w:val="Style_4"/>
        <w:widowControl w:val="1"/>
        <w:ind w:firstLine="0"/>
        <w:jc w:val="center"/>
        <w:rPr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Показатели оценки эффективности использования иностранной рабочей силы</w:t>
      </w:r>
    </w:p>
    <w:p w14:paraId="8D050000">
      <w:pPr>
        <w:pStyle w:val="Style_4"/>
        <w:widowControl w:val="1"/>
        <w:ind w:firstLine="0"/>
        <w:jc w:val="center"/>
        <w:rPr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в Республике Саха (Якутия)</w:t>
      </w:r>
    </w:p>
    <w:p w14:paraId="8E050000">
      <w:pPr>
        <w:pStyle w:val="Style_4"/>
        <w:rPr>
          <w:sz w:val="24"/>
        </w:rPr>
      </w:pPr>
    </w:p>
    <w:tbl>
      <w:tblPr>
        <w:tblStyle w:val="Style_1"/>
        <w:tblW w:type="auto" w:w="0"/>
        <w:tblLayout w:type="fixed"/>
      </w:tblPr>
      <w:tblGrid>
        <w:gridCol w:w="1348"/>
        <w:gridCol w:w="3143"/>
        <w:gridCol w:w="1072"/>
        <w:gridCol w:w="2880"/>
        <w:gridCol w:w="935"/>
        <w:gridCol w:w="939"/>
      </w:tblGrid>
      <w:tr>
        <w:trPr>
          <w:trHeight w:hRule="atLeast" w:val="390"/>
        </w:trPr>
        <w:tc>
          <w:tcPr>
            <w:tcW w:type="dxa" w:w="13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8F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Категория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0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Показатель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1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Значение</w:t>
            </w:r>
          </w:p>
        </w:tc>
        <w:tc>
          <w:tcPr>
            <w:tcW w:type="dxa" w:w="3815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2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Целевое значение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3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Статус</w:t>
            </w:r>
          </w:p>
        </w:tc>
      </w:tr>
      <w:tr>
        <w:trPr>
          <w:trHeight w:hRule="atLeast" w:val="375"/>
        </w:trPr>
        <w:tc>
          <w:tcPr>
            <w:tcW w:type="dxa" w:w="13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4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Экономическая эффективность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5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Темп роста вклада ИРС в ВРП (%).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7050000">
            <w:pPr>
              <w:rPr>
                <w:rFonts w:ascii="Times New Roman" w:hAnsi="Times New Roman"/>
                <w:color w:val="0F1115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≥100%</w:t>
            </w:r>
            <w:r>
              <w:rPr>
                <w:rFonts w:ascii="Times New Roman" w:hAnsi="Times New Roman"/>
                <w:color w:val="0F1115"/>
                <w:sz w:val="20"/>
              </w:rPr>
              <w:t>.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≥100%.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9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exact" w:val="90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Производительность труда ИРС (тыс. руб./чел.). 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C050000">
            <w:pPr>
              <w:rPr>
                <w:rFonts w:ascii="Times New Roman" w:hAnsi="Times New Roman"/>
                <w:color w:val="0F1115"/>
                <w:sz w:val="20"/>
              </w:rPr>
            </w:pPr>
            <w:r>
              <w:rPr>
                <w:rFonts w:ascii="Times New Roman" w:hAnsi="Times New Roman"/>
                <w:color w:val="0F1115"/>
                <w:sz w:val="20"/>
              </w:rPr>
              <w:t xml:space="preserve">  </w:t>
            </w:r>
            <w:r>
              <w:rPr>
                <w:rFonts w:ascii="Times New Roman" w:hAnsi="Times New Roman"/>
                <w:color w:val="000000"/>
                <w:sz w:val="20"/>
              </w:rPr>
              <w:t>≥ среднерегиональной производительности труда</w:t>
            </w:r>
            <w:r>
              <w:rPr>
                <w:rFonts w:ascii="Times New Roman" w:hAnsi="Times New Roman"/>
                <w:color w:val="0F1115"/>
                <w:sz w:val="20"/>
              </w:rPr>
              <w:t xml:space="preserve">. 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D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4494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9E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75"/>
        </w:trPr>
        <w:tc>
          <w:tcPr>
            <w:tcW w:type="dxa" w:w="13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9F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Бюджетная эффективность 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Коэффициент бюджетной эффективности ИРС 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2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≥1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≥1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4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765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5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Коэффициент налоговой нагрузки на одного иностранного работника (тыс. руб.)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6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7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≥0, положительная динамика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≥0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9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90"/>
        </w:trPr>
        <w:tc>
          <w:tcPr>
            <w:tcW w:type="dxa" w:w="13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AA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Влияния на рынок труда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B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Коэффициент заполнения вакансий ИРС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C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D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0.8 - 1.2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AF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75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Соотношение уровня безработицы и доли ИРС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1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2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отрицательная динамика или стабильно низкий уровень (менее 10)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4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exact" w:val="75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5050000">
            <w:pPr>
              <w:widowControl w:val="1"/>
              <w:ind/>
              <w:jc w:val="right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z w:val="20"/>
              </w:rPr>
              <w:t>абс изменение уровня безработицы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6050000">
            <w:pPr>
              <w:widowControl w:val="1"/>
              <w:ind/>
              <w:jc w:val="center"/>
              <w:rPr>
                <w:rFonts w:ascii="Times New Roman" w:hAnsi="Times New Roman"/>
                <w:i w:val="1"/>
                <w:color w:val="000000"/>
                <w:sz w:val="20"/>
              </w:rPr>
            </w:pPr>
          </w:p>
        </w:tc>
        <w:tc>
          <w:tcPr>
            <w:tcW w:type="dxa" w:w="2880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7050000">
            <w:pPr>
              <w:widowControl w:val="1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отрицательная динамика или стабильно низкий уровень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9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9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A050000">
            <w:pPr>
              <w:widowControl w:val="1"/>
              <w:ind/>
              <w:jc w:val="right"/>
              <w:rPr>
                <w:rFonts w:ascii="Times New Roman" w:hAnsi="Times New Roman"/>
                <w:i w:val="1"/>
                <w:color w:val="000000"/>
                <w:sz w:val="20"/>
              </w:rPr>
            </w:pPr>
            <w:r>
              <w:rPr>
                <w:rFonts w:ascii="Times New Roman" w:hAnsi="Times New Roman"/>
                <w:i w:val="1"/>
                <w:color w:val="000000"/>
                <w:sz w:val="20"/>
              </w:rPr>
              <w:t>абс изменение доли ИРС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B050000">
            <w:pPr>
              <w:widowControl w:val="1"/>
              <w:ind/>
              <w:jc w:val="center"/>
              <w:rPr>
                <w:rFonts w:ascii="Times New Roman" w:hAnsi="Times New Roman"/>
                <w:i w:val="1"/>
                <w:color w:val="000000"/>
                <w:sz w:val="20"/>
              </w:rPr>
            </w:pPr>
          </w:p>
        </w:tc>
        <w:tc>
          <w:tcPr>
            <w:tcW w:type="dxa" w:w="2880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/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C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D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75"/>
        </w:trPr>
        <w:tc>
          <w:tcPr>
            <w:tcW w:type="dxa" w:w="13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B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Структурная эффективность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B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Доля ИРС в дефицитных отраслях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≥50% от общей численности ИРС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≥50%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3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9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4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Индекс квалификации ИРС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5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≥0, положительная динамика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7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 xml:space="preserve"> ≥0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8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750"/>
        </w:trPr>
        <w:tc>
          <w:tcPr>
            <w:tcW w:type="dxa" w:w="1348"/>
            <w:vMerge w:val="restart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C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Социальная эффективность</w:t>
            </w:r>
          </w:p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Уровень преступности среди иностранных граждан (на 1000 чел.)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B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C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≤ среднерегионального уровня преступности.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D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12,6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E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>
        <w:trPr>
          <w:trHeight w:hRule="atLeast" w:val="390"/>
        </w:trPr>
        <w:tc>
          <w:tcPr>
            <w:tcW w:type="dxa" w:w="1348"/>
            <w:gridSpan w:val="1"/>
            <w:vMerge w:val="continue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/>
        </w:tc>
        <w:tc>
          <w:tcPr>
            <w:tcW w:type="dxa" w:w="31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CF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Коэффициент социальной нагрузки</w:t>
            </w:r>
          </w:p>
        </w:tc>
        <w:tc>
          <w:tcPr>
            <w:tcW w:type="dxa" w:w="107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0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288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1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Целевое значение: ≤0,1</w:t>
            </w:r>
          </w:p>
        </w:tc>
        <w:tc>
          <w:tcPr>
            <w:tcW w:type="dxa" w:w="9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≤0,1</w:t>
            </w:r>
          </w:p>
        </w:tc>
        <w:tc>
          <w:tcPr>
            <w:tcW w:type="dxa" w:w="939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3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D4050000">
      <w:pPr>
        <w:pStyle w:val="Style_4"/>
      </w:pPr>
    </w:p>
    <w:p w14:paraId="D5050000">
      <w:pPr>
        <w:pStyle w:val="Style_4"/>
        <w:widowControl w:val="1"/>
        <w:ind w:firstLine="0"/>
        <w:jc w:val="center"/>
        <w:rPr>
          <w:b w:val="1"/>
        </w:rPr>
      </w:pPr>
      <w:r>
        <w:rPr>
          <w:b w:val="1"/>
        </w:rPr>
        <w:t>Расчет интегрального показателя</w:t>
      </w:r>
    </w:p>
    <w:p w14:paraId="D6050000">
      <w:pPr>
        <w:pStyle w:val="Style_4"/>
      </w:pPr>
    </w:p>
    <w:tbl>
      <w:tblPr>
        <w:tblStyle w:val="Style_1"/>
        <w:tblW w:type="auto" w:w="0"/>
        <w:tblLayout w:type="fixed"/>
      </w:tblPr>
      <w:tblGrid>
        <w:gridCol w:w="4105"/>
        <w:gridCol w:w="1965"/>
        <w:gridCol w:w="4248"/>
      </w:tblGrid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7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Название компоненты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8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>Вес компоненты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9050000">
            <w:pPr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A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Компонента экономического эффекта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B050000">
            <w:pPr>
              <w:widowControl w:val="1"/>
              <w:ind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0,25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C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D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Компонента бюджетного эффекта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E050000">
            <w:pPr>
              <w:widowControl w:val="1"/>
              <w:ind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0,25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DF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0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Компонента эффективности рынка труда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1050000">
            <w:pPr>
              <w:widowControl w:val="1"/>
              <w:ind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0,22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2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3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Компонента структурной эффективности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4050000">
            <w:pPr>
              <w:widowControl w:val="1"/>
              <w:ind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0,16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5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atLeast" w:val="410"/>
        </w:trPr>
        <w:tc>
          <w:tcPr>
            <w:tcW w:type="dxa" w:w="410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6050000">
            <w:pPr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Компонента социальной эффективности</w:t>
            </w:r>
          </w:p>
        </w:tc>
        <w:tc>
          <w:tcPr>
            <w:tcW w:type="dxa" w:w="196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7050000">
            <w:pPr>
              <w:widowControl w:val="1"/>
              <w:ind/>
              <w:jc w:val="right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w:t>0,12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8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</w:p>
        </w:tc>
      </w:tr>
      <w:tr>
        <w:trPr>
          <w:trHeight w:hRule="exact" w:val="410"/>
        </w:trPr>
        <w:tc>
          <w:tcPr>
            <w:tcW w:type="dxa" w:w="607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9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00000"/>
                <w:sz w:val="20"/>
              </w:rPr>
            </w:pPr>
            <w:r>
              <w:rPr>
                <w:rFonts w:ascii="Times New Roman" w:hAnsi="Times New Roman"/>
                <w:b w:val="1"/>
                <w:color w:val="000000"/>
                <w:sz w:val="20"/>
              </w:rPr>
              <w:t xml:space="preserve">ИНТЕГРАЛЬНЫЙ ПОКАЗАТЕЛЬ </w:t>
            </w:r>
          </w:p>
        </w:tc>
        <w:tc>
          <w:tcPr>
            <w:tcW w:type="dxa" w:w="424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EA050000">
            <w:pPr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EB050000">
      <w:pPr>
        <w:pStyle w:val="Style_4"/>
      </w:pPr>
    </w:p>
    <w:p w14:paraId="EC050000">
      <w:pPr>
        <w:pStyle w:val="Style_4"/>
      </w:pPr>
    </w:p>
    <w:p w14:paraId="ED050000">
      <w:pPr>
        <w:pStyle w:val="Style_4"/>
      </w:pPr>
    </w:p>
    <w:p w14:paraId="EE050000">
      <w:pPr>
        <w:pStyle w:val="Style_4"/>
      </w:pPr>
    </w:p>
    <w:p w14:paraId="EF050000">
      <w:pPr>
        <w:pStyle w:val="Style_4"/>
      </w:pPr>
    </w:p>
    <w:p w14:paraId="F0050000">
      <w:pPr>
        <w:pStyle w:val="Style_4"/>
      </w:pPr>
    </w:p>
    <w:tbl>
      <w:tblPr>
        <w:tblStyle w:val="Style_1"/>
        <w:tblW w:type="auto" w:w="0"/>
        <w:tblLayout w:type="fixed"/>
      </w:tblPr>
      <w:tblGrid>
        <w:gridCol w:w="2072"/>
        <w:gridCol w:w="5576"/>
        <w:gridCol w:w="2670"/>
      </w:tblGrid>
      <w:tr>
        <w:trPr>
          <w:trHeight w:hRule="atLeast" w:val="405"/>
        </w:trPr>
        <w:tc>
          <w:tcPr>
            <w:tcW w:type="dxa" w:w="7648"/>
            <w:gridSpan w:val="2"/>
            <w:vAlign w:val="center"/>
          </w:tcPr>
          <w:p w14:paraId="F1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F1115"/>
                <w:sz w:val="20"/>
              </w:rPr>
            </w:pPr>
            <w:r>
              <w:rPr>
                <w:rFonts w:ascii="Times New Roman" w:hAnsi="Times New Roman"/>
                <w:b w:val="1"/>
                <w:color w:val="0F1115"/>
                <w:sz w:val="20"/>
              </w:rPr>
              <w:t>Высокая эффективность (Зеленая зона):</w:t>
            </w:r>
            <w:r>
              <w:rPr>
                <w:rFonts w:ascii="Times New Roman" w:hAnsi="Times New Roman"/>
                <w:b w:val="0"/>
                <w:color w:val="0F1115"/>
                <w:sz w:val="20"/>
              </w:rPr>
              <w:t> </w:t>
            </w:r>
            <w:r>
              <w:rPr>
                <w:rFonts w:ascii="Times New Roman" w:hAnsi="Times New Roman"/>
                <w:b w:val="0"/>
                <w:color w:val="000000"/>
                <w:sz w:val="20"/>
              </w:rPr>
              <w:t>I</w:t>
            </w:r>
            <w:r>
              <w:rPr>
                <w:rFonts w:ascii="Times New Roman" w:hAnsi="Times New Roman"/>
                <w:b w:val="0"/>
                <w:color w:val="000000"/>
                <w:sz w:val="20"/>
                <w:vertAlign w:val="subscript"/>
              </w:rPr>
              <w:t>эирс</w:t>
            </w:r>
            <w:r>
              <w:rPr>
                <w:rFonts w:ascii="Times New Roman" w:hAnsi="Times New Roman"/>
                <w:b w:val="1"/>
                <w:color w:val="0F1115"/>
                <w:sz w:val="20"/>
              </w:rPr>
              <w:t xml:space="preserve"> ≥ 0.75</w:t>
            </w:r>
          </w:p>
        </w:tc>
        <w:tc>
          <w:tcPr>
            <w:tcW w:type="dxa" w:w="2670"/>
            <w:vMerge w:val="restart"/>
          </w:tcPr>
          <w:p w14:paraId="F2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F3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F4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419100" cy="361950"/>
                      <wp:docPr hidden="false" id="1" name="Picture 1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191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B05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F5050000">
                                  <w:pPr>
                                    <w:pStyle w:val="Style_6"/>
                                    <w:widowControl w:val="1"/>
                                    <w:ind/>
                                    <w:jc w:val="left"/>
                                    <w:rPr>
                                      <w:rFonts w:asciiTheme="minorAscii" w:hAnsiTheme="minorHAnsi"/>
                                      <w:color w:themeColor="light1" w:val="FFFFFF"/>
                                      <w:spacing w:val="0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anchor="t" bIns="45720" lIns="91440" rIns="91440" tIns="45720"/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</w:tr>
      <w:tr>
        <w:trPr>
          <w:trHeight w:hRule="exact" w:val="1055"/>
        </w:trPr>
        <w:tc>
          <w:tcPr>
            <w:tcW w:type="dxa" w:w="7648"/>
            <w:gridSpan w:val="2"/>
            <w:vAlign w:val="center"/>
          </w:tcPr>
          <w:p w14:paraId="F6050000">
            <w:pPr>
              <w:widowControl w:val="1"/>
              <w:ind/>
              <w:jc w:val="both"/>
              <w:rPr>
                <w:rFonts w:ascii="Times New Roman" w:hAnsi="Times New Roman"/>
                <w:color w:val="0F1115"/>
                <w:sz w:val="20"/>
              </w:rPr>
            </w:pPr>
            <w:r>
              <w:rPr>
                <w:rFonts w:ascii="Times New Roman" w:hAnsi="Times New Roman"/>
                <w:color w:val="0F1115"/>
                <w:sz w:val="20"/>
              </w:rPr>
              <w:t>Зеленая зона говорит о том, что использование ИРС вносит значительный вклад в экономику, бюджетные доходы превышают расходы, ИРС эффективно восполняет дефицит кадров без негативного влияния на рынок труда.</w:t>
            </w:r>
          </w:p>
        </w:tc>
        <w:tc>
          <w:tcPr>
            <w:tcW w:type="dxa" w:w="2670"/>
            <w:gridSpan w:val="1"/>
            <w:vMerge w:val="continue"/>
          </w:tcPr>
          <w:p/>
        </w:tc>
      </w:tr>
      <w:tr>
        <w:trPr>
          <w:trHeight w:hRule="atLeast" w:val="405"/>
        </w:trPr>
        <w:tc>
          <w:tcPr>
            <w:tcW w:type="dxa" w:w="7648"/>
            <w:gridSpan w:val="2"/>
            <w:vAlign w:val="center"/>
          </w:tcPr>
          <w:p w14:paraId="F7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F1115"/>
                <w:sz w:val="20"/>
              </w:rPr>
            </w:pPr>
            <w:r>
              <w:rPr>
                <w:rFonts w:ascii="Times New Roman" w:hAnsi="Times New Roman"/>
                <w:b w:val="1"/>
                <w:color w:val="0F1115"/>
                <w:sz w:val="20"/>
              </w:rPr>
              <w:t>Умеренная эффективность (Желтая зона):</w:t>
            </w:r>
            <w:r>
              <w:rPr>
                <w:rFonts w:ascii="Times New Roman" w:hAnsi="Times New Roman"/>
                <w:b w:val="0"/>
                <w:color w:val="0F1115"/>
                <w:sz w:val="20"/>
              </w:rPr>
              <w:t> </w:t>
            </w:r>
            <w:r>
              <w:rPr>
                <w:rFonts w:ascii="Times New Roman" w:hAnsi="Times New Roman"/>
                <w:b w:val="1"/>
                <w:color w:val="0F1115"/>
                <w:sz w:val="20"/>
              </w:rPr>
              <w:t xml:space="preserve">0.50 ≤ </w:t>
            </w:r>
            <w:r>
              <w:rPr>
                <w:rFonts w:ascii="Times New Roman" w:hAnsi="Times New Roman"/>
                <w:b w:val="0"/>
                <w:color w:val="000000"/>
                <w:sz w:val="20"/>
              </w:rPr>
              <w:t>I</w:t>
            </w:r>
            <w:r>
              <w:rPr>
                <w:rFonts w:ascii="Times New Roman" w:hAnsi="Times New Roman"/>
                <w:b w:val="0"/>
                <w:color w:val="000000"/>
                <w:sz w:val="20"/>
                <w:vertAlign w:val="subscript"/>
              </w:rPr>
              <w:t>эирс</w:t>
            </w:r>
            <w:r>
              <w:rPr>
                <w:rFonts w:ascii="Times New Roman" w:hAnsi="Times New Roman"/>
                <w:b w:val="1"/>
                <w:color w:val="0F1115"/>
                <w:sz w:val="20"/>
              </w:rPr>
              <w:t xml:space="preserve"> &lt; 0.75</w:t>
            </w:r>
          </w:p>
        </w:tc>
        <w:tc>
          <w:tcPr>
            <w:tcW w:type="dxa" w:w="2670"/>
            <w:vMerge w:val="restart"/>
          </w:tcPr>
          <w:p w14:paraId="F8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F9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FA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F1115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419100" cy="361950"/>
                      <wp:docPr hidden="false" id="2" name="Picture 2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191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FB050000">
                                  <w:pPr>
                                    <w:pStyle w:val="Style_6"/>
                                    <w:widowControl w:val="1"/>
                                    <w:ind/>
                                    <w:jc w:val="left"/>
                                    <w:rPr>
                                      <w:rFonts w:asciiTheme="minorAscii" w:hAnsiTheme="minorHAnsi"/>
                                      <w:color w:themeColor="light1" w:val="FFFFFF"/>
                                      <w:spacing w:val="0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anchor="t" bIns="45720" lIns="91440" rIns="91440" tIns="45720"/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</w:tr>
      <w:tr>
        <w:trPr>
          <w:trHeight w:hRule="exact" w:val="1140"/>
        </w:trPr>
        <w:tc>
          <w:tcPr>
            <w:tcW w:type="dxa" w:w="7648"/>
            <w:gridSpan w:val="2"/>
            <w:vAlign w:val="center"/>
          </w:tcPr>
          <w:p w14:paraId="FC050000">
            <w:pPr>
              <w:widowControl w:val="1"/>
              <w:ind/>
              <w:jc w:val="both"/>
              <w:rPr>
                <w:rFonts w:ascii="Times New Roman" w:hAnsi="Times New Roman"/>
                <w:color w:val="0F1115"/>
                <w:sz w:val="20"/>
              </w:rPr>
            </w:pPr>
            <w:r>
              <w:rPr>
                <w:rFonts w:ascii="Times New Roman" w:hAnsi="Times New Roman"/>
                <w:color w:val="0F1115"/>
                <w:sz w:val="20"/>
              </w:rPr>
              <w:t>Желтая зона свидетельствует о том, что использование ИРС имеет смешанные результаты. Требуется адресная корректировка политики по слабым компонентам (например, усиление контроля за легализацией, пересмотр отраслевых квот).</w:t>
            </w:r>
          </w:p>
        </w:tc>
        <w:tc>
          <w:tcPr>
            <w:tcW w:type="dxa" w:w="2670"/>
            <w:gridSpan w:val="1"/>
            <w:vMerge w:val="continue"/>
          </w:tcPr>
          <w:p/>
        </w:tc>
      </w:tr>
      <w:tr>
        <w:trPr>
          <w:trHeight w:hRule="atLeast" w:val="405"/>
        </w:trPr>
        <w:tc>
          <w:tcPr>
            <w:tcW w:type="dxa" w:w="7648"/>
            <w:gridSpan w:val="2"/>
            <w:vAlign w:val="center"/>
          </w:tcPr>
          <w:p w14:paraId="FD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F1115"/>
                <w:sz w:val="20"/>
              </w:rPr>
            </w:pPr>
            <w:r>
              <w:rPr>
                <w:rFonts w:ascii="Times New Roman" w:hAnsi="Times New Roman"/>
                <w:b w:val="1"/>
                <w:color w:val="0F1115"/>
                <w:sz w:val="20"/>
              </w:rPr>
              <w:t>Низкая эффективность (Красная зона):</w:t>
            </w:r>
            <w:r>
              <w:rPr>
                <w:rFonts w:ascii="Times New Roman" w:hAnsi="Times New Roman"/>
                <w:b w:val="0"/>
                <w:color w:val="0F1115"/>
                <w:sz w:val="20"/>
              </w:rPr>
              <w:t> </w:t>
            </w:r>
            <w:r>
              <w:rPr>
                <w:rFonts w:ascii="Times New Roman" w:hAnsi="Times New Roman"/>
                <w:b w:val="0"/>
                <w:color w:val="000000"/>
                <w:sz w:val="20"/>
              </w:rPr>
              <w:t>I</w:t>
            </w:r>
            <w:r>
              <w:rPr>
                <w:rFonts w:ascii="Times New Roman" w:hAnsi="Times New Roman"/>
                <w:b w:val="0"/>
                <w:color w:val="000000"/>
                <w:sz w:val="20"/>
                <w:vertAlign w:val="subscript"/>
              </w:rPr>
              <w:t>эирс</w:t>
            </w:r>
            <w:r>
              <w:rPr>
                <w:rFonts w:ascii="Times New Roman" w:hAnsi="Times New Roman"/>
                <w:b w:val="1"/>
                <w:color w:val="0F1115"/>
                <w:sz w:val="20"/>
              </w:rPr>
              <w:t xml:space="preserve"> &lt; 0.50</w:t>
            </w:r>
          </w:p>
        </w:tc>
        <w:tc>
          <w:tcPr>
            <w:tcW w:type="dxa" w:w="2670"/>
            <w:vMerge w:val="restart"/>
          </w:tcPr>
          <w:p w14:paraId="FE050000">
            <w:pPr>
              <w:widowControl w:val="1"/>
              <w:ind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  <w:p w14:paraId="FF050000">
            <w:pPr>
              <w:widowControl w:val="1"/>
              <w:ind/>
              <w:jc w:val="center"/>
              <w:rPr>
                <w:rFonts w:ascii="Times New Roman" w:hAnsi="Times New Roman"/>
                <w:b w:val="1"/>
                <w:color w:val="0F1115"/>
                <w:sz w:val="20"/>
              </w:rPr>
            </w:pPr>
            <w:r>
              <w:rPr>
                <w:rFonts w:ascii="Times New Roman" w:hAnsi="Times New Roman"/>
                <w:color w:val="000000"/>
                <w:sz w:val="20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inline>
                      <wp:extent cx="419100" cy="361950"/>
                      <wp:docPr hidden="false" id="3" name="Picture 3"/>
                      <a:graphic>
                        <a:graphicData uri="http://schemas.microsoft.com/office/word/2010/wordprocessingShape">
                          <wps:wsp>
                            <wps:cNvSpPr txBox="false"/>
                            <wps:spPr>
                              <a:xfrm flipH="false" flipV="false" rot="0">
                                <a:off x="0" y="0"/>
                                <a:ext cx="419100" cy="3619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0"/>
                              <a:effectRef idx="0"/>
                              <a:fontRef idx="none"/>
                            </wps:style>
                            <wps:txbx>
                              <w:txbxContent>
                                <w:p w14:paraId="00060000">
                                  <w:pPr>
                                    <w:pStyle w:val="Style_6"/>
                                    <w:widowControl w:val="1"/>
                                    <w:ind/>
                                    <w:jc w:val="left"/>
                                    <w:rPr>
                                      <w:rFonts w:asciiTheme="minorAscii" w:hAnsiTheme="minorHAnsi"/>
                                      <w:color w:themeColor="light1" w:val="FFFFFF"/>
                                      <w:spacing w:val="0"/>
                                      <w:sz w:val="22"/>
                                    </w:rPr>
                                  </w:pPr>
                                </w:p>
                              </w:txbxContent>
                            </wps:txbx>
                            <wps:bodyPr anchor="t" bIns="45720" lIns="91440" rIns="91440" tIns="45720"/>
                          </wps:wsp>
                        </a:graphicData>
                      </a:graphic>
                    </wp:inline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</w:tr>
      <w:tr>
        <w:trPr>
          <w:trHeight w:hRule="exact" w:val="945"/>
        </w:trPr>
        <w:tc>
          <w:tcPr>
            <w:tcW w:type="dxa" w:w="7648"/>
            <w:gridSpan w:val="2"/>
            <w:vAlign w:val="center"/>
          </w:tcPr>
          <w:p w14:paraId="01060000">
            <w:pPr>
              <w:widowControl w:val="1"/>
              <w:ind/>
              <w:jc w:val="both"/>
              <w:rPr>
                <w:rFonts w:ascii="Times New Roman" w:hAnsi="Times New Roman"/>
                <w:color w:val="0F1115"/>
                <w:sz w:val="20"/>
              </w:rPr>
            </w:pPr>
            <w:r>
              <w:rPr>
                <w:rFonts w:ascii="Times New Roman" w:hAnsi="Times New Roman"/>
                <w:color w:val="0F1115"/>
                <w:sz w:val="20"/>
              </w:rPr>
              <w:t>Красная зона характеризует неэффективное использование ИРС на территории региона. Необходимо пересмотреть миграционную политику, введение ограничительных мер, усиление контрольных функций</w:t>
            </w:r>
          </w:p>
        </w:tc>
        <w:tc>
          <w:tcPr>
            <w:tcW w:type="dxa" w:w="2670"/>
            <w:gridSpan w:val="1"/>
            <w:vMerge w:val="continue"/>
          </w:tcPr>
          <w:p/>
        </w:tc>
      </w:tr>
    </w:tbl>
    <w:p w14:paraId="02060000">
      <w:pPr>
        <w:pStyle w:val="Style_4"/>
      </w:pPr>
    </w:p>
    <w:sectPr>
      <w:footerReference r:id="rId1" w:type="default"/>
      <w:pgSz w:h="16838" w:orient="portrait" w:w="11906"/>
      <w:pgMar w:bottom="794" w:footer="720" w:gutter="0" w:header="720" w:left="794" w:right="794" w:top="79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W w:type="auto" w:w="0"/>
      <w:tblInd w:type="dxa" w:w="10"/>
      <w:tblLayout w:type="fixed"/>
      <w:tblCellMar>
        <w:left w:type="dxa" w:w="10"/>
        <w:right w:type="dxa" w:w="10"/>
      </w:tblCellMar>
    </w:tblPr>
    <w:tblGrid>
      <w:gridCol w:w="26"/>
      <w:gridCol w:w="26"/>
      <w:gridCol w:w="26"/>
    </w:tblGrid>
    <w:tr>
      <w:tc>
        <w:tcPr>
          <w:tcW w:type="dxa" w:w="26"/>
          <w:tcMar>
            <w:left w:type="dxa" w:w="10"/>
            <w:right w:type="dxa" w:w="10"/>
          </w:tcMar>
        </w:tcPr>
        <w:p w14:paraId="01000000">
          <w:pPr>
            <w:pStyle w:val="Style_2"/>
            <w:widowControl w:val="1"/>
            <w:ind w:firstLine="0"/>
            <w:jc w:val="left"/>
          </w:pPr>
        </w:p>
      </w:tc>
      <w:tc>
        <w:tcPr>
          <w:tcW w:type="dxa" w:w="26"/>
          <w:tcMar>
            <w:left w:type="dxa" w:w="10"/>
            <w:right w:type="dxa" w:w="10"/>
          </w:tcMar>
        </w:tcPr>
        <w:p w14:paraId="02000000">
          <w:pPr>
            <w:pStyle w:val="Style_2"/>
            <w:widowControl w:val="1"/>
            <w:ind w:firstLine="0"/>
            <w:jc w:val="center"/>
          </w:pPr>
        </w:p>
      </w:tc>
      <w:tc>
        <w:tcPr>
          <w:tcW w:type="dxa" w:w="26"/>
          <w:tcMar>
            <w:left w:type="dxa" w:w="10"/>
            <w:right w:type="dxa" w:w="10"/>
          </w:tcMar>
        </w:tcPr>
        <w:p w14:paraId="03000000">
          <w:pPr>
            <w:pStyle w:val="Style_2"/>
            <w:widowControl w:val="1"/>
            <w:ind w:firstLine="0"/>
            <w:jc w:val="right"/>
          </w:pPr>
        </w:p>
      </w:tc>
    </w:tr>
  </w:tbl>
  <w:p w14:paraId="04000000"/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1">
    <w:lvl w:ilvl="0">
      <w:numFmt w:val="bullet"/>
      <w:suff w:val="tab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3">
    <w:lvl w:ilvl="0"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4">
    <w:lvl w:ilvl="0"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suff w:val="tab"/>
      <w:lvlText w:val="-"/>
      <w:lvlJc w:val="left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lvlJc w:val="left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lvlJc w:val="left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lvlJc w:val="left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lvlJc w:val="left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lvlJc w:val="left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lvlJc w:val="left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lvlJc w:val="left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lvlJc w:val="left"/>
      <w:pPr>
        <w:widowControl w:val="1"/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suff w:val="tab"/>
      <w:lvlText w:val="-"/>
      <w:pPr>
        <w:widowControl w:val="1"/>
        <w:ind w:hanging="360" w:left="720"/>
      </w:pPr>
      <w:rPr>
        <w:rFonts w:ascii="Calibri" w:hAnsi="Calibri"/>
      </w:rPr>
    </w:lvl>
    <w:lvl w:ilvl="1">
      <w:numFmt w:val="bullet"/>
      <w:suff w:val="tab"/>
      <w:lvlText w:val="o"/>
      <w:pPr>
        <w:widowControl w:val="1"/>
        <w:ind w:hanging="360" w:left="1440"/>
      </w:pPr>
      <w:rPr>
        <w:rFonts w:ascii="Courier New" w:hAnsi="Courier New"/>
      </w:rPr>
    </w:lvl>
    <w:lvl w:ilvl="2">
      <w:numFmt w:val="bullet"/>
      <w:suff w:val="tab"/>
      <w:lvlText w:val=""/>
      <w:pPr>
        <w:widowControl w:val="1"/>
        <w:ind w:hanging="360" w:left="2160"/>
      </w:pPr>
      <w:rPr>
        <w:rFonts w:ascii="Wingdings" w:hAnsi="Wingdings"/>
      </w:rPr>
    </w:lvl>
    <w:lvl w:ilvl="3">
      <w:numFmt w:val="bullet"/>
      <w:suff w:val="tab"/>
      <w:lvlText w:val="-"/>
      <w:pPr>
        <w:widowControl w:val="1"/>
        <w:ind w:hanging="360" w:left="2880"/>
      </w:pPr>
      <w:rPr>
        <w:rFonts w:ascii="Calibri" w:hAnsi="Calibri"/>
      </w:rPr>
    </w:lvl>
    <w:lvl w:ilvl="4">
      <w:numFmt w:val="bullet"/>
      <w:suff w:val="tab"/>
      <w:lvlText w:val="o"/>
      <w:pPr>
        <w:widowControl w:val="1"/>
        <w:ind w:hanging="360" w:left="3600"/>
      </w:pPr>
      <w:rPr>
        <w:rFonts w:ascii="Courier New" w:hAnsi="Courier New"/>
      </w:rPr>
    </w:lvl>
    <w:lvl w:ilvl="5">
      <w:numFmt w:val="bullet"/>
      <w:suff w:val="tab"/>
      <w:lvlText w:val=""/>
      <w:pPr>
        <w:widowControl w:val="1"/>
        <w:ind w:hanging="360" w:left="4320"/>
      </w:pPr>
      <w:rPr>
        <w:rFonts w:ascii="Wingdings" w:hAnsi="Wingdings"/>
      </w:rPr>
    </w:lvl>
    <w:lvl w:ilvl="6">
      <w:numFmt w:val="bullet"/>
      <w:suff w:val="tab"/>
      <w:lvlText w:val="-"/>
      <w:pPr>
        <w:widowControl w:val="1"/>
        <w:ind w:hanging="360" w:left="5040"/>
      </w:pPr>
      <w:rPr>
        <w:rFonts w:ascii="Calibri" w:hAnsi="Calibri"/>
      </w:rPr>
    </w:lvl>
    <w:lvl w:ilvl="7">
      <w:numFmt w:val="bullet"/>
      <w:suff w:val="tab"/>
      <w:lvlText w:val="o"/>
      <w:pPr>
        <w:widowControl w:val="1"/>
        <w:ind w:hanging="360" w:left="5760"/>
      </w:pPr>
      <w:rPr>
        <w:rFonts w:ascii="Courier New" w:hAnsi="Courier New"/>
      </w:rPr>
    </w:lvl>
    <w:lvl w:ilvl="8">
      <w:numFmt w:val="bullet"/>
      <w:suff w:val="tab"/>
      <w:lvlText w:val=""/>
      <w:pPr>
        <w:widowControl w:val="1"/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4"/>
    </w:rPr>
  </w:style>
  <w:style w:default="1" w:styleId="Style_6_ch" w:type="character">
    <w:name w:val="Normal"/>
    <w:link w:val="Style_6"/>
    <w:rPr>
      <w:rFonts w:ascii="Times New Roman" w:hAnsi="Times New Roman"/>
      <w:sz w:val="24"/>
    </w:rPr>
  </w:style>
  <w:style w:styleId="Style_7" w:type="paragraph">
    <w:name w:val="xl85"/>
    <w:basedOn w:val="Style_6"/>
    <w:link w:val="Style_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b w:val="1"/>
      <w:sz w:val="20"/>
    </w:rPr>
  </w:style>
  <w:style w:styleId="Style_7_ch" w:type="character">
    <w:name w:val="xl85"/>
    <w:basedOn w:val="Style_6_ch"/>
    <w:link w:val="Style_7"/>
    <w:rPr>
      <w:b w:val="1"/>
      <w:sz w:val="20"/>
    </w:rPr>
  </w:style>
  <w:style w:styleId="Style_8" w:type="paragraph">
    <w:name w:val="xl79"/>
    <w:basedOn w:val="Style_6"/>
    <w:link w:val="Style_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8_ch" w:type="character">
    <w:name w:val="xl79"/>
    <w:basedOn w:val="Style_6_ch"/>
    <w:link w:val="Style_8"/>
    <w:rPr>
      <w:sz w:val="20"/>
    </w:rPr>
  </w:style>
  <w:style w:styleId="Style_9" w:type="paragraph">
    <w:name w:val="toc 2"/>
    <w:next w:val="Style_6"/>
    <w:link w:val="Style_9_ch"/>
    <w:uiPriority w:val="39"/>
    <w:pPr>
      <w:widowControl w:val="1"/>
      <w:ind w:left="200"/>
    </w:pPr>
    <w:rPr>
      <w:rFonts w:ascii="XO Thames" w:hAnsi="XO Thames"/>
      <w:sz w:val="28"/>
    </w:rPr>
  </w:style>
  <w:style w:styleId="Style_9_ch" w:type="character">
    <w:name w:val="toc 2"/>
    <w:link w:val="Style_9"/>
    <w:rPr>
      <w:rFonts w:ascii="XO Thames" w:hAnsi="XO Thames"/>
      <w:sz w:val="28"/>
    </w:rPr>
  </w:style>
  <w:style w:styleId="Style_10" w:type="paragraph">
    <w:name w:val="annotation reference"/>
    <w:basedOn w:val="Style_11"/>
    <w:link w:val="Style_10_ch"/>
    <w:rPr>
      <w:sz w:val="16"/>
    </w:rPr>
  </w:style>
  <w:style w:styleId="Style_10_ch" w:type="character">
    <w:name w:val="annotation reference"/>
    <w:basedOn w:val="Style_11_ch"/>
    <w:link w:val="Style_10"/>
    <w:rPr>
      <w:sz w:val="16"/>
    </w:rPr>
  </w:style>
  <w:style w:styleId="Style_12" w:type="paragraph">
    <w:name w:val="xl69"/>
    <w:basedOn w:val="Style_6"/>
    <w:link w:val="Style_1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sz w:val="20"/>
    </w:rPr>
  </w:style>
  <w:style w:styleId="Style_12_ch" w:type="character">
    <w:name w:val="xl69"/>
    <w:basedOn w:val="Style_6_ch"/>
    <w:link w:val="Style_12"/>
    <w:rPr>
      <w:sz w:val="20"/>
    </w:rPr>
  </w:style>
  <w:style w:styleId="Style_13" w:type="paragraph">
    <w:name w:val="toc 4"/>
    <w:next w:val="Style_6"/>
    <w:link w:val="Style_13_ch"/>
    <w:uiPriority w:val="39"/>
    <w:pPr>
      <w:widowControl w:val="1"/>
      <w:ind w:left="600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6"/>
    <w:link w:val="Style_14_ch"/>
    <w:uiPriority w:val="39"/>
    <w:pPr>
      <w:widowControl w:val="1"/>
      <w:ind w:left="1000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6"/>
    <w:link w:val="Style_15_ch"/>
    <w:uiPriority w:val="39"/>
    <w:pPr>
      <w:widowControl w:val="1"/>
      <w:ind w:left="1200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xl77"/>
    <w:basedOn w:val="Style_6"/>
    <w:link w:val="Style_1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16_ch" w:type="character">
    <w:name w:val="xl77"/>
    <w:basedOn w:val="Style_6_ch"/>
    <w:link w:val="Style_16"/>
    <w:rPr>
      <w:sz w:val="20"/>
    </w:rPr>
  </w:style>
  <w:style w:styleId="Style_17" w:type="paragraph">
    <w:name w:val="xl92"/>
    <w:basedOn w:val="Style_6"/>
    <w:link w:val="Style_1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17_ch" w:type="character">
    <w:name w:val="xl92"/>
    <w:basedOn w:val="Style_6_ch"/>
    <w:link w:val="Style_17"/>
    <w:rPr>
      <w:sz w:val="20"/>
    </w:rPr>
  </w:style>
  <w:style w:styleId="Style_18" w:type="paragraph">
    <w:name w:val="xl78"/>
    <w:basedOn w:val="Style_6"/>
    <w:link w:val="Style_1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b w:val="1"/>
      <w:sz w:val="20"/>
    </w:rPr>
  </w:style>
  <w:style w:styleId="Style_18_ch" w:type="character">
    <w:name w:val="xl78"/>
    <w:basedOn w:val="Style_6_ch"/>
    <w:link w:val="Style_18"/>
    <w:rPr>
      <w:b w:val="1"/>
      <w:sz w:val="20"/>
    </w:rPr>
  </w:style>
  <w:style w:styleId="Style_19" w:type="paragraph">
    <w:name w:val="xl88"/>
    <w:basedOn w:val="Style_6"/>
    <w:link w:val="Style_1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19_ch" w:type="character">
    <w:name w:val="xl88"/>
    <w:basedOn w:val="Style_6_ch"/>
    <w:link w:val="Style_19"/>
    <w:rPr>
      <w:b w:val="1"/>
      <w:sz w:val="20"/>
    </w:rPr>
  </w:style>
  <w:style w:styleId="Style_20" w:type="paragraph">
    <w:name w:val="Endnote"/>
    <w:link w:val="Style_20_ch"/>
    <w:pPr>
      <w:widowControl w:val="1"/>
      <w:ind w:firstLine="851"/>
      <w:jc w:val="both"/>
    </w:pPr>
    <w:rPr>
      <w:rFonts w:ascii="XO Thames" w:hAnsi="XO Thames"/>
    </w:rPr>
  </w:style>
  <w:style w:styleId="Style_20_ch" w:type="character">
    <w:name w:val="Endnote"/>
    <w:link w:val="Style_20"/>
    <w:rPr>
      <w:rFonts w:ascii="XO Thames" w:hAnsi="XO Thames"/>
    </w:rPr>
  </w:style>
  <w:style w:styleId="Style_21" w:type="paragraph">
    <w:name w:val="heading 3"/>
    <w:basedOn w:val="Style_22"/>
    <w:link w:val="Style_21_ch"/>
    <w:uiPriority w:val="9"/>
    <w:qFormat/>
    <w:pPr>
      <w:widowControl w:val="1"/>
      <w:ind/>
      <w:outlineLvl w:val="2"/>
    </w:pPr>
  </w:style>
  <w:style w:styleId="Style_21_ch" w:type="character">
    <w:name w:val="heading 3"/>
    <w:basedOn w:val="Style_22_ch"/>
    <w:link w:val="Style_21"/>
  </w:style>
  <w:style w:styleId="Style_23" w:type="paragraph">
    <w:name w:val="xl80"/>
    <w:basedOn w:val="Style_6"/>
    <w:link w:val="Style_2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23_ch" w:type="character">
    <w:name w:val="xl80"/>
    <w:basedOn w:val="Style_6_ch"/>
    <w:link w:val="Style_23"/>
  </w:style>
  <w:style w:styleId="Style_24" w:type="paragraph">
    <w:name w:val="xl74"/>
    <w:basedOn w:val="Style_6"/>
    <w:link w:val="Style_2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sz w:val="20"/>
    </w:rPr>
  </w:style>
  <w:style w:styleId="Style_24_ch" w:type="character">
    <w:name w:val="xl74"/>
    <w:basedOn w:val="Style_6_ch"/>
    <w:link w:val="Style_24"/>
    <w:rPr>
      <w:sz w:val="20"/>
    </w:rPr>
  </w:style>
  <w:style w:styleId="Style_25" w:type="paragraph">
    <w:name w:val="xl93"/>
    <w:basedOn w:val="Style_6"/>
    <w:link w:val="Style_25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</w:pPr>
    <w:rPr>
      <w:sz w:val="20"/>
    </w:rPr>
  </w:style>
  <w:style w:styleId="Style_25_ch" w:type="character">
    <w:name w:val="xl93"/>
    <w:basedOn w:val="Style_6_ch"/>
    <w:link w:val="Style_25"/>
    <w:rPr>
      <w:sz w:val="20"/>
    </w:rPr>
  </w:style>
  <w:style w:styleId="Style_22" w:type="paragraph">
    <w:name w:val="Heading"/>
    <w:basedOn w:val="Style_2"/>
    <w:link w:val="Style_22_ch"/>
    <w:pPr>
      <w:keepNext w:val="1"/>
      <w:widowControl w:val="1"/>
      <w:spacing w:after="120" w:before="240"/>
      <w:ind/>
      <w:jc w:val="center"/>
    </w:pPr>
    <w:rPr>
      <w:b w:val="1"/>
    </w:rPr>
  </w:style>
  <w:style w:styleId="Style_22_ch" w:type="character">
    <w:name w:val="Heading"/>
    <w:basedOn w:val="Style_2_ch"/>
    <w:link w:val="Style_22"/>
    <w:rPr>
      <w:b w:val="1"/>
    </w:rPr>
  </w:style>
  <w:style w:styleId="Style_26" w:type="paragraph">
    <w:name w:val="xl95"/>
    <w:basedOn w:val="Style_6"/>
    <w:link w:val="Style_26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26_ch" w:type="character">
    <w:name w:val="xl95"/>
    <w:basedOn w:val="Style_6_ch"/>
    <w:link w:val="Style_26"/>
    <w:rPr>
      <w:sz w:val="20"/>
    </w:rPr>
  </w:style>
  <w:style w:styleId="Style_27" w:type="paragraph">
    <w:name w:val="xl83"/>
    <w:basedOn w:val="Style_6"/>
    <w:link w:val="Style_2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27_ch" w:type="character">
    <w:name w:val="xl83"/>
    <w:basedOn w:val="Style_6_ch"/>
    <w:link w:val="Style_27"/>
  </w:style>
  <w:style w:styleId="Style_28" w:type="paragraph">
    <w:name w:val="Balloon Text"/>
    <w:basedOn w:val="Style_6"/>
    <w:link w:val="Style_28_ch"/>
    <w:rPr>
      <w:rFonts w:ascii="Tahoma" w:hAnsi="Tahoma"/>
      <w:sz w:val="16"/>
    </w:rPr>
  </w:style>
  <w:style w:styleId="Style_28_ch" w:type="character">
    <w:name w:val="Balloon Text"/>
    <w:basedOn w:val="Style_6_ch"/>
    <w:link w:val="Style_28"/>
    <w:rPr>
      <w:rFonts w:ascii="Tahoma" w:hAnsi="Tahoma"/>
      <w:sz w:val="16"/>
    </w:rPr>
  </w:style>
  <w:style w:styleId="Style_29" w:type="paragraph">
    <w:name w:val="xl71"/>
    <w:basedOn w:val="Style_6"/>
    <w:link w:val="Style_2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29_ch" w:type="character">
    <w:name w:val="xl71"/>
    <w:basedOn w:val="Style_6_ch"/>
    <w:link w:val="Style_29"/>
    <w:rPr>
      <w:sz w:val="20"/>
    </w:rPr>
  </w:style>
  <w:style w:styleId="Style_30" w:type="paragraph">
    <w:name w:val="xl70"/>
    <w:basedOn w:val="Style_6"/>
    <w:link w:val="Style_3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30_ch" w:type="character">
    <w:name w:val="xl70"/>
    <w:basedOn w:val="Style_6_ch"/>
    <w:link w:val="Style_30"/>
    <w:rPr>
      <w:sz w:val="20"/>
    </w:rPr>
  </w:style>
  <w:style w:styleId="Style_31" w:type="paragraph">
    <w:name w:val="header"/>
    <w:basedOn w:val="Style_6"/>
    <w:link w:val="Style_31_ch"/>
    <w:pPr>
      <w:widowControl w:val="1"/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6_ch"/>
    <w:link w:val="Style_31"/>
  </w:style>
  <w:style w:styleId="Style_32" w:type="paragraph">
    <w:name w:val="xl73"/>
    <w:basedOn w:val="Style_6"/>
    <w:link w:val="Style_32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32_ch" w:type="character">
    <w:name w:val="xl73"/>
    <w:basedOn w:val="Style_6_ch"/>
    <w:link w:val="Style_32"/>
    <w:rPr>
      <w:sz w:val="20"/>
    </w:rPr>
  </w:style>
  <w:style w:styleId="Style_33" w:type="paragraph">
    <w:name w:val="xl87"/>
    <w:basedOn w:val="Style_6"/>
    <w:link w:val="Style_3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33_ch" w:type="character">
    <w:name w:val="xl87"/>
    <w:basedOn w:val="Style_6_ch"/>
    <w:link w:val="Style_33"/>
    <w:rPr>
      <w:b w:val="1"/>
      <w:sz w:val="20"/>
    </w:rPr>
  </w:style>
  <w:style w:styleId="Style_34" w:type="paragraph">
    <w:name w:val="xl86"/>
    <w:basedOn w:val="Style_6"/>
    <w:link w:val="Style_3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34_ch" w:type="character">
    <w:name w:val="xl86"/>
    <w:basedOn w:val="Style_6_ch"/>
    <w:link w:val="Style_34"/>
    <w:rPr>
      <w:b w:val="1"/>
      <w:sz w:val="20"/>
    </w:rPr>
  </w:style>
  <w:style w:styleId="Style_35" w:type="paragraph">
    <w:name w:val="xl63"/>
    <w:basedOn w:val="Style_6"/>
    <w:link w:val="Style_35_ch"/>
    <w:pPr>
      <w:widowControl w:val="1"/>
      <w:spacing w:afterAutospacing="on" w:beforeAutospacing="on"/>
      <w:ind/>
      <w:jc w:val="center"/>
    </w:pPr>
  </w:style>
  <w:style w:styleId="Style_35_ch" w:type="character">
    <w:name w:val="xl63"/>
    <w:basedOn w:val="Style_6_ch"/>
    <w:link w:val="Style_35"/>
  </w:style>
  <w:style w:styleId="Style_36" w:type="paragraph">
    <w:name w:val="toc 3"/>
    <w:next w:val="Style_6"/>
    <w:link w:val="Style_36_ch"/>
    <w:uiPriority w:val="39"/>
    <w:pPr>
      <w:widowControl w:val="1"/>
      <w:ind w:left="400"/>
    </w:pPr>
    <w:rPr>
      <w:rFonts w:ascii="XO Thames" w:hAnsi="XO Thames"/>
      <w:sz w:val="28"/>
    </w:rPr>
  </w:style>
  <w:style w:styleId="Style_36_ch" w:type="character">
    <w:name w:val="toc 3"/>
    <w:link w:val="Style_36"/>
    <w:rPr>
      <w:rFonts w:ascii="XO Thames" w:hAnsi="XO Thames"/>
      <w:sz w:val="28"/>
    </w:rPr>
  </w:style>
  <w:style w:styleId="Style_4" w:type="paragraph">
    <w:name w:val="Нормальный"/>
    <w:basedOn w:val="Style_2"/>
    <w:link w:val="Style_4_ch"/>
  </w:style>
  <w:style w:styleId="Style_4_ch" w:type="character">
    <w:name w:val="Нормальный"/>
    <w:basedOn w:val="Style_2_ch"/>
    <w:link w:val="Style_4"/>
  </w:style>
  <w:style w:styleId="Style_37" w:type="paragraph">
    <w:name w:val="xl75"/>
    <w:basedOn w:val="Style_6"/>
    <w:link w:val="Style_3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37_ch" w:type="character">
    <w:name w:val="xl75"/>
    <w:basedOn w:val="Style_6_ch"/>
    <w:link w:val="Style_37"/>
    <w:rPr>
      <w:sz w:val="20"/>
    </w:rPr>
  </w:style>
  <w:style w:styleId="Style_38" w:type="paragraph">
    <w:name w:val="xl82"/>
    <w:basedOn w:val="Style_6"/>
    <w:link w:val="Style_3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38_ch" w:type="character">
    <w:name w:val="xl82"/>
    <w:basedOn w:val="Style_6_ch"/>
    <w:link w:val="Style_38"/>
  </w:style>
  <w:style w:styleId="Style_39" w:type="paragraph">
    <w:name w:val="xl64"/>
    <w:basedOn w:val="Style_6"/>
    <w:link w:val="Style_39_ch"/>
    <w:pPr>
      <w:widowControl w:val="1"/>
      <w:spacing w:afterAutospacing="on" w:beforeAutospacing="on"/>
      <w:ind/>
    </w:pPr>
  </w:style>
  <w:style w:styleId="Style_39_ch" w:type="character">
    <w:name w:val="xl64"/>
    <w:basedOn w:val="Style_6_ch"/>
    <w:link w:val="Style_39"/>
  </w:style>
  <w:style w:styleId="Style_40" w:type="paragraph">
    <w:name w:val="xl90"/>
    <w:basedOn w:val="Style_6"/>
    <w:link w:val="Style_40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40_ch" w:type="character">
    <w:name w:val="xl90"/>
    <w:basedOn w:val="Style_6_ch"/>
    <w:link w:val="Style_40"/>
    <w:rPr>
      <w:b w:val="1"/>
      <w:sz w:val="20"/>
    </w:rPr>
  </w:style>
  <w:style w:styleId="Style_41" w:type="paragraph">
    <w:name w:val="xl72"/>
    <w:basedOn w:val="Style_6"/>
    <w:link w:val="Style_4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41_ch" w:type="character">
    <w:name w:val="xl72"/>
    <w:basedOn w:val="Style_6_ch"/>
    <w:link w:val="Style_41"/>
    <w:rPr>
      <w:sz w:val="20"/>
    </w:rPr>
  </w:style>
  <w:style w:styleId="Style_42" w:type="paragraph">
    <w:name w:val="footer"/>
    <w:basedOn w:val="Style_6"/>
    <w:link w:val="Style_42_ch"/>
    <w:pPr>
      <w:widowControl w:val="1"/>
      <w:tabs>
        <w:tab w:leader="none" w:pos="4677" w:val="center"/>
        <w:tab w:leader="none" w:pos="9355" w:val="right"/>
      </w:tabs>
      <w:ind/>
    </w:pPr>
  </w:style>
  <w:style w:styleId="Style_42_ch" w:type="character">
    <w:name w:val="footer"/>
    <w:basedOn w:val="Style_6_ch"/>
    <w:link w:val="Style_42"/>
  </w:style>
  <w:style w:styleId="Style_43" w:type="paragraph">
    <w:name w:val="xl67"/>
    <w:basedOn w:val="Style_6"/>
    <w:link w:val="Style_43_ch"/>
    <w:pPr>
      <w:widowControl w:val="1"/>
      <w:spacing w:afterAutospacing="on" w:beforeAutospacing="on"/>
      <w:ind/>
      <w:jc w:val="center"/>
    </w:pPr>
  </w:style>
  <w:style w:styleId="Style_43_ch" w:type="character">
    <w:name w:val="xl67"/>
    <w:basedOn w:val="Style_6_ch"/>
    <w:link w:val="Style_43"/>
  </w:style>
  <w:style w:styleId="Style_44" w:type="paragraph">
    <w:name w:val="xl65"/>
    <w:basedOn w:val="Style_6"/>
    <w:link w:val="Style_44_ch"/>
    <w:pPr>
      <w:widowControl w:val="1"/>
      <w:spacing w:afterAutospacing="on" w:beforeAutospacing="on"/>
      <w:ind/>
      <w:jc w:val="center"/>
    </w:pPr>
  </w:style>
  <w:style w:styleId="Style_44_ch" w:type="character">
    <w:name w:val="xl65"/>
    <w:basedOn w:val="Style_6_ch"/>
    <w:link w:val="Style_44"/>
  </w:style>
  <w:style w:styleId="Style_45" w:type="paragraph">
    <w:name w:val="Основной шрифт абзаца1"/>
    <w:link w:val="Style_45_ch"/>
  </w:style>
  <w:style w:styleId="Style_45_ch" w:type="character">
    <w:name w:val="Основной шрифт абзаца1"/>
    <w:link w:val="Style_45"/>
  </w:style>
  <w:style w:styleId="Style_46" w:type="paragraph">
    <w:name w:val="heading 5"/>
    <w:next w:val="Style_6"/>
    <w:link w:val="Style_4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6_ch" w:type="character">
    <w:name w:val="heading 5"/>
    <w:link w:val="Style_46"/>
    <w:rPr>
      <w:rFonts w:ascii="XO Thames" w:hAnsi="XO Thames"/>
      <w:b w:val="1"/>
    </w:rPr>
  </w:style>
  <w:style w:styleId="Style_2" w:type="paragraph">
    <w:name w:val="Standard"/>
    <w:link w:val="Style_2_ch"/>
    <w:pPr>
      <w:widowControl w:val="1"/>
      <w:spacing w:after="0" w:line="240" w:lineRule="auto"/>
      <w:ind w:firstLine="720"/>
      <w:jc w:val="both"/>
    </w:pPr>
    <w:rPr>
      <w:rFonts w:ascii="Times New Roman" w:hAnsi="Times New Roman"/>
      <w:sz w:val="24"/>
    </w:rPr>
  </w:style>
  <w:style w:styleId="Style_2_ch" w:type="character">
    <w:name w:val="Standard"/>
    <w:link w:val="Style_2"/>
    <w:rPr>
      <w:rFonts w:ascii="Times New Roman" w:hAnsi="Times New Roman"/>
      <w:sz w:val="24"/>
    </w:rPr>
  </w:style>
  <w:style w:styleId="Style_47" w:type="paragraph">
    <w:name w:val="xl89"/>
    <w:basedOn w:val="Style_6"/>
    <w:link w:val="Style_47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47_ch" w:type="character">
    <w:name w:val="xl89"/>
    <w:basedOn w:val="Style_6_ch"/>
    <w:link w:val="Style_47"/>
    <w:rPr>
      <w:b w:val="1"/>
      <w:sz w:val="20"/>
    </w:rPr>
  </w:style>
  <w:style w:styleId="Style_3" w:type="paragraph">
    <w:name w:val="heading 1"/>
    <w:basedOn w:val="Style_22"/>
    <w:link w:val="Style_3_ch"/>
    <w:uiPriority w:val="9"/>
    <w:qFormat/>
    <w:pPr>
      <w:widowControl w:val="1"/>
      <w:ind/>
      <w:outlineLvl w:val="0"/>
    </w:pPr>
  </w:style>
  <w:style w:styleId="Style_3_ch" w:type="character">
    <w:name w:val="heading 1"/>
    <w:basedOn w:val="Style_22_ch"/>
    <w:link w:val="Style_3"/>
  </w:style>
  <w:style w:styleId="Style_48" w:type="paragraph">
    <w:name w:val="Hyperlink"/>
    <w:link w:val="Style_48_ch"/>
    <w:rPr>
      <w:color w:val="0000FF"/>
      <w:u w:val="single"/>
    </w:rPr>
  </w:style>
  <w:style w:styleId="Style_48_ch" w:type="character">
    <w:name w:val="Hyperlink"/>
    <w:link w:val="Style_48"/>
    <w:rPr>
      <w:color w:val="0000FF"/>
      <w:u w:val="single"/>
    </w:rPr>
  </w:style>
  <w:style w:styleId="Style_49" w:type="paragraph">
    <w:name w:val="Footnote"/>
    <w:link w:val="Style_49_ch"/>
    <w:pPr>
      <w:widowControl w:val="1"/>
      <w:ind w:firstLine="851"/>
      <w:jc w:val="both"/>
    </w:pPr>
    <w:rPr>
      <w:rFonts w:ascii="XO Thames" w:hAnsi="XO Thames"/>
    </w:rPr>
  </w:style>
  <w:style w:styleId="Style_49_ch" w:type="character">
    <w:name w:val="Footnote"/>
    <w:link w:val="Style_49"/>
    <w:rPr>
      <w:rFonts w:ascii="XO Thames" w:hAnsi="XO Thames"/>
    </w:rPr>
  </w:style>
  <w:style w:styleId="Style_50" w:type="paragraph">
    <w:name w:val="toc 1"/>
    <w:next w:val="Style_6"/>
    <w:link w:val="Style_50_ch"/>
    <w:uiPriority w:val="39"/>
    <w:rPr>
      <w:rFonts w:ascii="XO Thames" w:hAnsi="XO Thames"/>
      <w:b w:val="1"/>
      <w:sz w:val="28"/>
    </w:rPr>
  </w:style>
  <w:style w:styleId="Style_50_ch" w:type="character">
    <w:name w:val="toc 1"/>
    <w:link w:val="Style_50"/>
    <w:rPr>
      <w:rFonts w:ascii="XO Thames" w:hAnsi="XO Thames"/>
      <w:b w:val="1"/>
      <w:sz w:val="28"/>
    </w:rPr>
  </w:style>
  <w:style w:styleId="Style_51" w:type="paragraph">
    <w:name w:val="xl91"/>
    <w:basedOn w:val="Style_6"/>
    <w:link w:val="Style_5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b w:val="1"/>
      <w:sz w:val="20"/>
    </w:rPr>
  </w:style>
  <w:style w:styleId="Style_51_ch" w:type="character">
    <w:name w:val="xl91"/>
    <w:basedOn w:val="Style_6_ch"/>
    <w:link w:val="Style_51"/>
    <w:rPr>
      <w:b w:val="1"/>
      <w:sz w:val="20"/>
    </w:rPr>
  </w:style>
  <w:style w:styleId="Style_52" w:type="paragraph">
    <w:name w:val="Header and Footer"/>
    <w:link w:val="Style_5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52_ch" w:type="character">
    <w:name w:val="Header and Footer"/>
    <w:link w:val="Style_52"/>
    <w:rPr>
      <w:rFonts w:ascii="XO Thames" w:hAnsi="XO Thames"/>
      <w:sz w:val="28"/>
    </w:rPr>
  </w:style>
  <w:style w:styleId="Style_53" w:type="paragraph">
    <w:name w:val="Прижатый влево"/>
    <w:basedOn w:val="Style_2"/>
    <w:link w:val="Style_53_ch"/>
    <w:pPr>
      <w:widowControl w:val="1"/>
      <w:ind w:firstLine="0"/>
      <w:jc w:val="left"/>
    </w:pPr>
  </w:style>
  <w:style w:styleId="Style_53_ch" w:type="character">
    <w:name w:val="Прижатый влево"/>
    <w:basedOn w:val="Style_2_ch"/>
    <w:link w:val="Style_53"/>
  </w:style>
  <w:style w:styleId="Style_54" w:type="paragraph">
    <w:name w:val="toc 9"/>
    <w:next w:val="Style_6"/>
    <w:link w:val="Style_54_ch"/>
    <w:uiPriority w:val="39"/>
    <w:pPr>
      <w:widowControl w:val="1"/>
      <w:ind w:left="1600"/>
    </w:pPr>
    <w:rPr>
      <w:rFonts w:ascii="XO Thames" w:hAnsi="XO Thames"/>
      <w:sz w:val="28"/>
    </w:rPr>
  </w:style>
  <w:style w:styleId="Style_54_ch" w:type="character">
    <w:name w:val="toc 9"/>
    <w:link w:val="Style_54"/>
    <w:rPr>
      <w:rFonts w:ascii="XO Thames" w:hAnsi="XO Thames"/>
      <w:sz w:val="28"/>
    </w:rPr>
  </w:style>
  <w:style w:styleId="Style_55" w:type="paragraph">
    <w:name w:val="Просмотренная гиперссылка1"/>
    <w:basedOn w:val="Style_45"/>
    <w:link w:val="Style_55_ch"/>
    <w:rPr>
      <w:color w:val="800080"/>
      <w:u w:val="single"/>
    </w:rPr>
  </w:style>
  <w:style w:styleId="Style_55_ch" w:type="character">
    <w:name w:val="Просмотренная гиперссылка1"/>
    <w:basedOn w:val="Style_45_ch"/>
    <w:link w:val="Style_55"/>
    <w:rPr>
      <w:color w:val="800080"/>
      <w:u w:val="single"/>
    </w:rPr>
  </w:style>
  <w:style w:styleId="Style_56" w:type="paragraph">
    <w:name w:val="Гиперссылка1"/>
    <w:basedOn w:val="Style_45"/>
    <w:link w:val="Style_56_ch"/>
    <w:rPr>
      <w:color w:val="0000FF"/>
      <w:u w:val="single"/>
    </w:rPr>
  </w:style>
  <w:style w:styleId="Style_56_ch" w:type="character">
    <w:name w:val="Гиперссылка1"/>
    <w:basedOn w:val="Style_45_ch"/>
    <w:link w:val="Style_56"/>
    <w:rPr>
      <w:color w:val="0000FF"/>
      <w:u w:val="single"/>
    </w:rPr>
  </w:style>
  <w:style w:styleId="Style_57" w:type="paragraph">
    <w:name w:val="toc 8"/>
    <w:next w:val="Style_6"/>
    <w:link w:val="Style_57_ch"/>
    <w:uiPriority w:val="39"/>
    <w:pPr>
      <w:widowControl w:val="1"/>
      <w:ind w:left="1400"/>
    </w:pPr>
    <w:rPr>
      <w:rFonts w:ascii="XO Thames" w:hAnsi="XO Thames"/>
      <w:sz w:val="28"/>
    </w:rPr>
  </w:style>
  <w:style w:styleId="Style_57_ch" w:type="character">
    <w:name w:val="toc 8"/>
    <w:link w:val="Style_57"/>
    <w:rPr>
      <w:rFonts w:ascii="XO Thames" w:hAnsi="XO Thames"/>
      <w:sz w:val="28"/>
    </w:rPr>
  </w:style>
  <w:style w:styleId="Style_58" w:type="paragraph">
    <w:name w:val="xl94"/>
    <w:basedOn w:val="Style_6"/>
    <w:link w:val="Style_58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58_ch" w:type="character">
    <w:name w:val="xl94"/>
    <w:basedOn w:val="Style_6_ch"/>
    <w:link w:val="Style_58"/>
    <w:rPr>
      <w:sz w:val="20"/>
    </w:rPr>
  </w:style>
  <w:style w:styleId="Style_59" w:type="paragraph">
    <w:name w:val="xl81"/>
    <w:basedOn w:val="Style_6"/>
    <w:link w:val="Style_59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</w:style>
  <w:style w:styleId="Style_59_ch" w:type="character">
    <w:name w:val="xl81"/>
    <w:basedOn w:val="Style_6_ch"/>
    <w:link w:val="Style_59"/>
  </w:style>
  <w:style w:styleId="Style_60" w:type="paragraph">
    <w:name w:val="toc 5"/>
    <w:next w:val="Style_6"/>
    <w:link w:val="Style_60_ch"/>
    <w:uiPriority w:val="39"/>
    <w:pPr>
      <w:widowControl w:val="1"/>
      <w:ind w:left="800"/>
    </w:pPr>
    <w:rPr>
      <w:rFonts w:ascii="XO Thames" w:hAnsi="XO Thames"/>
      <w:sz w:val="28"/>
    </w:rPr>
  </w:style>
  <w:style w:styleId="Style_60_ch" w:type="character">
    <w:name w:val="toc 5"/>
    <w:link w:val="Style_60"/>
    <w:rPr>
      <w:rFonts w:ascii="XO Thames" w:hAnsi="XO Thames"/>
      <w:sz w:val="28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61" w:type="paragraph">
    <w:name w:val="msonormal"/>
    <w:basedOn w:val="Style_6"/>
    <w:link w:val="Style_61_ch"/>
    <w:pPr>
      <w:widowControl w:val="1"/>
      <w:spacing w:afterAutospacing="on" w:beforeAutospacing="on"/>
      <w:ind/>
    </w:pPr>
  </w:style>
  <w:style w:styleId="Style_61_ch" w:type="character">
    <w:name w:val="msonormal"/>
    <w:basedOn w:val="Style_6_ch"/>
    <w:link w:val="Style_61"/>
  </w:style>
  <w:style w:styleId="Style_62" w:type="paragraph">
    <w:name w:val="annotation subject"/>
    <w:basedOn w:val="Style_63"/>
    <w:next w:val="Style_63"/>
    <w:link w:val="Style_62_ch"/>
    <w:rPr>
      <w:b w:val="1"/>
    </w:rPr>
  </w:style>
  <w:style w:styleId="Style_62_ch" w:type="character">
    <w:name w:val="annotation subject"/>
    <w:basedOn w:val="Style_63_ch"/>
    <w:link w:val="Style_62"/>
    <w:rPr>
      <w:b w:val="1"/>
    </w:rPr>
  </w:style>
  <w:style w:styleId="Style_64" w:type="paragraph">
    <w:name w:val="xl84"/>
    <w:basedOn w:val="Style_6"/>
    <w:link w:val="Style_64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64_ch" w:type="character">
    <w:name w:val="xl84"/>
    <w:basedOn w:val="Style_6_ch"/>
    <w:link w:val="Style_64"/>
    <w:rPr>
      <w:sz w:val="20"/>
    </w:rPr>
  </w:style>
  <w:style w:styleId="Style_65" w:type="paragraph">
    <w:name w:val="Строгий1"/>
    <w:basedOn w:val="Style_45"/>
    <w:link w:val="Style_65_ch"/>
    <w:rPr>
      <w:b w:val="1"/>
    </w:rPr>
  </w:style>
  <w:style w:styleId="Style_65_ch" w:type="character">
    <w:name w:val="Строгий1"/>
    <w:basedOn w:val="Style_45_ch"/>
    <w:link w:val="Style_65"/>
    <w:rPr>
      <w:b w:val="1"/>
    </w:rPr>
  </w:style>
  <w:style w:styleId="Style_66" w:type="paragraph">
    <w:name w:val="Subtitle"/>
    <w:next w:val="Style_6"/>
    <w:link w:val="Style_6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66_ch" w:type="character">
    <w:name w:val="Subtitle"/>
    <w:link w:val="Style_66"/>
    <w:rPr>
      <w:rFonts w:ascii="XO Thames" w:hAnsi="XO Thames"/>
      <w:i w:val="1"/>
      <w:sz w:val="24"/>
    </w:rPr>
  </w:style>
  <w:style w:styleId="Style_67" w:type="paragraph">
    <w:name w:val="Preformatted"/>
    <w:link w:val="Style_67_ch"/>
    <w:pPr>
      <w:widowControl w:val="1"/>
      <w:spacing w:after="0" w:line="240" w:lineRule="auto"/>
      <w:ind/>
      <w:jc w:val="both"/>
    </w:pPr>
    <w:rPr>
      <w:rFonts w:ascii="Courier New" w:hAnsi="Courier New"/>
      <w:sz w:val="24"/>
    </w:rPr>
  </w:style>
  <w:style w:styleId="Style_67_ch" w:type="character">
    <w:name w:val="Preformatted"/>
    <w:link w:val="Style_67"/>
    <w:rPr>
      <w:rFonts w:ascii="Courier New" w:hAnsi="Courier New"/>
      <w:sz w:val="24"/>
    </w:rPr>
  </w:style>
  <w:style w:styleId="Style_68" w:type="paragraph">
    <w:name w:val="Обычный1"/>
    <w:link w:val="Style_68_ch"/>
    <w:rPr>
      <w:rFonts w:ascii="Times New Roman" w:hAnsi="Times New Roman"/>
      <w:sz w:val="24"/>
    </w:rPr>
  </w:style>
  <w:style w:styleId="Style_68_ch" w:type="character">
    <w:name w:val="Обычный1"/>
    <w:link w:val="Style_68"/>
    <w:rPr>
      <w:rFonts w:ascii="Times New Roman" w:hAnsi="Times New Roman"/>
      <w:sz w:val="24"/>
    </w:rPr>
  </w:style>
  <w:style w:styleId="Style_5" w:type="paragraph">
    <w:name w:val="ds-markdown-paragraph"/>
    <w:basedOn w:val="Style_6"/>
    <w:link w:val="Style_5_ch"/>
    <w:pPr>
      <w:widowControl w:val="1"/>
      <w:spacing w:afterAutospacing="on" w:beforeAutospacing="on"/>
      <w:ind/>
    </w:pPr>
  </w:style>
  <w:style w:styleId="Style_5_ch" w:type="character">
    <w:name w:val="ds-markdown-paragraph"/>
    <w:basedOn w:val="Style_6_ch"/>
    <w:link w:val="Style_5"/>
  </w:style>
  <w:style w:styleId="Style_69" w:type="paragraph">
    <w:name w:val="Title"/>
    <w:next w:val="Style_6"/>
    <w:link w:val="Style_6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69_ch" w:type="character">
    <w:name w:val="Title"/>
    <w:link w:val="Style_69"/>
    <w:rPr>
      <w:rFonts w:ascii="XO Thames" w:hAnsi="XO Thames"/>
      <w:b w:val="1"/>
      <w:caps w:val="1"/>
      <w:sz w:val="40"/>
    </w:rPr>
  </w:style>
  <w:style w:styleId="Style_70" w:type="paragraph">
    <w:name w:val="heading 4"/>
    <w:basedOn w:val="Style_22"/>
    <w:link w:val="Style_70_ch"/>
    <w:uiPriority w:val="9"/>
    <w:qFormat/>
    <w:pPr>
      <w:widowControl w:val="1"/>
      <w:ind/>
      <w:outlineLvl w:val="3"/>
    </w:pPr>
  </w:style>
  <w:style w:styleId="Style_70_ch" w:type="character">
    <w:name w:val="heading 4"/>
    <w:basedOn w:val="Style_22_ch"/>
    <w:link w:val="Style_70"/>
  </w:style>
  <w:style w:styleId="Style_71" w:type="paragraph">
    <w:name w:val="xl76"/>
    <w:basedOn w:val="Style_6"/>
    <w:link w:val="Style_71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71_ch" w:type="character">
    <w:name w:val="xl76"/>
    <w:basedOn w:val="Style_6_ch"/>
    <w:link w:val="Style_71"/>
    <w:rPr>
      <w:sz w:val="20"/>
    </w:rPr>
  </w:style>
  <w:style w:styleId="Style_63" w:type="paragraph">
    <w:name w:val="annotation text"/>
    <w:basedOn w:val="Style_6"/>
    <w:link w:val="Style_63_ch"/>
    <w:rPr>
      <w:sz w:val="20"/>
    </w:rPr>
  </w:style>
  <w:style w:styleId="Style_63_ch" w:type="character">
    <w:name w:val="annotation text"/>
    <w:basedOn w:val="Style_6_ch"/>
    <w:link w:val="Style_63"/>
    <w:rPr>
      <w:sz w:val="20"/>
    </w:rPr>
  </w:style>
  <w:style w:styleId="Style_72" w:type="paragraph">
    <w:name w:val="heading 2"/>
    <w:basedOn w:val="Style_22"/>
    <w:link w:val="Style_72_ch"/>
    <w:uiPriority w:val="9"/>
    <w:qFormat/>
    <w:pPr>
      <w:widowControl w:val="1"/>
      <w:ind/>
      <w:outlineLvl w:val="1"/>
    </w:pPr>
  </w:style>
  <w:style w:styleId="Style_72_ch" w:type="character">
    <w:name w:val="heading 2"/>
    <w:basedOn w:val="Style_22_ch"/>
    <w:link w:val="Style_72"/>
  </w:style>
  <w:style w:styleId="Style_73" w:type="paragraph">
    <w:name w:val="xl68"/>
    <w:basedOn w:val="Style_6"/>
    <w:link w:val="Style_73_ch"/>
    <w:pPr>
      <w:widowControl w:val="1"/>
      <w:pBdr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</w:pBdr>
      <w:spacing w:afterAutospacing="on" w:beforeAutospacing="on"/>
      <w:ind/>
      <w:jc w:val="center"/>
    </w:pPr>
    <w:rPr>
      <w:sz w:val="20"/>
    </w:rPr>
  </w:style>
  <w:style w:styleId="Style_73_ch" w:type="character">
    <w:name w:val="xl68"/>
    <w:basedOn w:val="Style_6_ch"/>
    <w:link w:val="Style_73"/>
    <w:rPr>
      <w:sz w:val="20"/>
    </w:rPr>
  </w:style>
  <w:style w:styleId="Style_74" w:type="paragraph">
    <w:name w:val="xl66"/>
    <w:basedOn w:val="Style_6"/>
    <w:link w:val="Style_74_ch"/>
    <w:pPr>
      <w:widowControl w:val="1"/>
      <w:spacing w:afterAutospacing="on" w:beforeAutospacing="on"/>
      <w:ind/>
      <w:jc w:val="center"/>
    </w:pPr>
  </w:style>
  <w:style w:styleId="Style_74_ch" w:type="character">
    <w:name w:val="xl66"/>
    <w:basedOn w:val="Style_6_ch"/>
    <w:link w:val="Style_74"/>
  </w:style>
  <w:style w:styleId="Style_75" w:type="paragraph">
    <w:name w:val="Нормальный (OEM)"/>
    <w:basedOn w:val="Style_67"/>
    <w:link w:val="Style_75_ch"/>
  </w:style>
  <w:style w:styleId="Style_75_ch" w:type="character">
    <w:name w:val="Нормальный (OEM)"/>
    <w:basedOn w:val="Style_67_ch"/>
    <w:link w:val="Style_75"/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footer1.xml" Type="http://schemas.openxmlformats.org/officeDocument/2006/relationships/foot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8" Target="numbering.xml" Type="http://schemas.openxmlformats.org/officeDocument/2006/relationships/numbering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2026-06-16T05:34:56Z</dcterms:created>
  <dcterms:modified xsi:type="dcterms:W3CDTF">2026-07-28T05:47:52Z</dcterms:modified>
</cp:coreProperties>
</file>