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5.xml" ContentType="application/vnd.openxmlformats-officedocument.wordprocessingml.footer+xml"/>
  <Override PartName="/word/media/image1.jpeg" ContentType="image/jpeg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38"/>
        <w:gridCol w:w="1494"/>
        <w:gridCol w:w="4039"/>
      </w:tblGrid>
      <w:tr>
        <w:trPr/>
        <w:tc>
          <w:tcPr>
            <w:tcW w:w="4038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  <w:t>Министерство предпринимательства,</w:t>
            </w:r>
          </w:p>
          <w:p>
            <w:pPr>
              <w:pStyle w:val="Normal"/>
              <w:widowControl w:val="false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  <w:t>торговли и туризма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lang w:val="sah-RU"/>
              </w:rPr>
              <w:t>Республики Саха (Якутия)</w:t>
            </w:r>
          </w:p>
        </w:tc>
        <w:tc>
          <w:tcPr>
            <w:tcW w:w="1494" w:type="dxa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drawing>
                <wp:inline distT="0" distB="0" distL="0" distR="0">
                  <wp:extent cx="676275" cy="676275"/>
                  <wp:effectExtent l="0" t="0" r="0" b="0"/>
                  <wp:docPr id="1" name="Рисунок 3" descr="Герб РС(Я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Герб РС(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9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  <w:t>Саха Өрөспүүбүлүкэтин</w:t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  <w:lang w:val="sah-RU"/>
              </w:rPr>
              <w:t>Урбааҥҥа, эргиэҥҥэ уонна туризмҥа министиэристибэтэ</w:t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rPr>
                <w:lang w:val="sah-RU"/>
              </w:rPr>
            </w:pPr>
            <w:r>
              <w:rPr>
                <w:lang w:val="sah-RU"/>
              </w:rPr>
            </w:r>
          </w:p>
        </w:tc>
      </w:tr>
      <w:tr>
        <w:trPr/>
        <w:tc>
          <w:tcPr>
            <w:tcW w:w="9571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  <w:lang w:val="sah-RU"/>
              </w:rPr>
            </w:pPr>
            <w:r>
              <w:rPr>
                <w:sz w:val="20"/>
                <w:szCs w:val="20"/>
                <w:lang w:val="sah-RU"/>
              </w:rPr>
              <w:t>677000, пр.Ленина, 22, Якутск, Республика Саха (Якутия)</w:t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ah-RU"/>
              </w:rPr>
              <w:t xml:space="preserve">тел.: (4112) 506-224, </w:t>
            </w:r>
            <w:r>
              <w:rPr>
                <w:sz w:val="20"/>
                <w:szCs w:val="20"/>
                <w:lang w:val="en-US"/>
              </w:rPr>
              <w:t>e-mail</w:t>
            </w:r>
            <w:r>
              <w:rPr>
                <w:sz w:val="20"/>
                <w:szCs w:val="20"/>
                <w:lang w:val="sah-RU"/>
              </w:rPr>
              <w:t xml:space="preserve">: </w:t>
            </w:r>
            <w:hyperlink r:id="rId3">
              <w:r>
                <w:rPr>
                  <w:rStyle w:val="Style9"/>
                  <w:sz w:val="20"/>
                  <w:szCs w:val="20"/>
                  <w:lang w:val="en-US"/>
                </w:rPr>
                <w:t>minpred@sakha.gov.ru</w:t>
              </w:r>
            </w:hyperlink>
            <w:r>
              <w:rPr>
                <w:sz w:val="20"/>
                <w:szCs w:val="20"/>
                <w:lang w:val="sah-RU"/>
              </w:rPr>
              <w:t>;</w:t>
            </w:r>
            <w:r>
              <w:rPr>
                <w:sz w:val="20"/>
                <w:szCs w:val="20"/>
                <w:lang w:val="en-US"/>
              </w:rPr>
              <w:t xml:space="preserve"> https:// </w:t>
            </w:r>
            <w:hyperlink r:id="rId4">
              <w:r>
                <w:rPr>
                  <w:rStyle w:val="Style9"/>
                  <w:sz w:val="20"/>
                  <w:szCs w:val="20"/>
                  <w:lang w:val="en-US"/>
                </w:rPr>
                <w:t>minpred.sakha.gov.ru</w:t>
              </w:r>
            </w:hyperlink>
            <w:r>
              <w:rPr>
                <w:sz w:val="20"/>
                <w:szCs w:val="20"/>
                <w:lang w:val="en-US"/>
              </w:rPr>
              <w:t>/</w:t>
            </w:r>
          </w:p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9571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bookmarkStart w:id="0" w:name="regnumdatestamp"/>
            <w:bookmarkStart w:id="1" w:name="regnumdatestamp"/>
            <w:bookmarkEnd w:id="1"/>
          </w:p>
          <w:p>
            <w:pPr>
              <w:pStyle w:val="Normal"/>
              <w:widowControl w:val="false"/>
              <w:jc w:val="center"/>
              <w:rPr>
                <w:b/>
                <w:lang w:val="sah-RU"/>
              </w:rPr>
            </w:pPr>
            <w:r>
              <w:rPr>
                <w:b/>
                <w:lang w:val="sah-RU"/>
              </w:rPr>
            </w:r>
          </w:p>
        </w:tc>
      </w:tr>
    </w:tbl>
    <w:p>
      <w:pPr>
        <w:pStyle w:val="Normal"/>
        <w:widowControl w:val="false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>
      <w:pPr>
        <w:pStyle w:val="Normal"/>
        <w:widowControl w:val="false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г. Якутск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>
      <w:pPr>
        <w:pStyle w:val="ConsPlusNormal"/>
        <w:spacing w:before="0" w:after="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определении мест массового скопления граждан и мест нахождения</w:t>
      </w:r>
    </w:p>
    <w:p>
      <w:pPr>
        <w:pStyle w:val="ConsPlusNormal"/>
        <w:spacing w:before="0" w:after="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>
      <w:pPr>
        <w:pStyle w:val="ConsPlusNormal"/>
        <w:spacing w:before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Федеральным законом от 21 июля 1997 года № 116-ФЗ «О промышленной безопасности опасных производственных объектов» (далее — Федеральный закон № 116-ФЗ), Федеральным законом от 19 июня 2004 года № 54-ФЗ «О собраниях, митингах, демонстрациях, шествиях и пикетированиях» (далее — Федеральный закон № 54-ФЗ), Законом Республики Саха (Якутия) от 15 марта 2013 года 1180-З № 1255-IV «О реализации на территории Республики Саха (Якутия) отдельных положений Федерального закона «О собраниях, митингах, демонстрациях, шествиях и пикетированиях» (далее — Закон 1180-З № 1255-IV), Постановлением Правительства Российской Федерации от 23 апреля 2026 г. № 454 «Об определении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питания, постановлением Правительства Республики Саха (Якутия) от 11 марта 2022 года № 137 «О утверждении положений о Министерстве предпринимательства, торговли и туризма Республики Саха (Якутия) и его коллегии», приказываю: 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 w:val="false"/>
          <w:sz w:val="28"/>
          <w:szCs w:val="28"/>
        </w:rPr>
        <w:t>Определить местами массового скопления граждан на территории Республики Саха (Якутия),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территории, расположенные за пределами зданий (строений, сооружений) и определяемые как места проведения публичных мероприятий, организуемых в соответствии с Федеральны</w:t>
      </w: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>м законом</w:t>
      </w:r>
      <w:r>
        <w:rPr>
          <w:b w:val="false"/>
          <w:sz w:val="28"/>
          <w:szCs w:val="28"/>
        </w:rPr>
        <w:t xml:space="preserve"> № 54-ФЗ, в порядке Закон</w:t>
      </w:r>
      <w:r>
        <w:rPr>
          <w:b w:val="false"/>
          <w:sz w:val="28"/>
          <w:szCs w:val="28"/>
        </w:rPr>
        <w:t>а</w:t>
      </w:r>
      <w:r>
        <w:rPr>
          <w:b w:val="false"/>
          <w:sz w:val="28"/>
          <w:szCs w:val="28"/>
        </w:rPr>
        <w:t xml:space="preserve"> 1180-З № 1255-IV, определенные </w:t>
      </w:r>
      <w:r>
        <w:rPr>
          <w:b w:val="false"/>
          <w:sz w:val="28"/>
          <w:szCs w:val="28"/>
        </w:rPr>
        <w:t>приказом Государственного комитета юстиции Республики Саха (Якутия)</w:t>
      </w:r>
      <w:hyperlink r:id="rId5">
        <w:r>
          <w:rPr>
            <w:rStyle w:val="Style9"/>
            <w:b w:val="false"/>
            <w:sz w:val="28"/>
            <w:szCs w:val="28"/>
          </w:rPr>
          <w:t xml:space="preserve"> от 26.08.2025 г. № 6-01/98 «Об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мест»</w:t>
        </w:r>
      </w:hyperlink>
      <w:r>
        <w:rPr>
          <w:b w:val="false"/>
          <w:sz w:val="28"/>
          <w:szCs w:val="28"/>
        </w:rPr>
        <w:t>,</w:t>
      </w:r>
      <w:r>
        <w:rPr>
          <w:b w:val="false"/>
          <w:sz w:val="28"/>
          <w:szCs w:val="28"/>
        </w:rPr>
        <w:t xml:space="preserve"> а также </w:t>
      </w:r>
      <w:r>
        <w:rPr>
          <w:sz w:val="28"/>
          <w:szCs w:val="28"/>
        </w:rPr>
        <w:t xml:space="preserve">установить границы прилегающих </w:t>
      </w:r>
      <w:r>
        <w:rPr>
          <w:b w:val="false"/>
          <w:sz w:val="28"/>
          <w:szCs w:val="28"/>
        </w:rPr>
        <w:t xml:space="preserve">к таким местам </w:t>
      </w:r>
      <w:r>
        <w:rPr>
          <w:sz w:val="28"/>
          <w:szCs w:val="28"/>
        </w:rPr>
        <w:t>территорий на расстоянии не менее 300 метров.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 w:val="false"/>
          <w:sz w:val="28"/>
          <w:szCs w:val="28"/>
        </w:rPr>
        <w:t>Определить местами нахождения источников повышенной опасности на территории Республики Саха (Якутия), в которых не допускаются розничная продажа алкогольной продукции и розничная продажа алкогольной продукции при оказании услуг общественного питания, места, расположенные в границах территорий опа</w:t>
      </w:r>
      <w:r>
        <w:rPr>
          <w:rFonts w:eastAsia="Times New Roman" w:cs="Times New Roman"/>
          <w:b w:val="false"/>
          <w:sz w:val="28"/>
          <w:szCs w:val="28"/>
          <w:lang w:eastAsia="ru-RU"/>
        </w:rPr>
        <w:t>сных производственных объектов, определенных в соответствии с Федеральным законом № 116-ФЗ</w:t>
      </w:r>
      <w:r>
        <w:rPr>
          <w:b w:val="false"/>
          <w:sz w:val="28"/>
          <w:szCs w:val="28"/>
        </w:rPr>
        <w:t xml:space="preserve">, для которых предусмотрена обязательная разработка декларации промышленной безопасности, включенных в государственный реестр опасных производственных объектов, </w:t>
      </w:r>
      <w:r>
        <w:rPr>
          <w:sz w:val="28"/>
          <w:szCs w:val="28"/>
        </w:rPr>
        <w:t xml:space="preserve">согласно приложению № 1 к настоящему приказу, </w:t>
      </w:r>
      <w:r>
        <w:rPr>
          <w:b w:val="false"/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установить границы прилегающих </w:t>
      </w:r>
      <w:r>
        <w:rPr>
          <w:b w:val="false"/>
          <w:sz w:val="28"/>
          <w:szCs w:val="28"/>
        </w:rPr>
        <w:t xml:space="preserve">к таким местам </w:t>
      </w:r>
      <w:r>
        <w:rPr>
          <w:sz w:val="28"/>
          <w:szCs w:val="28"/>
        </w:rPr>
        <w:t>территорий на расстоянии не менее 300 метров.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Установить, что расстояния, указанные в пунктах 1-2 настоящего приказа, определяется по прямой линии без учета искусственных и естественных преград от ближайшей точки границы территории места массового скопления граждан до входа для посетителей в здание (строение, сооружение), в котором осуществляются розничная продажа алкогольной продукции и розничная продажа алкогольной продукции при оказании услуг общественного питания (далее - торговый объект).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у торгового объекта нескольких входов расстояние измеряется по прямой линии без учета искусственных и естественных преград от ближайшей точки границы места массового скопления </w:t>
      </w:r>
      <w:r>
        <w:rPr>
          <w:b w:val="false"/>
          <w:sz w:val="28"/>
          <w:szCs w:val="28"/>
        </w:rPr>
        <w:t>до каждого входа для посетителей в торговый объект.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Признать утратившими силу:</w:t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 приказ Министерства предпринимательства, торговли и туризма Республики Саха (Якутия) от 03 мая 2023 года № П-115/од «Об определении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питания»;</w:t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Отделу финансово-правового обеспечения, государственной службы и организационного сопровождения (Софронова Е.А.): </w:t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5.1. не позднее 3 рабочих дней со дня подписания направить настоящий приказ для государственной регистрации в Государственный комитет юстиции Республики Саха (Якутия);</w:t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5.2. разместить приказ на официальном сайте Министерства предпринимательства, торговли и туризма Республики Саха (Якутия) после государственной регистрации.</w:t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приказа оставляю за собой.</w:t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</w:tabs>
        <w:spacing w:lineRule="auto" w:line="360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8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05"/>
        <w:gridCol w:w="5833"/>
        <w:gridCol w:w="2268"/>
      </w:tblGrid>
      <w:tr>
        <w:trPr>
          <w:trHeight w:val="700" w:hRule="atLeast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sz w:val="28"/>
                <w:szCs w:val="28"/>
              </w:rPr>
            </w:pPr>
            <w:hyperlink r:id="rId6">
              <w:bookmarkStart w:id="2" w:name="SIGNERPOST1"/>
              <w:r>
                <w:rPr>
                  <w:rStyle w:val="Style9"/>
                  <w:kern w:val="0"/>
                  <w:sz w:val="28"/>
                  <w:szCs w:val="28"/>
                  <w:lang w:val="ru-RU" w:bidi="ar-SA"/>
                </w:rPr>
                <w:t>Должность</w:t>
              </w:r>
            </w:hyperlink>
            <w:bookmarkEnd w:id="2"/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sz w:val="28"/>
                <w:szCs w:val="28"/>
              </w:rPr>
            </w:pPr>
            <w:hyperlink r:id="rId7">
              <w:bookmarkStart w:id="3" w:name="SIGNERSTAMP1"/>
              <w:r>
                <w:rPr>
                  <w:rStyle w:val="Style9"/>
                  <w:kern w:val="0"/>
                  <w:sz w:val="28"/>
                  <w:szCs w:val="28"/>
                  <w:lang w:val="ru-RU" w:bidi="ar-SA"/>
                </w:rPr>
                <w:t>[ШТАМП]</w:t>
              </w:r>
            </w:hyperlink>
            <w:bookmarkEnd w:id="3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sz w:val="28"/>
                <w:szCs w:val="28"/>
              </w:rPr>
            </w:pPr>
            <w:hyperlink r:id="rId8">
              <w:bookmarkStart w:id="4" w:name="SIGNERNAME1"/>
              <w:r>
                <w:rPr>
                  <w:rStyle w:val="Style9"/>
                  <w:kern w:val="0"/>
                  <w:sz w:val="28"/>
                  <w:szCs w:val="28"/>
                  <w:lang w:val="ru-RU" w:bidi="ar-SA"/>
                </w:rPr>
                <w:t>ФИО</w:t>
              </w:r>
            </w:hyperlink>
            <w:bookmarkEnd w:id="4"/>
          </w:p>
        </w:tc>
      </w:tr>
    </w:tbl>
    <w:p>
      <w:pPr>
        <w:sectPr>
          <w:headerReference w:type="even" r:id="rId9"/>
          <w:headerReference w:type="default" r:id="rId10"/>
          <w:headerReference w:type="first" r:id="rId11"/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1230" w:right="798" w:gutter="0" w:header="570" w:top="1122" w:footer="578" w:bottom="106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851" w:leader="none"/>
        </w:tabs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Приложение № 1 </w:t>
      </w:r>
    </w:p>
    <w:p>
      <w:pPr>
        <w:pStyle w:val="Normal"/>
        <w:tabs>
          <w:tab w:val="clear" w:pos="720"/>
          <w:tab w:val="left" w:pos="851" w:leader="none"/>
        </w:tabs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приказу Минпреда РС (Я) </w:t>
      </w:r>
    </w:p>
    <w:p>
      <w:pPr>
        <w:pStyle w:val="Normal"/>
        <w:tabs>
          <w:tab w:val="clear" w:pos="720"/>
          <w:tab w:val="left" w:pos="851" w:leader="none"/>
        </w:tabs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 «__» ______202__ года № П-____/од</w:t>
      </w:r>
    </w:p>
    <w:p>
      <w:pPr>
        <w:pStyle w:val="Normal"/>
        <w:tabs>
          <w:tab w:val="clear" w:pos="720"/>
          <w:tab w:val="left" w:pos="851" w:leader="none"/>
        </w:tabs>
        <w:jc w:val="center"/>
        <w:rPr>
          <w:sz w:val="18"/>
          <w:szCs w:val="28"/>
        </w:rPr>
      </w:pPr>
      <w:r>
        <w:rPr>
          <w:sz w:val="18"/>
          <w:szCs w:val="28"/>
        </w:rPr>
      </w:r>
    </w:p>
    <w:p>
      <w:pPr>
        <w:pStyle w:val="Normal"/>
        <w:tabs>
          <w:tab w:val="clear" w:pos="720"/>
          <w:tab w:val="left" w:pos="709" w:leader="none"/>
        </w:tabs>
        <w:spacing w:lineRule="auto" w:line="240" w:before="0" w:after="0"/>
        <w:ind w:hanging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Места нахождения источников повышенной опасности на территории Республики Саха (Якутия), в которых не допускаются розничная продажа алкогольной продукции и розничная продажа алкогольной продукции при оказании услуг общественного питания </w:t>
      </w:r>
    </w:p>
    <w:p>
      <w:pPr>
        <w:pStyle w:val="Normal"/>
        <w:tabs>
          <w:tab w:val="clear" w:pos="720"/>
          <w:tab w:val="left" w:pos="851" w:leader="none"/>
        </w:tabs>
        <w:jc w:val="center"/>
        <w:rPr>
          <w:sz w:val="18"/>
          <w:szCs w:val="28"/>
        </w:rPr>
      </w:pPr>
      <w:r>
        <w:rPr>
          <w:sz w:val="18"/>
          <w:szCs w:val="28"/>
        </w:rPr>
      </w:r>
    </w:p>
    <w:p>
      <w:pPr>
        <w:pStyle w:val="Normal"/>
        <w:tabs>
          <w:tab w:val="clear" w:pos="720"/>
          <w:tab w:val="left" w:pos="851" w:leader="none"/>
        </w:tabs>
        <w:jc w:val="center"/>
        <w:rPr>
          <w:sz w:val="18"/>
          <w:szCs w:val="28"/>
        </w:rPr>
      </w:pPr>
      <w:r>
        <w:rPr>
          <w:sz w:val="18"/>
          <w:szCs w:val="28"/>
        </w:rPr>
      </w:r>
      <w:bookmarkStart w:id="5" w:name="_GoBack"/>
      <w:bookmarkStart w:id="6" w:name="_GoBack"/>
      <w:bookmarkEnd w:id="6"/>
    </w:p>
    <w:tbl>
      <w:tblPr>
        <w:tblW w:w="1020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6"/>
        <w:gridCol w:w="4293"/>
        <w:gridCol w:w="5491"/>
      </w:tblGrid>
      <w:tr>
        <w:trPr>
          <w:trHeight w:val="720" w:hRule="atLeast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42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объекта</w:t>
            </w:r>
          </w:p>
        </w:tc>
        <w:tc>
          <w:tcPr>
            <w:tcW w:w="54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Эксплуатирующая организация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(постоянный расходный с полигоном для испытаний и уничтожения ВМ)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"БВ-групп"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(поверхностный постоянный расходный)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"ВЗРЫВПРОМ"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Базисный склад цианида натрия "Нижнеякокитский"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 "Золото Селигдара"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АХОВ "Рябиновый"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 "Золото Селигдара"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(базисный)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"Полюс Алдан"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"АлданВзрывПром"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поверхностный постоянный расходный Сентачанского золото-сурьмяного месторождения АО «Звезда»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"Звезда"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 Рудник  "Дуэт"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- товарный комплекс № 5  Ленского отделения УМТС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Акционерная компания "АЛРОСА" (публичное акционерное общество)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(базисный) Айхальского ГОКа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Акционерная компания "АЛРОСА" (публичное акционерное общество)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(базисный) Мирнинского ГОКа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Акционерная компания "АЛРОСА" (публичное акционерное общество)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(базисный) Нюрбинского ГОКа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Акционерная компания "АЛРОСА" (публичное акционерное общество)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(базисный) Удачнинского ГОКа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Акционерная компания "АЛРОСА" (публичное акционерное общество)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насосной станции (Приемо-сдаточный пункт товарной нефти)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Пункт подготовки и сбора нефти (ЦПС)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102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межпромыслового нефтепровода "Нефтепровод СБНГКМ-Трубопроводная система ВСТО с узлом подключения в районе г. Ленск. Первая очередь Ду 273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межпромыслового нефтепровода "Среднеботуобинское НГКМ – Приёмо-сдаточный пункт товарной нефти"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Иреляхского месторождения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Среднеботуобинского НГКМ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предварительной подготовки нефти (УПН) Иреляхского НГКМ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"ТААС-ЮРЯХ НЕФТЕГАЗОДОБЫЧА"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магистрального газопровода "Мирный-Айхал-Удачный"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"Айхалтрансгаз"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магистрального газопровода "Таас-Юрях-Мирный"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"Айхалтрансгаз"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«Горно-обогатительный комбинат «Гросс». Склад реагентов».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"НЕРЮНГРИ-МЕТАЛЛИК"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(постоянный расходный)карьера "Таборный"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"НЕРЮНГРИ-МЕТАЛЛИК"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СДЯВ на участке "Таборное"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"НЕРЮНГРИ-МЕТАЛЛИК"</w:t>
            </w:r>
          </w:p>
        </w:tc>
      </w:tr>
      <w:tr>
        <w:trPr>
          <w:trHeight w:val="127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(поверхностный постоянный базисный; стационарный пункт изготовления ВВ; площадка погрузки-разгрузки ВМ; площадка утилизации ВМ разреза "Нерюнгринский".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ХОЛДИНГОВАЯ КОМПАНИЯ "ЯКУТУГОЛЬ"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филиала Угольный разрез "Джебарики-Хая"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холдинговая компания "Якутуголь"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 Нитро Сибирь Якутия"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главного корпуса Якутской ГРЭС-2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"Якутскэнерго"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газопровода Якутской ГРЭС-2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"Якутскэнерго"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комплексной подготовки газа №3 Средневилюйского газоконденсатного месторождения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"ЯКУТСКАЯ ТОПЛИВНО-ЭНЕРГЕТИЧЕСКАЯ КОМПАНИЯ"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Постоянный поверхностный расходный склад ВМ емкостью 240 т на месторождении "Нежданинское"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"ЮЖНО-ВЕРХОЯНСКАЯ ГОРНОДОБЫВАЮЩАЯ КОМПАНИЯ"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Ленская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Нижнеколымской (Зеленый мыс)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Нижнеянской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Нюрбинской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Усть-Куйгинской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Хандыгской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нефтебазы Якутской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Пункт подготовки и сбора нефти г. Олекминск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"Саханефтегазсбыт"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АХОВ и реагентов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"Прогноз"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"ПРОГНОЗ"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 газоперерабатывающего завода г. Якутск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"САХАТРАНСНЕФТЕГАЗ"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газопровода ГПЗ-ГРС-1-Якутская ГРЭС-1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"Сахатранснефтегаз"</w:t>
            </w:r>
          </w:p>
        </w:tc>
      </w:tr>
      <w:tr>
        <w:trPr>
          <w:trHeight w:val="102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магистрального газопровода СВГКМ-Мастах-Берге-Якутск (I, II, III нитками) с газопроводами-отводами к населенным пунктам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"САХАТРАНСНЕФТЕГАЗ"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участка Большая Куонамка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"Алмазы Анабара"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участка Верхнее Молодо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"Алмазы Анабара"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участка Эбелях-Гусиный (постоянный расходный)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"Алмазы Анабара"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прииска Кристалл (постоянный расходный)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"АДК"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насосной станции  (Приемо-сдаточный пункт нефти)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(Нефтепровод от УПН Маччобинского НГКМ до ПСП в районе НПС-12 ТС "ВСТО")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Маччобинского НГКМ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магистрального нефте-провода (Подводящий нефтепро-вод – подключение к НПС № 12)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предварительной подготовки нефти (блочно-модульная установка подготовки нефти № 1).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предварительной подготовки нефти (Модульная установка подготовки нефти № 3)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скважин (Маччобинского нефтегазоконденсатного месторождения)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"САХАНЕФТЬ"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(постоянный базисный) (п. Маган)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"ПЛАМЯ"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сырьевой цианистого натрия (Алдан)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"ПОЛЮС ЛОГИСТИКА"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Парк резервуарный (промысловый) участка приемо-сдаточного пункта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"Верхнечонскнефтегаз"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поверхностный постоянный расходный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"ЗАБАЙКАЛЬЕВЗРЫВСЕРВИС"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Постоянный поверхностный склад взрывчатых материалов ООО "ДЭТРА БВР"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"ДЭТРА БВР"</w:t>
            </w:r>
          </w:p>
        </w:tc>
      </w:tr>
      <w:tr>
        <w:trPr>
          <w:trHeight w:val="25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Пункт подготовки и сбора нефти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"РНГ"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(межпромысловых) трубо-проводов Восточных блоков Среднеботуобинского НГКМ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"РНГ"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(межпромысловых) трубопроводов месторождения «ЦПС АО «РНГ» - «Нефтепровод «СБНГКМ-ТС ВСТО»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"РНГ"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ВМ с площадкой хранения аммиачной селитры и невзрывчатых компонентов на месторождении Прогноз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"ПРОГНОЗСЕРЕБРО"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промысловой компрессорной станции Чаяндинского нефтегазоконденсатного месторождения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 «Газпромнефть -Заполярье»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Чаяндинского нефтегазоконденсатного месторождения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 «Газпромнефть -Заполярье»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предварительной подготовки нефти Чаяндинского нефтегазоконденсатного месторождения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«Газпромнефть-Заполярье»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(постоянный расходный с полигоном для испытаний и уничтожения ВМ)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"АЗОТ МАЙНИНГ СЕРВИС"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насосной станции Алинского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насосной станции Ленского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насосной станции Северо-Талаканского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насосной станции Талаканского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Площадка установки получения нефтебитумов методом окисления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Пункт подготовки и сбора нефти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Сеть газопотребления ГТЭС Талаканского МР УВСИНГ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Алинского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Восточно-Алинского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Ленского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Северо-Талаканского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Талаканского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Южно-Талаканского месторождения НГДУ "Талаканнефть"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взрывчатых материалов №5 треста "Сургутнефтегеофизика"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Склад готовой продукции База производственно-технического обслуживания и комплектации оборудованием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Публичное акционерное общество "Сургутнефтегаз"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межпромысловых трубопроводов Чаяндинского нефтегазоконденсатного месторождения (УППГ-2 - УКПГ-3)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межпромысловых трубопроводов Чаяндинского нефтегазоконденсатного месторождения (УППГ-4 – УКПГ-3)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Чаяндинского нефтегазоконденсатного месторождения (ПСП)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Чаяндинского нефтегазоконденсатного месторождения (УКПГ-3)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Чаяндинского нефтегазоконденсатного месторождения (УППГ-2)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Чаяндинского нефтегазоконденсатного месторождения (УППГ-4)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765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комплексной подготовки газа №3 Чаяндинского нефтегазоконденсатного месторождения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 ДОБЫЧА НОЯБРЬСК"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Пункт подготовки и сбора нефти (Приемо-сдаточныйпункт)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"ГАЗПРОМНЕФТЬ-АНГАРА"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промысловых трубопроводов Игнялинского лицензионного участка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"ГАЗПРОМНЕФТЬ-АНГАРА"</w:t>
            </w:r>
          </w:p>
        </w:tc>
      </w:tr>
      <w:tr>
        <w:trPr>
          <w:trHeight w:val="510" w:hRule="atLeast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4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Пункт подготовки и сбора нефти ООО "Иреляхское"</w:t>
            </w:r>
          </w:p>
        </w:tc>
        <w:tc>
          <w:tcPr>
            <w:tcW w:w="54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Общество с ограниченной ответственностью "Иреляхское"</w:t>
            </w:r>
          </w:p>
        </w:tc>
      </w:tr>
    </w:tbl>
    <w:p>
      <w:pPr>
        <w:pStyle w:val="Normal"/>
        <w:tabs>
          <w:tab w:val="clear" w:pos="720"/>
          <w:tab w:val="left" w:pos="851" w:leader="none"/>
        </w:tabs>
        <w:jc w:val="center"/>
        <w:rPr>
          <w:sz w:val="18"/>
          <w:szCs w:val="28"/>
        </w:rPr>
      </w:pPr>
      <w:r>
        <w:rPr>
          <w:sz w:val="18"/>
          <w:szCs w:val="28"/>
        </w:rPr>
      </w:r>
    </w:p>
    <w:sectPr>
      <w:headerReference w:type="default" r:id="rId15"/>
      <w:headerReference w:type="first" r:id="rId16"/>
      <w:footerReference w:type="default" r:id="rId17"/>
      <w:footerReference w:type="first" r:id="rId18"/>
      <w:type w:val="nextPage"/>
      <w:pgSz w:w="11906" w:h="16838"/>
      <w:pgMar w:left="1418" w:right="624" w:gutter="0" w:header="0" w:top="782" w:footer="567" w:bottom="112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9093740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9093740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8403658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Footer"/>
      <w:jc w:val="right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semiHidden="1" w:unhideWhenUsed="1" w:qFormat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b3e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иперссылка1"/>
    <w:qFormat/>
    <w:rsid w:val="003b3e97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c25037"/>
    <w:rPr>
      <w:rFonts w:ascii="Tahoma" w:hAnsi="Tahoma" w:eastAsia="Times New Roman" w:cs="Tahoma"/>
      <w:sz w:val="16"/>
      <w:szCs w:val="16"/>
      <w:lang w:eastAsia="ru-RU"/>
    </w:rPr>
  </w:style>
  <w:style w:type="character" w:styleId="Strong">
    <w:name w:val="Strong"/>
    <w:basedOn w:val="DefaultParagraphFont"/>
    <w:uiPriority w:val="22"/>
    <w:qFormat/>
    <w:rsid w:val="005f426e"/>
    <w:rPr>
      <w:b/>
      <w:bCs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Верхний колонтитул Знак"/>
    <w:basedOn w:val="DefaultParagraphFont"/>
    <w:uiPriority w:val="99"/>
    <w:qFormat/>
    <w:rsid w:val="00fa250f"/>
    <w:rPr/>
  </w:style>
  <w:style w:type="character" w:styleId="Style17" w:customStyle="1">
    <w:name w:val="Нижний колонтитул Знак"/>
    <w:basedOn w:val="DefaultParagraphFont"/>
    <w:uiPriority w:val="99"/>
    <w:qFormat/>
    <w:rsid w:val="00fa250f"/>
    <w:rPr/>
  </w:style>
  <w:style w:type="character" w:styleId="11" w:customStyle="1">
    <w:name w:val="Верхний колонтитул Знак1"/>
    <w:basedOn w:val="DefaultParagraphFont"/>
    <w:uiPriority w:val="99"/>
    <w:qFormat/>
    <w:rsid w:val="00fa250f"/>
    <w:rPr/>
  </w:style>
  <w:style w:type="character" w:styleId="Hyperlink">
    <w:name w:val="Hyperlink"/>
    <w:rPr>
      <w:color w:val="000080"/>
      <w:u w:val="single"/>
    </w:rPr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nhideWhenUsed/>
    <w:qFormat/>
    <w:rsid w:val="003b3e97"/>
    <w:pPr>
      <w:spacing w:before="0" w:after="200"/>
    </w:pPr>
    <w:rPr>
      <w:rFonts w:ascii="Calibri" w:hAnsi="Calibri"/>
      <w:i/>
      <w:iCs/>
      <w:color w:val="1F497D"/>
      <w:sz w:val="18"/>
      <w:szCs w:val="18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c25037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5f426e"/>
    <w:pPr>
      <w:spacing w:beforeAutospacing="1" w:afterAutospacing="1"/>
    </w:pPr>
    <w:rPr/>
  </w:style>
  <w:style w:type="paragraph" w:styleId="Default" w:customStyle="1">
    <w:name w:val="Default"/>
    <w:qFormat/>
    <w:rsid w:val="00172c1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ja-JP" w:bidi="ar-SA"/>
    </w:rPr>
  </w:style>
  <w:style w:type="paragraph" w:styleId="NoSpacing">
    <w:name w:val="No Spacing"/>
    <w:uiPriority w:val="1"/>
    <w:qFormat/>
    <w:rsid w:val="00463c7c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2d64e6"/>
    <w:pPr>
      <w:spacing w:before="0" w:after="0"/>
      <w:ind w:left="720"/>
      <w:contextualSpacing/>
    </w:pPr>
    <w:rPr/>
  </w:style>
  <w:style w:type="paragraph" w:styleId="Style20" w:customStyle="1">
    <w:name w:val="Верхний и нижний колонтитулы"/>
    <w:basedOn w:val="Normal"/>
    <w:qFormat/>
    <w:pPr>
      <w:suppressLineNumbers/>
      <w:tabs>
        <w:tab w:val="clear" w:pos="720"/>
        <w:tab w:val="center" w:pos="4960" w:leader="none"/>
        <w:tab w:val="right" w:pos="9921" w:leader="none"/>
      </w:tabs>
    </w:pPr>
    <w:rPr/>
  </w:style>
  <w:style w:type="paragraph" w:styleId="HeaderandFooter" w:customStyle="1">
    <w:name w:val="Header and Footer"/>
    <w:basedOn w:val="Normal"/>
    <w:qFormat/>
    <w:pPr/>
    <w:rPr/>
  </w:style>
  <w:style w:type="paragraph" w:styleId="Footer">
    <w:name w:val="footer"/>
    <w:basedOn w:val="Style20"/>
    <w:uiPriority w:val="99"/>
    <w:pPr/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er">
    <w:name w:val="header"/>
    <w:basedOn w:val="Normal"/>
    <w:link w:val="11"/>
    <w:uiPriority w:val="99"/>
    <w:unhideWhenUsed/>
    <w:rsid w:val="00fa250f"/>
    <w:pPr>
      <w:tabs>
        <w:tab w:val="clear" w:pos="720"/>
        <w:tab w:val="center" w:pos="4677" w:leader="none"/>
        <w:tab w:val="right" w:pos="9355" w:leader="none"/>
      </w:tabs>
      <w:ind w:firstLine="567"/>
      <w:jc w:val="both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text" w:customStyle="1">
    <w:name w:val="text"/>
    <w:basedOn w:val="Normal"/>
    <w:qFormat/>
    <w:rsid w:val="00fa250f"/>
    <w:pPr>
      <w:ind w:firstLine="567"/>
      <w:jc w:val="both"/>
    </w:pPr>
    <w:rPr>
      <w:rFonts w:ascii="Arial" w:hAnsi="Arial" w:cs="Arial"/>
    </w:rPr>
  </w:style>
  <w:style w:type="paragraph" w:styleId="Style21" w:customStyle="1">
    <w:name w:val="Содержимое таблицы"/>
    <w:basedOn w:val="Normal"/>
    <w:qFormat/>
    <w:rsid w:val="00fa250f"/>
    <w:pPr>
      <w:widowControl w:val="false"/>
      <w:suppressLineNumbers/>
      <w:ind w:firstLine="567"/>
      <w:jc w:val="both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Style22" w:customStyle="1">
    <w:name w:val="Заголовок таблицы"/>
    <w:basedOn w:val="Style21"/>
    <w:qFormat/>
    <w:rsid w:val="00fa250f"/>
    <w:pPr>
      <w:jc w:val="center"/>
    </w:pPr>
    <w:rPr>
      <w:b/>
      <w:bCs/>
    </w:rPr>
  </w:style>
  <w:style w:type="numbering" w:styleId="Style23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00720f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minpred@sakha.gov.ru" TargetMode="External"/><Relationship Id="rId4" Type="http://schemas.openxmlformats.org/officeDocument/2006/relationships/hyperlink" Target="mailto:mininvest@sakha.gov.ru" TargetMode="External"/><Relationship Id="rId5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6" Type="http://schemas.openxmlformats.org/officeDocument/2006/relationships/hyperlink" Target="consultantplus://offline/ref=4DD27C343C46FF23FD5A6801D556D1EE32736E0CF51EA4A0A6212929F922224E48D5961F97BC9152A7FE6EC3EFCF3D47729038487D4205EEG0V3B" TargetMode="External"/><Relationship Id="rId7" Type="http://schemas.openxmlformats.org/officeDocument/2006/relationships/hyperlink" Target="consultantplus://offline/ref=4DD27C343C46FF23FD5A6801D556D1EE32736E0CF51EA4A0A6212929F922224E48D5961F97BC9152A7FE6EC3EFCF3D47729038487D4205EEG0V3B" TargetMode="External"/><Relationship Id="rId8" Type="http://schemas.openxmlformats.org/officeDocument/2006/relationships/hyperlink" Target="consultantplus://offline/ref=4DD27C343C46FF23FD5A6801D556D1EE32736E0CF51EA4A0A6212929F922224E48D5961F97BC9152A7FE6EC3EFCF3D47729038487D4205EEG0V3B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Application>LibreOffice/24.8.4.2$Linux_X86_64 LibreOffice_project/480$Build-2</Application>
  <AppVersion>15.0000</AppVersion>
  <Pages>7</Pages>
  <Words>1879</Words>
  <Characters>15319</Characters>
  <CharactersWithSpaces>16919</CharactersWithSpaces>
  <Paragraphs>319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2023-04-12T16:38:00Z</dcterms:created>
  <dc:creator>Владимирова Елизавета Романовна</dc:creator>
  <dc:description/>
  <dc:language>ru-RU</dc:language>
  <cp:lastModifiedBy/>
  <dcterms:modified xsi:type="dcterms:W3CDTF">2026-07-29T15:29:29Z</dcterms:modified>
  <cp:revision>101</cp:revision>
  <dc:subject/>
  <dc:title>Приказ Минфина РС(Я) от 02.03.2023 N 01-04/310-Н"Об утверждении Порядка взыскания в доход государственного бюджета Республики Саха (Якутия) неиспользованных остатков межбюджетных трансфертов, полученных местными бюджетами в форме субсидий, субвенций и иных межбюджетных трансфертов, имеющих целевое назначение"(Зарегистрировано в Администрации Главы РС(Я) и Правительства РС(Я) 17.03.2023 N RU1401420221381)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