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0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ПРОЕКТ </w:t>
      </w:r>
    </w:p>
    <w:p w14:paraId="05000000">
      <w:pPr>
        <w:pStyle w:val="Style_3"/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pStyle w:val="Style_3"/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ПРАВИТЕЛЬСТВА РЕСПУБЛИКИ САХА (ЯКУТИЯ) </w:t>
      </w:r>
    </w:p>
    <w:p w14:paraId="07000000">
      <w:pPr>
        <w:pStyle w:val="Style_3"/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pStyle w:val="Style_3"/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9000000">
      <w:pPr>
        <w:pStyle w:val="Style_3"/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_________________________________________________________________</w:t>
      </w: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2026 г.</w:t>
      </w:r>
      <w:r>
        <w:rPr>
          <w:rFonts w:ascii="Times New Roman" w:hAnsi="Times New Roman"/>
          <w:sz w:val="28"/>
        </w:rPr>
        <w:t xml:space="preserve"> № </w:t>
      </w:r>
      <w:r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color w:val="FFFFFF"/>
          <w:sz w:val="28"/>
          <w:u w:val="single"/>
        </w:rPr>
        <w:t>-</w:t>
      </w:r>
    </w:p>
    <w:p w14:paraId="0B000000">
      <w:pPr>
        <w:pStyle w:val="Style_3"/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pStyle w:val="Style_3"/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pStyle w:val="Style_3"/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pStyle w:val="Style_3"/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pStyle w:val="Style_3"/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pStyle w:val="Style_3"/>
        <w:widowControl w:val="0"/>
        <w:spacing w:line="276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внесении изменений в Положение</w:t>
      </w:r>
    </w:p>
    <w:p w14:paraId="11000000">
      <w:pPr>
        <w:pStyle w:val="Style_3"/>
        <w:widowControl w:val="0"/>
        <w:spacing w:line="276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региональном государственном экологическом контроле (надзоре), утвержденное постановлением Правительства Республики Саха (Якутия) от 24 сентября 2021 г. № 389 «О региональном государственном экологическом контроле (надзоре)»</w:t>
      </w:r>
    </w:p>
    <w:p w14:paraId="12000000">
      <w:pPr>
        <w:pStyle w:val="Style_3"/>
        <w:widowControl w:val="0"/>
        <w:spacing w:line="276" w:lineRule="auto"/>
        <w:ind/>
        <w:jc w:val="center"/>
        <w:rPr>
          <w:rFonts w:ascii="XO Thames" w:hAnsi="XO Thames"/>
          <w:b w:val="1"/>
          <w:sz w:val="28"/>
        </w:rPr>
      </w:pPr>
    </w:p>
    <w:p w14:paraId="13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соответствии с Федеральным законом от 31 июля 2020 г. № 248-ФЗ «О государственном контроле (надзоре) и муниципальном контроле в Российской Федерации» Правительство Республики Саха (</w:t>
      </w:r>
      <w:r>
        <w:rPr>
          <w:rFonts w:ascii="XO Thames" w:hAnsi="XO Thames"/>
          <w:color w:val="000000"/>
          <w:sz w:val="28"/>
        </w:rPr>
        <w:t xml:space="preserve">Якутия)   </w:t>
      </w:r>
      <w:r>
        <w:rPr>
          <w:rFonts w:ascii="XO Thames" w:hAnsi="XO Thames"/>
          <w:color w:val="000000"/>
          <w:sz w:val="28"/>
        </w:rPr>
        <w:t xml:space="preserve">              п о с т а н о в л я е т:</w:t>
      </w:r>
    </w:p>
    <w:p w14:paraId="14000000">
      <w:pPr>
        <w:widowControl w:val="0"/>
        <w:spacing w:after="0"/>
        <w:ind w:firstLine="709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>Внести в Положение о региональном государственном экологическом контроле (надзоре), утвержденное постановлением Правительства Республики Саха (Якутия) от 24 сентября 2021 г. №389 «О региональном государственном экологическом контроле (надзоре)», следующие изменения:</w:t>
      </w:r>
    </w:p>
    <w:p w14:paraId="15000000">
      <w:pPr>
        <w:widowControl w:val="0"/>
        <w:spacing w:after="0"/>
        <w:ind w:firstLine="709"/>
        <w:contextualSpacing w:val="1"/>
        <w:jc w:val="both"/>
        <w:rPr>
          <w:rFonts w:ascii="XO Thames" w:hAnsi="XO Thames"/>
          <w:color w:val="000000"/>
          <w:sz w:val="28"/>
          <w:shd w:fill="FFE779" w:val="clear"/>
        </w:rPr>
      </w:pPr>
      <w:r>
        <w:rPr>
          <w:rFonts w:ascii="XO Thames" w:hAnsi="XO Thames"/>
          <w:color w:val="000000"/>
          <w:sz w:val="28"/>
        </w:rPr>
        <w:t xml:space="preserve">1.1. </w:t>
      </w:r>
      <w:r>
        <w:rPr>
          <w:rFonts w:ascii="XO Thames" w:hAnsi="XO Thames"/>
          <w:color w:val="000000"/>
          <w:sz w:val="28"/>
        </w:rPr>
        <w:t xml:space="preserve">Пункт 11 дополнить </w:t>
      </w:r>
      <w:r>
        <w:rPr>
          <w:rFonts w:ascii="XO Thames" w:hAnsi="XO Thames"/>
          <w:color w:val="000000"/>
          <w:sz w:val="28"/>
        </w:rPr>
        <w:t>предложением следующего содержания:</w:t>
      </w:r>
    </w:p>
    <w:p w14:paraId="16000000">
      <w:pPr>
        <w:widowControl w:val="0"/>
        <w:spacing w:after="0"/>
        <w:ind w:firstLine="709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14:paraId="17000000">
      <w:pPr>
        <w:widowControl w:val="0"/>
        <w:spacing w:after="0"/>
        <w:ind w:firstLine="709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1.2.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В пункте 11.1 слова «определения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индикаторов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риска» заменить на слова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определения перечня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индикаторов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риска».</w:t>
      </w:r>
    </w:p>
    <w:p w14:paraId="18000000">
      <w:pPr>
        <w:widowControl w:val="0"/>
        <w:spacing w:after="0"/>
        <w:ind w:firstLine="709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1.3. В пункте 27 после слов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со дня получения им предостережения</w:t>
      </w:r>
      <w:r>
        <w:rPr>
          <w:rFonts w:ascii="XO Thames" w:hAnsi="XO Thames"/>
          <w:color w:val="000000"/>
          <w:sz w:val="28"/>
        </w:rPr>
        <w:t>» дополнить словами «,в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19000000">
      <w:pPr>
        <w:widowControl w:val="0"/>
        <w:spacing w:after="0"/>
        <w:ind w:firstLine="709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1.4.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Пункт 32.1 дополнить предложением следующего содержания: </w:t>
      </w:r>
    </w:p>
    <w:p w14:paraId="1A000000">
      <w:pPr>
        <w:widowControl w:val="0"/>
        <w:spacing w:after="0"/>
        <w:ind w:firstLine="709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от 31 июля 2020 г. №248-ФЗ «О государственном контроле (надзоре) и муниципальном контроле в Российской Федерации».</w:t>
      </w:r>
    </w:p>
    <w:p w14:paraId="1B000000">
      <w:pPr>
        <w:widowControl w:val="0"/>
        <w:spacing w:after="0"/>
        <w:ind w:firstLine="709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1.5. Пункт 34.2.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дополни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ть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"https://internet.garant.ru/#/document/74449814/entry/5220405"</w:instrTex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пунктом 5</w: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следу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ющего содержания:</w:t>
      </w:r>
    </w:p>
    <w:p w14:paraId="1C000000">
      <w:pPr>
        <w:widowControl w:val="0"/>
        <w:spacing w:after="0"/>
        <w:ind w:firstLine="709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«5) контролируемое лицо не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учреждением.».</w:t>
      </w:r>
    </w:p>
    <w:p w14:paraId="1D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1.6. Пункт 35 изложить в следующей редакции:</w:t>
      </w:r>
    </w:p>
    <w:p w14:paraId="1E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«35. Министерство или его подведомственные учреждения осуществляют консультирование по обращениям контролируемых лиц и их представителей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по телефону, посредством видео-конференц-связи,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использования мобильного приложения «Инспектор»,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на личном приеме еженедельно в сроки, определенные министром (заместителем министра) или руководителем (заместителем руководителя) подведомственного учреждения, либо в ходе проведения профилактического мероприятия, контрольного (надзорного) мероприятия в порядке, определенном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"https://internet.garant.ru/#/document/74449814/entry/50"</w:instrTex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статьей 50</w: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Федерального закона от 31 июля 2020 г. №248-ФЗ «О государственном контроле (надзоре) и муниципальном контроле в Российской Федерации». При проведении консультирования может проводиться аудио- (видео-) запись.».</w:t>
      </w:r>
    </w:p>
    <w:p w14:paraId="1F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1.7. Пункт 42 изложить в следующей редакции:</w:t>
      </w:r>
    </w:p>
    <w:p w14:paraId="20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«42. Для принятия решения о проведении и выборе вида внепланового контрольного (надзорного) мероприятия утвержден следующий перечень индикаторов риска нарушения обязательных требований при осуществлении регионального государственного экологического контроля (надзора):</w:t>
      </w:r>
    </w:p>
    <w:p w14:paraId="21000000">
      <w:pPr>
        <w:widowControl w:val="0"/>
        <w:numPr>
          <w:ilvl w:val="0"/>
          <w:numId w:val="1"/>
        </w:numPr>
        <w:spacing w:after="0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увеличение или уменьшение на 30 процентов и более в сравнении с предыдущим отчетным периодом сведений о фактической массе выбросов загрязняющих веществ, массе или объеме забора (изъятия) водных ресурсов из водных объектов и сброса сточных, в том числе дренажных, массе или объеме образования, утилизации, обезвреживании и размещения отходов производства и потребления при отсутствии информации об актуализации учетных сведений об объекте ОНВОС в связи с представлением юридическими лицами, индивидуальными предпринимателями сведений об изменении характеристик технологических процессов основных производств, источников загрязнения окружающей среды,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потребления, а также информации об изменении категории объекта ОНВОС, в нижеследующих видах отчетности (документах), представленной юридическим лицом, индивидуальным предпринимателем в Министерство за отчетный период:</w:t>
      </w:r>
    </w:p>
    <w:p w14:paraId="22000000">
      <w:pPr>
        <w:widowControl w:val="1"/>
        <w:spacing w:after="0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декларации о воздействии на окружающую среду;</w:t>
      </w:r>
    </w:p>
    <w:p w14:paraId="23000000">
      <w:pPr>
        <w:widowControl w:val="1"/>
        <w:spacing w:after="0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отчете об организации и о результатах осуществления производственного экологического контроля;</w:t>
      </w:r>
    </w:p>
    <w:p w14:paraId="24000000">
      <w:pPr>
        <w:widowControl w:val="1"/>
        <w:spacing w:after="0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сведениях, полученные в результате учета объема забора (изъятия) водных ресурсов из водных объектов и объема сброса сточных, в том числе дренажных, вод, их качества</w:t>
      </w:r>
    </w:p>
    <w:p w14:paraId="25000000">
      <w:pPr>
        <w:widowControl w:val="1"/>
        <w:numPr>
          <w:ilvl w:val="0"/>
          <w:numId w:val="1"/>
        </w:numPr>
        <w:spacing w:after="0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Отклонение более чем на 10 процентов фактических выбросов загрязняющих веществ в атмосферный воздух, объема сброса сточных вод, содержания загрязняющих веществ в сточных водах по сравнению со сведениями, содержащимися в государственном реестре  объектов, оказывающих негативное воздействие на окружающую среду и(или) ПТК «Госконтроль», выявленное по результатам наблюдения за соблюдением обязательных требований (мониторинга безопасности), проведенного посредством сравнения данных, содержащихся в  государственном реестре  объектов, оказывающих негативное воздействие на окружающую сред и(или) ПТК «Госконтроль», с данными отчетности и(или) иной информации, представляемой контролируемыми лицами;</w:t>
      </w:r>
    </w:p>
    <w:p w14:paraId="26000000">
      <w:pPr>
        <w:widowControl w:val="1"/>
        <w:numPr>
          <w:ilvl w:val="0"/>
          <w:numId w:val="1"/>
        </w:numPr>
        <w:spacing w:after="0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поступление в Министерство информации по объектам ОНВОС, подлежащим региональному государственному экологическому контролю (надзору), от территориального органа Федеральной службы по надзору в сфере природопользования об увеличении или уменьшении на 30 процентов и более в сравнении с предыдущим отчетным периодом размера платы за негативное воздействие на окружающую среду, внесенной юридическим лицом, индивидуальным предпринимателем за отчетный период, при отсутствии информации об актуализации учетных сведений об объекте ОНВОС в связи с представлением юридическими лицами, индивидуальными предпринимателями сведений об изменении характеристик технологических процессов основных производств, источников загрязнения окружающей среды,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потребления, а также информации об изменении категории объекта ОНВОС;</w:t>
      </w:r>
    </w:p>
    <w:p w14:paraId="27000000">
      <w:pPr>
        <w:widowControl w:val="1"/>
        <w:numPr>
          <w:ilvl w:val="0"/>
          <w:numId w:val="1"/>
        </w:numPr>
        <w:spacing w:after="0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исключение сведений о юридическом лице или индивидуальном предпринимателе, эксплуатирующем объект ОНВОС, сведения о котором содержатся в государственном реестре ОНВОС,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28000000">
      <w:pPr>
        <w:widowControl w:val="1"/>
        <w:numPr>
          <w:ilvl w:val="0"/>
          <w:numId w:val="1"/>
        </w:numPr>
        <w:spacing w:after="0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поступление от территориального органа Федеральной службы по надзору в сфере природопользования информации в Министерство о расхождении данных о массе отходов при обращении с ними и (или) массе выбросов загрязняющих веществ в статистических отчетах по формам 2-ТП (отходы) и 2-ТП (воздух) и декларации о плате за негативное воздействие на окружающую среду, представленных юридическим лицом, индивидуальным предпринимателем в Федеральную службу по надзору в сфере природопользования, за отчетный период;</w:t>
      </w:r>
    </w:p>
    <w:p w14:paraId="29000000">
      <w:pPr>
        <w:widowControl w:val="1"/>
        <w:numPr>
          <w:ilvl w:val="0"/>
          <w:numId w:val="1"/>
        </w:numPr>
        <w:spacing w:after="0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поступление от территориального органа Росводресурсов в Республике Саха (Якутия) в Министерство информации об отклонении на 30 процентов и более в сравнении с предыдущим отчетным периодом данных об объеме и (или) массе сбросов загрязняющих веществ в статистическом отчете по форме 2-ТП (водхоз), представленном юридическим лицом, индивидуальным предпринимателем в территориальный орган Росводресурсов в Республике Саха (Якутия), по объектам, оказывающим негативное воздействие на окружающую среду.».</w:t>
      </w:r>
    </w:p>
    <w:p w14:paraId="2A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1.8. В пунктах 55, 60 и 70 после слов ««О государственном контроле (надзоре) и муниципальном контроле в Российской Федерации»» дополнить словами «, а также на основании пункта 78 настоящего Положения.». </w:t>
      </w:r>
    </w:p>
    <w:p w14:paraId="2B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1.9. В пункте 61 слова «В ходе документарной проверки могут совершаться следующие контрольные (надзорные) действия» заменить на слова «</w:t>
      </w:r>
      <w:r>
        <w:rPr>
          <w:rFonts w:ascii="XO Thames" w:hAnsi="XO Thames"/>
          <w:color w:val="000000"/>
          <w:sz w:val="28"/>
        </w:rPr>
        <w:t>Если имеющихся в распоряжении у Министерства или у его подведомственного учреждения сведений и</w:t>
      </w:r>
      <w:r>
        <w:rPr>
          <w:rFonts w:ascii="XO Thames" w:hAnsi="XO Thames"/>
          <w:color w:val="000000"/>
          <w:sz w:val="28"/>
        </w:rPr>
        <w:t xml:space="preserve"> документов недостаточно, то в ходе документарной проверки могут совершаться следующие контрольные (надзорные) действия».</w:t>
      </w:r>
    </w:p>
    <w:p w14:paraId="2C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1.10. В пункте 62 после слов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в требовании документы» дополнить словами «, которые</w:t>
      </w:r>
      <w:r>
        <w:rPr>
          <w:rFonts w:ascii="XO Thames" w:hAnsi="XO Thames"/>
          <w:color w:val="000000"/>
          <w:sz w:val="28"/>
        </w:rPr>
        <w:t xml:space="preserve">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14:paraId="2D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1.11. Пункт 70.1. дополнить предложением следующего содержания:</w:t>
      </w:r>
    </w:p>
    <w:p w14:paraId="2E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«Выездное обслед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ование, указанное в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"https://internet.garant.ru/#/document/74449814/entry/7502"</w:instrTex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части 2</w: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 статьи 75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Федер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ального закона от 31 июля 2020 г. №248-ФЗ «О государственном контроле (надзоре) и муниципальном контроле в Российской Федерации»,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может быть проведено с использованием беспилотных аппаратов (систем) при необходимости его проведения при осмотре и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инструментальном обследовании (с применением видеозаписи) объектов контролируемого лица.».</w:t>
      </w:r>
    </w:p>
    <w:p w14:paraId="2F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1.12. </w:t>
      </w:r>
      <w:r>
        <w:rPr>
          <w:rFonts w:ascii="XO Thames" w:hAnsi="XO Thames"/>
          <w:color w:val="000000"/>
          <w:sz w:val="28"/>
        </w:rPr>
        <w:t>Дополнить пунктом 78 следующего содержания:</w:t>
      </w:r>
    </w:p>
    <w:p w14:paraId="30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«78. При выявлении признаков нарушений обязательных требований, полученных с использованием беспилотных аппаратов с массой не более 150 грамм и фотоловушек, министерством или его подведомственным учреждением принимается решение о проведении контрольного (надзорного) мероприятия.».</w:t>
      </w:r>
    </w:p>
    <w:p w14:paraId="31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1.13. Дополнить пунктом 83.1 следующего содержания:</w:t>
      </w:r>
    </w:p>
    <w:p w14:paraId="32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«83.1.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требуется.».</w:t>
      </w:r>
    </w:p>
    <w:p w14:paraId="33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1.14. Доп</w:t>
      </w:r>
      <w:r>
        <w:rPr>
          <w:rFonts w:ascii="XO Thames" w:hAnsi="XO Thames"/>
          <w:color w:val="000000"/>
          <w:sz w:val="28"/>
        </w:rPr>
        <w:t>олнить пунктом 83.2 следующего содержания:</w:t>
      </w:r>
    </w:p>
    <w:p w14:paraId="34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«83.2. По окончании проведения контрольного (надзорного) мероприятия, предусматривающего взаимодействие с контролируемым лицом, составляется акт.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требований.».</w:t>
      </w:r>
    </w:p>
    <w:p w14:paraId="35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1.15. Дополнить пунктом 83.3 следующего содержания:</w:t>
      </w:r>
    </w:p>
    <w:p w14:paraId="36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«83.3. Оформление акта производится на месте проведения контрольного (надзорного) мероприятия в день окончания проведения такого мероприятия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либо не позднее дня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,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следующего за днем окончания проведения такого мероприятия,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если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составление акта на месте проведения такого мероприятия невозможно по причинам, установленным  </w:t>
      </w:r>
      <w:r>
        <w:rPr>
          <w:rFonts w:ascii="XO Thames" w:hAnsi="XO Thames"/>
          <w:color w:val="000000"/>
          <w:sz w:val="28"/>
        </w:rPr>
        <w:t>Федеральным законом от 31 июля 2020 г. №248-ФЗ «О государственном контроле (надзоре) и муниципальном контроле в Российской Федерации»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, если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иной порядок оформления акта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u w:val="none"/>
        </w:rPr>
        <w:t>Федер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альным законом от 31 июля 2020 г. №248-ФЗ «О государственном контроле (надзоре) и муниципальном контроле в Российской Федерации»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или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Правительством Российской Федерации.».</w:t>
      </w:r>
    </w:p>
    <w:p w14:paraId="37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1.16. Дополнить пунктом 83.4 следующего содержания:</w:t>
      </w:r>
    </w:p>
    <w:p w14:paraId="38000000">
      <w:pPr>
        <w:widowControl w:val="0"/>
        <w:spacing w:after="0"/>
        <w:ind w:firstLine="709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«83.4. </w:t>
      </w:r>
      <w:r>
        <w:rPr>
          <w:rFonts w:ascii="XO Thames" w:hAnsi="XO Thames"/>
          <w:color w:val="000000"/>
          <w:sz w:val="28"/>
        </w:rPr>
        <w:t xml:space="preserve">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 6 - 9 части 1 статьи 65  Федерального закона </w:t>
      </w:r>
      <w:r>
        <w:rPr>
          <w:rFonts w:ascii="XO Thames" w:hAnsi="XO Thames"/>
          <w:color w:val="000000"/>
          <w:sz w:val="28"/>
        </w:rPr>
        <w:t>от 31 июля 2020 г. №248-ФЗ «О государственном контроле (надзоре) и муниципальном контроле в Российской Федерации»</w:t>
      </w:r>
      <w:r>
        <w:rPr>
          <w:rFonts w:ascii="XO Thames" w:hAnsi="XO Thames"/>
          <w:color w:val="000000"/>
          <w:sz w:val="28"/>
        </w:rPr>
        <w:t xml:space="preserve">, или в иных случаях, установленных  Федеральным законом </w:t>
      </w:r>
      <w:r>
        <w:rPr>
          <w:rFonts w:ascii="XO Thames" w:hAnsi="XO Thames"/>
          <w:color w:val="000000"/>
          <w:sz w:val="28"/>
        </w:rPr>
        <w:t>от 31 июля 2020 г. №248-ФЗ «О государственном контроле (надзоре) и муниципальном контроле в Российской Федерации»</w:t>
      </w:r>
      <w:r>
        <w:rPr>
          <w:rFonts w:ascii="XO Thames" w:hAnsi="XO Thames"/>
          <w:color w:val="000000"/>
          <w:sz w:val="28"/>
        </w:rPr>
        <w:t xml:space="preserve">, Министерство или его подведомственное учреждение направляет акт контролируемому лицу в порядке, установленном статьей 21 Федерального закона </w:t>
      </w:r>
      <w:r>
        <w:rPr>
          <w:rFonts w:ascii="XO Thames" w:hAnsi="XO Thames"/>
          <w:color w:val="000000"/>
          <w:sz w:val="28"/>
        </w:rPr>
        <w:t>от 31 июля 2020 г. №248-ФЗ «О государственном контроле (надзоре) и муниципальном контроле в Российской Федерации»</w:t>
      </w:r>
      <w:r>
        <w:rPr>
          <w:rFonts w:ascii="XO Thames" w:hAnsi="XO Thames"/>
          <w:color w:val="000000"/>
          <w:sz w:val="28"/>
        </w:rPr>
        <w:t>.».</w:t>
      </w:r>
    </w:p>
    <w:p w14:paraId="39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1.17. </w:t>
      </w:r>
      <w:r>
        <w:rPr>
          <w:rFonts w:ascii="XO Thames" w:hAnsi="XO Thames"/>
          <w:color w:val="000000"/>
          <w:sz w:val="28"/>
        </w:rPr>
        <w:t>В подпункте 2) пункта 84 слова «утвержденным индикаторами риска» заменить на слова « утвержденным перечнем индикаторов риска».</w:t>
      </w:r>
    </w:p>
    <w:p w14:paraId="3A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1.18. В пункте 89 слова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решений об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отказе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color w:val="000000"/>
          <w:sz w:val="28"/>
        </w:rPr>
        <w:t>в проведении обязательных профилактических визитов» заменить словами «</w:t>
      </w:r>
      <w:r>
        <w:rPr>
          <w:rFonts w:ascii="XO Thames" w:hAnsi="XO Thames"/>
          <w:color w:val="000000"/>
          <w:sz w:val="28"/>
        </w:rPr>
        <w:t>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решений об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отказе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color w:val="000000"/>
          <w:sz w:val="28"/>
        </w:rPr>
        <w:t>в проведении профилактических визитов».</w:t>
      </w:r>
    </w:p>
    <w:p w14:paraId="3B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1.19. В пункте 90 дополнить 3 абзацем следующего содержания:</w:t>
      </w:r>
    </w:p>
    <w:p w14:paraId="3C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«Жалобы на решения Министерства, принятые его центральным аппаратом, жалобы на решения должностных лиц центрального аппарата Министерства рассматриваются министром.».</w:t>
      </w:r>
    </w:p>
    <w:p w14:paraId="3D000000">
      <w:pPr>
        <w:widowControl w:val="0"/>
        <w:spacing w:after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</w:t>
      </w:r>
      <w:r>
        <w:rPr>
          <w:rFonts w:ascii="XO Thames" w:hAnsi="XO Thames"/>
          <w:color w:val="000000"/>
          <w:sz w:val="28"/>
        </w:rPr>
        <w:t>Опубликовать настоящее постановление в официальных средствах массовой информации.</w:t>
      </w:r>
    </w:p>
    <w:p w14:paraId="3E000000">
      <w:pPr>
        <w:widowControl w:val="0"/>
        <w:spacing w:after="0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3F000000">
      <w:pPr>
        <w:pStyle w:val="Style_3"/>
        <w:widowControl w:val="0"/>
        <w:spacing w:line="276" w:lineRule="auto"/>
        <w:ind w:firstLine="709"/>
        <w:jc w:val="right"/>
        <w:rPr>
          <w:rFonts w:ascii="Times New Roman" w:hAnsi="Times New Roman"/>
          <w:sz w:val="28"/>
        </w:rPr>
      </w:pPr>
    </w:p>
    <w:p w14:paraId="40000000">
      <w:pPr>
        <w:pStyle w:val="Style_3"/>
        <w:widowControl w:val="0"/>
        <w:spacing w:line="276" w:lineRule="auto"/>
        <w:ind w:firstLine="709"/>
        <w:jc w:val="right"/>
        <w:rPr>
          <w:rFonts w:ascii="Times New Roman" w:hAnsi="Times New Roman"/>
          <w:sz w:val="28"/>
        </w:rPr>
      </w:pPr>
    </w:p>
    <w:p w14:paraId="41000000">
      <w:pPr>
        <w:widowControl w:val="0"/>
        <w:tabs>
          <w:tab w:leader="none" w:pos="709" w:val="left"/>
        </w:tabs>
        <w:spacing w:after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Правительства </w:t>
      </w:r>
    </w:p>
    <w:p w14:paraId="42000000">
      <w:pPr>
        <w:widowControl w:val="0"/>
        <w:tabs>
          <w:tab w:leader="none" w:pos="709" w:val="left"/>
        </w:tabs>
        <w:spacing w:after="0"/>
        <w:ind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 xml:space="preserve">  Республики Саха (Якутия)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К.БЫЧКОВ</w:t>
      </w:r>
    </w:p>
    <w:p w14:paraId="43000000">
      <w:pPr>
        <w:pStyle w:val="Style_3"/>
        <w:widowControl w:val="0"/>
        <w:spacing w:line="276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851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)"/>
      <w:pPr>
        <w:widowControl w:val="0"/>
        <w:ind w:hanging="360" w:left="720"/>
      </w:pPr>
    </w:lvl>
    <w:lvl w:ilvl="1">
      <w:start w:val="1"/>
      <w:numFmt w:val="russianLower"/>
      <w:suff w:val="tab"/>
      <w:lvlText w:val="%2)"/>
      <w:pPr>
        <w:widowControl w:val="0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0"/>
        <w:ind w:hanging="360" w:left="2160"/>
      </w:pPr>
    </w:lvl>
    <w:lvl w:ilvl="3">
      <w:start w:val="1"/>
      <w:numFmt w:val="decimal"/>
      <w:suff w:val="tab"/>
      <w:lvlText w:val="%4)"/>
      <w:pPr>
        <w:widowControl w:val="0"/>
        <w:ind w:hanging="360" w:left="2880"/>
      </w:pPr>
    </w:lvl>
    <w:lvl w:ilvl="4">
      <w:start w:val="1"/>
      <w:numFmt w:val="russianLower"/>
      <w:suff w:val="tab"/>
      <w:lvlText w:val="%5)"/>
      <w:pPr>
        <w:widowControl w:val="0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0"/>
        <w:ind w:hanging="360" w:left="4320"/>
      </w:pPr>
    </w:lvl>
    <w:lvl w:ilvl="6">
      <w:start w:val="1"/>
      <w:numFmt w:val="decimal"/>
      <w:suff w:val="tab"/>
      <w:lvlText w:val="%7."/>
      <w:pPr>
        <w:widowControl w:val="0"/>
        <w:ind w:hanging="360" w:left="5040"/>
      </w:pPr>
    </w:lvl>
    <w:lvl w:ilvl="7">
      <w:start w:val="1"/>
      <w:numFmt w:val="russianLower"/>
      <w:suff w:val="tab"/>
      <w:lvlText w:val="%8."/>
      <w:pPr>
        <w:widowControl w:val="0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widowControl w:val="0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s_37"/>
    <w:basedOn w:val="Style_2"/>
    <w:link w:val="Style_5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s_37"/>
    <w:basedOn w:val="Style_2_ch"/>
    <w:link w:val="Style_5"/>
    <w:rPr>
      <w:rFonts w:ascii="Times New Roman" w:hAnsi="Times New Roman"/>
      <w:sz w:val="24"/>
    </w:rPr>
  </w:style>
  <w:style w:styleId="Style_6" w:type="paragraph">
    <w:name w:val="Обычный1"/>
    <w:link w:val="Style_6_ch"/>
  </w:style>
  <w:style w:styleId="Style_6_ch" w:type="character">
    <w:name w:val="Обычный1"/>
    <w:link w:val="Style_6"/>
  </w:style>
  <w:style w:styleId="Style_7" w:type="paragraph">
    <w:name w:val="toc 4"/>
    <w:next w:val="Style_2"/>
    <w:link w:val="Style_7_ch"/>
    <w:uiPriority w:val="39"/>
    <w:pPr>
      <w:widowControl w:val="0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0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footer"/>
    <w:basedOn w:val="Style_2"/>
    <w:link w:val="Style_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toc 7"/>
    <w:next w:val="Style_2"/>
    <w:link w:val="Style_10_ch"/>
    <w:uiPriority w:val="39"/>
    <w:pPr>
      <w:widowControl w:val="0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ConsPlusNonformat"/>
    <w:link w:val="Style_1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Endnote"/>
    <w:link w:val="Style_13_ch"/>
    <w:pPr>
      <w:widowControl w:val="0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2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Title"/>
    <w:link w:val="Style_1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5_ch" w:type="character">
    <w:name w:val="ConsPlusTitle"/>
    <w:link w:val="Style_15"/>
    <w:rPr>
      <w:rFonts w:ascii="Calibri" w:hAnsi="Calibri"/>
      <w:b w:val="1"/>
    </w:rPr>
  </w:style>
  <w:style w:styleId="Style_16" w:type="paragraph">
    <w:name w:val="Гиперссылка1"/>
    <w:basedOn w:val="Style_11"/>
    <w:link w:val="Style_16_ch"/>
    <w:rPr>
      <w:color w:themeColor="hyperlink" w:val="0000FF"/>
      <w:u w:val="single"/>
    </w:rPr>
  </w:style>
  <w:style w:styleId="Style_16_ch" w:type="character">
    <w:name w:val="Гиперссылка1"/>
    <w:basedOn w:val="Style_11_ch"/>
    <w:link w:val="Style_16"/>
    <w:rPr>
      <w:color w:themeColor="hyperlink" w:val="0000FF"/>
      <w:u w:val="single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Balloon Text"/>
    <w:basedOn w:val="Style_2"/>
    <w:link w:val="Style_18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s_1"/>
    <w:basedOn w:val="Style_2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s_1"/>
    <w:basedOn w:val="Style_2_ch"/>
    <w:link w:val="Style_19"/>
    <w:rPr>
      <w:rFonts w:ascii="Times New Roman" w:hAnsi="Times New Roman"/>
      <w:sz w:val="24"/>
    </w:rPr>
  </w:style>
  <w:style w:styleId="Style_20" w:type="paragraph">
    <w:name w:val="Гиперссылка2"/>
    <w:link w:val="Style_20_ch"/>
    <w:rPr>
      <w:color w:val="0000FF"/>
      <w:u w:val="single"/>
    </w:rPr>
  </w:style>
  <w:style w:styleId="Style_20_ch" w:type="character">
    <w:name w:val="Гиперссылка2"/>
    <w:link w:val="Style_20"/>
    <w:rPr>
      <w:color w:val="0000FF"/>
      <w:u w:val="single"/>
    </w:rPr>
  </w:style>
  <w:style w:styleId="Style_21" w:type="paragraph">
    <w:name w:val="toc 3"/>
    <w:next w:val="Style_2"/>
    <w:link w:val="Style_21_ch"/>
    <w:uiPriority w:val="39"/>
    <w:pPr>
      <w:widowControl w:val="0"/>
      <w:ind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Выделение1"/>
    <w:basedOn w:val="Style_11"/>
    <w:link w:val="Style_23_ch"/>
    <w:rPr>
      <w:i w:val="1"/>
    </w:rPr>
  </w:style>
  <w:style w:styleId="Style_23_ch" w:type="character">
    <w:name w:val="Выделение1"/>
    <w:basedOn w:val="Style_11_ch"/>
    <w:link w:val="Style_23"/>
    <w:rPr>
      <w:i w:val="1"/>
    </w:rPr>
  </w:style>
  <w:style w:styleId="Style_24" w:type="paragraph">
    <w:name w:val="Гипертекстовая ссылка"/>
    <w:basedOn w:val="Style_11"/>
    <w:link w:val="Style_24_ch"/>
    <w:rPr>
      <w:color w:val="106BBE"/>
    </w:rPr>
  </w:style>
  <w:style w:styleId="Style_24_ch" w:type="character">
    <w:name w:val="Гипертекстовая ссылка"/>
    <w:basedOn w:val="Style_11_ch"/>
    <w:link w:val="Style_24"/>
    <w:rPr>
      <w:color w:val="106BBE"/>
    </w:rPr>
  </w:style>
  <w:style w:styleId="Style_25" w:type="paragraph">
    <w:name w:val="heading 5"/>
    <w:next w:val="Style_2"/>
    <w:link w:val="Style_2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5_ch" w:type="character">
    <w:name w:val="heading 5"/>
    <w:link w:val="Style_25"/>
    <w:rPr>
      <w:rFonts w:ascii="XO Thames" w:hAnsi="XO Thames"/>
      <w:b w:val="1"/>
    </w:rPr>
  </w:style>
  <w:style w:styleId="Style_26" w:type="paragraph">
    <w:name w:val="heading 1"/>
    <w:next w:val="Style_2"/>
    <w:link w:val="Style_2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widowControl w:val="0"/>
      <w:ind w:firstLine="851"/>
      <w:jc w:val="both"/>
    </w:pPr>
    <w:rPr>
      <w:rFonts w:ascii="XO Thames" w:hAnsi="XO Thames"/>
    </w:rPr>
  </w:style>
  <w:style w:styleId="Style_29_ch" w:type="character">
    <w:name w:val="Footnote"/>
    <w:link w:val="Style_29"/>
    <w:rPr>
      <w:rFonts w:ascii="XO Thames" w:hAnsi="XO Thames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30" w:type="paragraph">
    <w:name w:val="toc 1"/>
    <w:next w:val="Style_2"/>
    <w:link w:val="Style_30_ch"/>
    <w:uiPriority w:val="39"/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2" w:type="paragraph">
    <w:name w:val="toc 9"/>
    <w:next w:val="Style_2"/>
    <w:link w:val="Style_32_ch"/>
    <w:uiPriority w:val="39"/>
    <w:pPr>
      <w:widowControl w:val="0"/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List Paragraph"/>
    <w:basedOn w:val="Style_2"/>
    <w:link w:val="Style_33_ch"/>
    <w:pPr>
      <w:widowControl w:val="0"/>
      <w:ind w:left="720"/>
      <w:contextualSpacing w:val="1"/>
    </w:pPr>
  </w:style>
  <w:style w:styleId="Style_33_ch" w:type="character">
    <w:name w:val="List Paragraph"/>
    <w:basedOn w:val="Style_2_ch"/>
    <w:link w:val="Style_33"/>
  </w:style>
  <w:style w:styleId="Style_34" w:type="paragraph">
    <w:name w:val="toc 8"/>
    <w:next w:val="Style_2"/>
    <w:link w:val="Style_34_ch"/>
    <w:uiPriority w:val="39"/>
    <w:pPr>
      <w:widowControl w:val="0"/>
      <w:ind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HTML Preformatted"/>
    <w:basedOn w:val="Style_2"/>
    <w:link w:val="Style_35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35_ch" w:type="character">
    <w:name w:val="HTML Preformatted"/>
    <w:basedOn w:val="Style_2_ch"/>
    <w:link w:val="Style_35"/>
    <w:rPr>
      <w:rFonts w:ascii="Courier New" w:hAnsi="Courier New"/>
      <w:sz w:val="20"/>
    </w:rPr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37" w:type="paragraph">
    <w:name w:val="ConsPlusTitlePage"/>
    <w:link w:val="Style_3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7_ch" w:type="character">
    <w:name w:val="ConsPlusTitlePage"/>
    <w:link w:val="Style_37"/>
    <w:rPr>
      <w:rFonts w:ascii="Tahoma" w:hAnsi="Tahoma"/>
      <w:sz w:val="20"/>
    </w:rPr>
  </w:style>
  <w:style w:styleId="Style_38" w:type="paragraph">
    <w:name w:val="toc 5"/>
    <w:next w:val="Style_2"/>
    <w:link w:val="Style_38_ch"/>
    <w:uiPriority w:val="39"/>
    <w:pPr>
      <w:widowControl w:val="0"/>
      <w:ind w:left="800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Subtitle"/>
    <w:next w:val="Style_2"/>
    <w:link w:val="Style_4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next w:val="Style_2"/>
    <w:link w:val="Style_4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2"/>
    <w:link w:val="Style_4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Основной шрифт абзаца1"/>
    <w:link w:val="Style_43_ch"/>
  </w:style>
  <w:style w:styleId="Style_43_ch" w:type="character">
    <w:name w:val="Основной шрифт абзаца1"/>
    <w:link w:val="Style_43"/>
  </w:style>
  <w:style w:styleId="Style_44" w:type="paragraph">
    <w:name w:val="s_16"/>
    <w:basedOn w:val="Style_2"/>
    <w:link w:val="Style_44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4_ch" w:type="character">
    <w:name w:val="s_16"/>
    <w:basedOn w:val="Style_2_ch"/>
    <w:link w:val="Style_44"/>
    <w:rPr>
      <w:rFonts w:ascii="Times New Roman" w:hAnsi="Times New Roman"/>
      <w:sz w:val="24"/>
    </w:rPr>
  </w:style>
  <w:style w:styleId="Style_45" w:type="paragraph">
    <w:name w:val="heading 2"/>
    <w:next w:val="Style_2"/>
    <w:link w:val="Style_4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2025-02-28T07:52:38Z</dcterms:created>
  <dcterms:modified xsi:type="dcterms:W3CDTF">2026-01-26T02:34:08Z</dcterms:modified>
</cp:coreProperties>
</file>