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70E" w:rsidRPr="004476FB" w:rsidRDefault="008E029E" w:rsidP="008A2F71">
      <w:pPr>
        <w:shd w:val="clear" w:color="auto" w:fill="FFFFFF"/>
        <w:spacing w:after="0"/>
        <w:jc w:val="right"/>
        <w:rPr>
          <w:rFonts w:ascii="Times New Roman" w:eastAsia="Times New Roman" w:hAnsi="Times New Roman" w:cs="Times New Roman"/>
          <w:sz w:val="28"/>
          <w:szCs w:val="28"/>
          <w:lang w:eastAsia="ru-RU"/>
        </w:rPr>
      </w:pPr>
      <w:r w:rsidRPr="004476FB">
        <w:rPr>
          <w:rFonts w:ascii="Times New Roman" w:eastAsia="Times New Roman" w:hAnsi="Times New Roman" w:cs="Times New Roman"/>
          <w:sz w:val="28"/>
          <w:szCs w:val="28"/>
          <w:lang w:eastAsia="ru-RU"/>
        </w:rPr>
        <w:t>ПРОЕКТ</w:t>
      </w:r>
    </w:p>
    <w:p w:rsidR="00A4170E" w:rsidRPr="004476FB" w:rsidRDefault="00A4170E" w:rsidP="008A2F71">
      <w:pPr>
        <w:shd w:val="clear" w:color="auto" w:fill="FFFFFF"/>
        <w:spacing w:after="0"/>
        <w:jc w:val="right"/>
        <w:rPr>
          <w:rFonts w:ascii="Times New Roman" w:eastAsia="Times New Roman" w:hAnsi="Times New Roman" w:cs="Times New Roman"/>
          <w:sz w:val="28"/>
          <w:szCs w:val="28"/>
          <w:lang w:eastAsia="ru-RU"/>
        </w:rPr>
      </w:pPr>
    </w:p>
    <w:p w:rsidR="00A4170E" w:rsidRPr="004476FB" w:rsidRDefault="00A4170E" w:rsidP="008A2F71">
      <w:pPr>
        <w:shd w:val="clear" w:color="auto" w:fill="FFFFFF"/>
        <w:spacing w:after="0"/>
        <w:jc w:val="center"/>
        <w:rPr>
          <w:rFonts w:ascii="Times New Roman" w:eastAsia="Times New Roman" w:hAnsi="Times New Roman" w:cs="Times New Roman"/>
          <w:b/>
          <w:sz w:val="28"/>
          <w:szCs w:val="28"/>
          <w:lang w:eastAsia="ru-RU"/>
        </w:rPr>
      </w:pPr>
    </w:p>
    <w:p w:rsidR="00A4170E" w:rsidRPr="004476FB" w:rsidRDefault="00A4170E" w:rsidP="008A2F71">
      <w:pPr>
        <w:shd w:val="clear" w:color="auto" w:fill="FFFFFF"/>
        <w:spacing w:after="0"/>
        <w:jc w:val="center"/>
        <w:rPr>
          <w:rFonts w:ascii="Times New Roman" w:eastAsia="Times New Roman" w:hAnsi="Times New Roman" w:cs="Times New Roman"/>
          <w:b/>
          <w:sz w:val="28"/>
          <w:szCs w:val="28"/>
          <w:lang w:eastAsia="ru-RU"/>
        </w:rPr>
      </w:pPr>
      <w:r w:rsidRPr="004476FB">
        <w:rPr>
          <w:rFonts w:ascii="Times New Roman" w:eastAsia="Times New Roman" w:hAnsi="Times New Roman" w:cs="Times New Roman"/>
          <w:b/>
          <w:sz w:val="28"/>
          <w:szCs w:val="28"/>
          <w:lang w:eastAsia="ru-RU"/>
        </w:rPr>
        <w:t>ПРАВИТЕЛЬСТВО РЕСПУБЛИКИ САХА (ЯКУТИЯ)</w:t>
      </w:r>
    </w:p>
    <w:p w:rsidR="00A4170E" w:rsidRPr="004476FB" w:rsidRDefault="00A4170E" w:rsidP="008A2F71">
      <w:pPr>
        <w:pBdr>
          <w:bottom w:val="double" w:sz="4" w:space="1" w:color="auto"/>
        </w:pBdr>
        <w:shd w:val="clear" w:color="auto" w:fill="FFFFFF"/>
        <w:spacing w:before="100" w:beforeAutospacing="1" w:after="0"/>
        <w:jc w:val="center"/>
        <w:rPr>
          <w:rFonts w:ascii="Times New Roman" w:eastAsia="Times New Roman" w:hAnsi="Times New Roman" w:cs="Times New Roman"/>
          <w:b/>
          <w:caps/>
          <w:sz w:val="32"/>
          <w:szCs w:val="32"/>
          <w:lang w:eastAsia="ru-RU"/>
        </w:rPr>
      </w:pPr>
      <w:r w:rsidRPr="004476FB">
        <w:rPr>
          <w:rFonts w:ascii="Times New Roman" w:eastAsia="Times New Roman" w:hAnsi="Times New Roman" w:cs="Times New Roman"/>
          <w:b/>
          <w:caps/>
          <w:sz w:val="32"/>
          <w:szCs w:val="32"/>
          <w:lang w:eastAsia="ru-RU"/>
        </w:rPr>
        <w:t xml:space="preserve">П О С Т А Н О В Л Е Н И е </w:t>
      </w:r>
    </w:p>
    <w:p w:rsidR="00A4170E" w:rsidRPr="004476FB" w:rsidRDefault="00CA238E" w:rsidP="008A2F71">
      <w:pPr>
        <w:pBdr>
          <w:bottom w:val="double" w:sz="4" w:space="1" w:color="auto"/>
        </w:pBdr>
        <w:shd w:val="clear" w:color="auto" w:fill="FFFFFF"/>
        <w:tabs>
          <w:tab w:val="left" w:pos="3572"/>
        </w:tabs>
        <w:spacing w:before="100" w:beforeAutospacing="1" w:after="0"/>
        <w:rPr>
          <w:rFonts w:ascii="Times New Roman" w:eastAsia="Times New Roman" w:hAnsi="Times New Roman" w:cs="Times New Roman"/>
          <w:b/>
          <w:caps/>
          <w:sz w:val="32"/>
          <w:szCs w:val="32"/>
          <w:lang w:eastAsia="ru-RU"/>
        </w:rPr>
      </w:pPr>
      <w:r w:rsidRPr="004476FB">
        <w:rPr>
          <w:rFonts w:ascii="Times New Roman" w:eastAsia="Times New Roman" w:hAnsi="Times New Roman" w:cs="Times New Roman"/>
          <w:b/>
          <w:caps/>
          <w:sz w:val="32"/>
          <w:szCs w:val="32"/>
          <w:lang w:eastAsia="ru-RU"/>
        </w:rPr>
        <w:tab/>
      </w:r>
    </w:p>
    <w:p w:rsidR="00A4170E" w:rsidRPr="004476FB" w:rsidRDefault="00A4170E" w:rsidP="008A2F71">
      <w:pPr>
        <w:shd w:val="clear" w:color="auto" w:fill="FFFFFF"/>
        <w:spacing w:after="0"/>
        <w:jc w:val="right"/>
        <w:rPr>
          <w:rFonts w:ascii="Times New Roman" w:eastAsia="Times New Roman" w:hAnsi="Times New Roman" w:cs="Times New Roman"/>
          <w:sz w:val="28"/>
          <w:szCs w:val="28"/>
          <w:lang w:eastAsia="ru-RU"/>
        </w:rPr>
      </w:pPr>
    </w:p>
    <w:p w:rsidR="00A4170E" w:rsidRPr="004476FB" w:rsidRDefault="00A90A7D" w:rsidP="008A2F71">
      <w:pPr>
        <w:shd w:val="clear" w:color="auto" w:fill="FFFFFF"/>
        <w:spacing w:after="0"/>
        <w:jc w:val="center"/>
        <w:rPr>
          <w:rFonts w:ascii="Times New Roman" w:eastAsia="Times New Roman" w:hAnsi="Times New Roman" w:cs="Times New Roman"/>
          <w:sz w:val="28"/>
          <w:szCs w:val="28"/>
          <w:lang w:eastAsia="ru-RU"/>
        </w:rPr>
      </w:pPr>
      <w:r w:rsidRPr="004476FB">
        <w:rPr>
          <w:rFonts w:ascii="Times New Roman" w:eastAsia="Times New Roman" w:hAnsi="Times New Roman" w:cs="Times New Roman"/>
          <w:sz w:val="28"/>
          <w:szCs w:val="28"/>
          <w:lang w:eastAsia="ru-RU"/>
        </w:rPr>
        <w:t>от «___» __________ 202</w:t>
      </w:r>
      <w:r w:rsidR="00655FA3" w:rsidRPr="00A353D5">
        <w:rPr>
          <w:rFonts w:ascii="Times New Roman" w:eastAsia="Times New Roman" w:hAnsi="Times New Roman" w:cs="Times New Roman"/>
          <w:sz w:val="28"/>
          <w:szCs w:val="28"/>
          <w:lang w:eastAsia="ru-RU"/>
        </w:rPr>
        <w:t>6</w:t>
      </w:r>
      <w:r w:rsidR="00A4170E" w:rsidRPr="004476FB">
        <w:rPr>
          <w:rFonts w:ascii="Times New Roman" w:eastAsia="Times New Roman" w:hAnsi="Times New Roman" w:cs="Times New Roman"/>
          <w:sz w:val="28"/>
          <w:szCs w:val="28"/>
          <w:lang w:eastAsia="ru-RU"/>
        </w:rPr>
        <w:t xml:space="preserve"> года № ___</w:t>
      </w:r>
    </w:p>
    <w:p w:rsidR="002F2D58" w:rsidRPr="004476FB" w:rsidRDefault="002F2D58" w:rsidP="008A2F71">
      <w:pPr>
        <w:spacing w:after="0"/>
        <w:ind w:right="-35"/>
        <w:jc w:val="center"/>
        <w:rPr>
          <w:rFonts w:ascii="Times New Roman" w:eastAsia="Times New Roman" w:hAnsi="Times New Roman" w:cs="Times New Roman"/>
          <w:sz w:val="28"/>
          <w:szCs w:val="28"/>
          <w:lang w:eastAsia="ru-RU"/>
        </w:rPr>
      </w:pPr>
    </w:p>
    <w:p w:rsidR="002F2D58" w:rsidRPr="004476FB" w:rsidRDefault="002F2D58" w:rsidP="008A2F71">
      <w:pPr>
        <w:autoSpaceDE w:val="0"/>
        <w:autoSpaceDN w:val="0"/>
        <w:adjustRightInd w:val="0"/>
        <w:spacing w:after="0"/>
        <w:jc w:val="center"/>
        <w:rPr>
          <w:rFonts w:ascii="Times New Roman" w:eastAsia="Times New Roman" w:hAnsi="Times New Roman" w:cs="Times New Roman"/>
          <w:b/>
          <w:bCs/>
          <w:sz w:val="28"/>
          <w:szCs w:val="28"/>
          <w:lang w:eastAsia="ru-RU"/>
        </w:rPr>
      </w:pPr>
    </w:p>
    <w:p w:rsidR="002F2D58" w:rsidRPr="004476FB" w:rsidRDefault="00186E2A" w:rsidP="00D9004C">
      <w:pPr>
        <w:autoSpaceDE w:val="0"/>
        <w:autoSpaceDN w:val="0"/>
        <w:adjustRightInd w:val="0"/>
        <w:spacing w:after="0"/>
        <w:jc w:val="center"/>
        <w:rPr>
          <w:rFonts w:ascii="Times New Roman" w:eastAsia="Times New Roman" w:hAnsi="Times New Roman" w:cs="Times New Roman"/>
          <w:b/>
          <w:bCs/>
          <w:sz w:val="28"/>
          <w:szCs w:val="28"/>
          <w:lang w:eastAsia="ru-RU"/>
        </w:rPr>
      </w:pPr>
      <w:r w:rsidRPr="004476FB">
        <w:rPr>
          <w:rFonts w:ascii="Times New Roman" w:eastAsia="Times New Roman" w:hAnsi="Times New Roman" w:cs="Times New Roman"/>
          <w:b/>
          <w:bCs/>
          <w:sz w:val="28"/>
          <w:szCs w:val="28"/>
          <w:lang w:eastAsia="ru-RU"/>
        </w:rPr>
        <w:t xml:space="preserve">О </w:t>
      </w:r>
      <w:r w:rsidR="0079552A">
        <w:rPr>
          <w:rFonts w:ascii="Times New Roman" w:eastAsia="Times New Roman" w:hAnsi="Times New Roman" w:cs="Times New Roman"/>
          <w:b/>
          <w:bCs/>
          <w:sz w:val="28"/>
          <w:szCs w:val="28"/>
          <w:lang w:eastAsia="ru-RU"/>
        </w:rPr>
        <w:t xml:space="preserve">введении государственного регулирования </w:t>
      </w:r>
      <w:r w:rsidR="00AE03E5">
        <w:rPr>
          <w:rFonts w:ascii="Times New Roman" w:eastAsia="Times New Roman" w:hAnsi="Times New Roman" w:cs="Times New Roman"/>
          <w:b/>
          <w:bCs/>
          <w:sz w:val="28"/>
          <w:szCs w:val="28"/>
          <w:lang w:eastAsia="ru-RU"/>
        </w:rPr>
        <w:t xml:space="preserve">предельных </w:t>
      </w:r>
      <w:r w:rsidR="0079552A">
        <w:rPr>
          <w:rFonts w:ascii="Times New Roman" w:eastAsia="Times New Roman" w:hAnsi="Times New Roman" w:cs="Times New Roman"/>
          <w:b/>
          <w:bCs/>
          <w:sz w:val="28"/>
          <w:szCs w:val="28"/>
          <w:lang w:eastAsia="ru-RU"/>
        </w:rPr>
        <w:t>тарифов на</w:t>
      </w:r>
      <w:r w:rsidR="0079552A">
        <w:rPr>
          <w:rFonts w:ascii="Times New Roman" w:eastAsia="Times New Roman" w:hAnsi="Times New Roman" w:cs="Times New Roman"/>
          <w:b/>
          <w:bCs/>
          <w:sz w:val="28"/>
          <w:szCs w:val="28"/>
          <w:lang w:eastAsia="ru-RU"/>
        </w:rPr>
        <w:br/>
      </w:r>
      <w:r w:rsidR="0079552A" w:rsidRPr="0079552A">
        <w:rPr>
          <w:rFonts w:ascii="Times New Roman" w:eastAsia="Times New Roman" w:hAnsi="Times New Roman" w:cs="Times New Roman"/>
          <w:b/>
          <w:bCs/>
          <w:sz w:val="28"/>
          <w:szCs w:val="28"/>
          <w:lang w:eastAsia="ru-RU"/>
        </w:rPr>
        <w:t xml:space="preserve">приемо-складские услуги и услуги хранения </w:t>
      </w:r>
      <w:r w:rsidR="00AE03E5">
        <w:rPr>
          <w:rFonts w:ascii="Times New Roman" w:eastAsia="Times New Roman" w:hAnsi="Times New Roman" w:cs="Times New Roman"/>
          <w:b/>
          <w:bCs/>
          <w:sz w:val="28"/>
          <w:szCs w:val="28"/>
          <w:lang w:eastAsia="ru-RU"/>
        </w:rPr>
        <w:t>грузов северного завоза первой категории</w:t>
      </w:r>
    </w:p>
    <w:p w:rsidR="00D9004C" w:rsidRPr="004476FB" w:rsidRDefault="00D9004C" w:rsidP="00D9004C">
      <w:pPr>
        <w:autoSpaceDE w:val="0"/>
        <w:autoSpaceDN w:val="0"/>
        <w:adjustRightInd w:val="0"/>
        <w:spacing w:after="0"/>
        <w:jc w:val="center"/>
        <w:rPr>
          <w:rFonts w:ascii="Times New Roman" w:eastAsia="Times New Roman" w:hAnsi="Times New Roman" w:cs="Times New Roman"/>
          <w:bCs/>
          <w:sz w:val="48"/>
          <w:szCs w:val="48"/>
          <w:lang w:eastAsia="ru-RU"/>
        </w:rPr>
      </w:pPr>
    </w:p>
    <w:p w:rsidR="00A65C33" w:rsidRPr="0079552A" w:rsidRDefault="00A65C33" w:rsidP="0079552A">
      <w:pPr>
        <w:pStyle w:val="a5"/>
        <w:tabs>
          <w:tab w:val="left" w:pos="1134"/>
        </w:tabs>
        <w:autoSpaceDE w:val="0"/>
        <w:autoSpaceDN w:val="0"/>
        <w:adjustRightInd w:val="0"/>
        <w:spacing w:after="0"/>
        <w:ind w:left="0" w:firstLine="709"/>
        <w:jc w:val="both"/>
        <w:rPr>
          <w:rFonts w:ascii="Times New Roman" w:eastAsia="Times New Roman" w:hAnsi="Times New Roman" w:cs="Times New Roman"/>
          <w:bCs/>
          <w:sz w:val="28"/>
          <w:szCs w:val="28"/>
          <w:lang w:eastAsia="ru-RU"/>
        </w:rPr>
      </w:pPr>
      <w:r w:rsidRPr="004476FB">
        <w:rPr>
          <w:rFonts w:ascii="Times New Roman" w:eastAsia="Times New Roman" w:hAnsi="Times New Roman" w:cs="Times New Roman"/>
          <w:bCs/>
          <w:sz w:val="28"/>
          <w:szCs w:val="28"/>
          <w:lang w:eastAsia="ru-RU"/>
        </w:rPr>
        <w:t xml:space="preserve">В </w:t>
      </w:r>
      <w:r w:rsidR="0079552A">
        <w:rPr>
          <w:rFonts w:ascii="Times New Roman" w:eastAsia="Times New Roman" w:hAnsi="Times New Roman" w:cs="Times New Roman"/>
          <w:bCs/>
          <w:sz w:val="28"/>
          <w:szCs w:val="28"/>
          <w:lang w:eastAsia="ru-RU"/>
        </w:rPr>
        <w:t xml:space="preserve">соответствии с </w:t>
      </w:r>
      <w:r w:rsidR="0079552A" w:rsidRPr="0079552A">
        <w:rPr>
          <w:rFonts w:ascii="Times New Roman" w:eastAsia="Times New Roman" w:hAnsi="Times New Roman" w:cs="Times New Roman"/>
          <w:bCs/>
          <w:sz w:val="28"/>
          <w:szCs w:val="28"/>
          <w:lang w:eastAsia="ru-RU"/>
        </w:rPr>
        <w:t>Федеральны</w:t>
      </w:r>
      <w:r w:rsidR="0079552A">
        <w:rPr>
          <w:rFonts w:ascii="Times New Roman" w:eastAsia="Times New Roman" w:hAnsi="Times New Roman" w:cs="Times New Roman"/>
          <w:bCs/>
          <w:sz w:val="28"/>
          <w:szCs w:val="28"/>
          <w:lang w:eastAsia="ru-RU"/>
        </w:rPr>
        <w:t>м</w:t>
      </w:r>
      <w:r w:rsidR="0079552A" w:rsidRPr="0079552A">
        <w:rPr>
          <w:rFonts w:ascii="Times New Roman" w:eastAsia="Times New Roman" w:hAnsi="Times New Roman" w:cs="Times New Roman"/>
          <w:bCs/>
          <w:sz w:val="28"/>
          <w:szCs w:val="28"/>
          <w:lang w:eastAsia="ru-RU"/>
        </w:rPr>
        <w:t xml:space="preserve"> закон</w:t>
      </w:r>
      <w:r w:rsidR="0079552A">
        <w:rPr>
          <w:rFonts w:ascii="Times New Roman" w:eastAsia="Times New Roman" w:hAnsi="Times New Roman" w:cs="Times New Roman"/>
          <w:bCs/>
          <w:sz w:val="28"/>
          <w:szCs w:val="28"/>
          <w:lang w:eastAsia="ru-RU"/>
        </w:rPr>
        <w:t>ом</w:t>
      </w:r>
      <w:r w:rsidR="0079552A" w:rsidRPr="0079552A">
        <w:rPr>
          <w:rFonts w:ascii="Times New Roman" w:eastAsia="Times New Roman" w:hAnsi="Times New Roman" w:cs="Times New Roman"/>
          <w:bCs/>
          <w:sz w:val="28"/>
          <w:szCs w:val="28"/>
          <w:lang w:eastAsia="ru-RU"/>
        </w:rPr>
        <w:t xml:space="preserve"> от 04.08.2023 </w:t>
      </w:r>
      <w:r w:rsidR="0079552A">
        <w:rPr>
          <w:rFonts w:ascii="Times New Roman" w:eastAsia="Times New Roman" w:hAnsi="Times New Roman" w:cs="Times New Roman"/>
          <w:bCs/>
          <w:sz w:val="28"/>
          <w:szCs w:val="28"/>
          <w:lang w:eastAsia="ru-RU"/>
        </w:rPr>
        <w:t>№</w:t>
      </w:r>
      <w:r w:rsidR="0079552A" w:rsidRPr="0079552A">
        <w:rPr>
          <w:rFonts w:ascii="Times New Roman" w:eastAsia="Times New Roman" w:hAnsi="Times New Roman" w:cs="Times New Roman"/>
          <w:bCs/>
          <w:sz w:val="28"/>
          <w:szCs w:val="28"/>
          <w:lang w:eastAsia="ru-RU"/>
        </w:rPr>
        <w:t xml:space="preserve"> 411-ФЗ </w:t>
      </w:r>
      <w:r w:rsidR="0079552A">
        <w:rPr>
          <w:rFonts w:ascii="Times New Roman" w:eastAsia="Times New Roman" w:hAnsi="Times New Roman" w:cs="Times New Roman"/>
          <w:bCs/>
          <w:sz w:val="28"/>
          <w:szCs w:val="28"/>
          <w:lang w:eastAsia="ru-RU"/>
        </w:rPr>
        <w:t>«О северном завозе», п</w:t>
      </w:r>
      <w:r w:rsidR="0079552A" w:rsidRPr="0079552A">
        <w:rPr>
          <w:rFonts w:ascii="Times New Roman" w:eastAsia="Times New Roman" w:hAnsi="Times New Roman" w:cs="Times New Roman"/>
          <w:bCs/>
          <w:sz w:val="28"/>
          <w:szCs w:val="28"/>
          <w:lang w:eastAsia="ru-RU"/>
        </w:rPr>
        <w:t>остановление</w:t>
      </w:r>
      <w:r w:rsidR="0079552A">
        <w:rPr>
          <w:rFonts w:ascii="Times New Roman" w:eastAsia="Times New Roman" w:hAnsi="Times New Roman" w:cs="Times New Roman"/>
          <w:bCs/>
          <w:sz w:val="28"/>
          <w:szCs w:val="28"/>
          <w:lang w:eastAsia="ru-RU"/>
        </w:rPr>
        <w:t>м Правительства Российской Федерации</w:t>
      </w:r>
      <w:r w:rsidR="0079552A" w:rsidRPr="0079552A">
        <w:rPr>
          <w:rFonts w:ascii="Times New Roman" w:eastAsia="Times New Roman" w:hAnsi="Times New Roman" w:cs="Times New Roman"/>
          <w:bCs/>
          <w:sz w:val="28"/>
          <w:szCs w:val="28"/>
          <w:lang w:eastAsia="ru-RU"/>
        </w:rPr>
        <w:t xml:space="preserve"> от 05.02.2024 </w:t>
      </w:r>
      <w:r w:rsidR="0079552A">
        <w:rPr>
          <w:rFonts w:ascii="Times New Roman" w:eastAsia="Times New Roman" w:hAnsi="Times New Roman" w:cs="Times New Roman"/>
          <w:bCs/>
          <w:sz w:val="28"/>
          <w:szCs w:val="28"/>
          <w:lang w:eastAsia="ru-RU"/>
        </w:rPr>
        <w:t>№</w:t>
      </w:r>
      <w:r w:rsidR="0079552A" w:rsidRPr="0079552A">
        <w:rPr>
          <w:rFonts w:ascii="Times New Roman" w:eastAsia="Times New Roman" w:hAnsi="Times New Roman" w:cs="Times New Roman"/>
          <w:bCs/>
          <w:sz w:val="28"/>
          <w:szCs w:val="28"/>
          <w:lang w:eastAsia="ru-RU"/>
        </w:rPr>
        <w:t xml:space="preserve"> 118 </w:t>
      </w:r>
      <w:r w:rsidR="0079552A">
        <w:rPr>
          <w:rFonts w:ascii="Times New Roman" w:eastAsia="Times New Roman" w:hAnsi="Times New Roman" w:cs="Times New Roman"/>
          <w:bCs/>
          <w:sz w:val="28"/>
          <w:szCs w:val="28"/>
          <w:lang w:eastAsia="ru-RU"/>
        </w:rPr>
        <w:t>«</w:t>
      </w:r>
      <w:r w:rsidR="0079552A" w:rsidRPr="0079552A">
        <w:rPr>
          <w:rFonts w:ascii="Times New Roman" w:eastAsia="Times New Roman" w:hAnsi="Times New Roman" w:cs="Times New Roman"/>
          <w:bCs/>
          <w:sz w:val="28"/>
          <w:szCs w:val="28"/>
          <w:lang w:eastAsia="ru-RU"/>
        </w:rPr>
        <w:t>Об утверждении Правил установления снабженческо-сбытовых и торговых надбавок к ценам на продукцию (товары), реализуемую на территориях северного завоза, предельных значений розничных и оптовых цен на грузы первой категории и продукцию (товары), изготавливаемую с их применением, тарифов на перевозку и хранение грузов первой категории, погрузо-разгрузочные работы и приемо-складские операции в отношении грузов первой категории</w:t>
      </w:r>
      <w:r w:rsidR="0079552A">
        <w:rPr>
          <w:rFonts w:ascii="Times New Roman" w:eastAsia="Times New Roman" w:hAnsi="Times New Roman" w:cs="Times New Roman"/>
          <w:bCs/>
          <w:sz w:val="28"/>
          <w:szCs w:val="28"/>
          <w:lang w:eastAsia="ru-RU"/>
        </w:rPr>
        <w:t>», Правительство Республики Саха (Якутия)</w:t>
      </w:r>
      <w:r w:rsidR="0079552A">
        <w:rPr>
          <w:rFonts w:ascii="Times New Roman" w:eastAsia="Times New Roman" w:hAnsi="Times New Roman" w:cs="Times New Roman"/>
          <w:bCs/>
          <w:sz w:val="28"/>
          <w:szCs w:val="28"/>
          <w:lang w:eastAsia="ru-RU"/>
        </w:rPr>
        <w:br/>
      </w:r>
      <w:r w:rsidRPr="0079552A">
        <w:rPr>
          <w:rFonts w:ascii="Times New Roman" w:eastAsia="Times New Roman" w:hAnsi="Times New Roman" w:cs="Times New Roman"/>
          <w:bCs/>
          <w:sz w:val="28"/>
          <w:szCs w:val="28"/>
          <w:lang w:eastAsia="ru-RU"/>
        </w:rPr>
        <w:t>п о с т а н о в л я е т:</w:t>
      </w:r>
    </w:p>
    <w:p w:rsidR="00575A0F" w:rsidRPr="00655FA3" w:rsidRDefault="004C5224" w:rsidP="001C7534">
      <w:pPr>
        <w:pStyle w:val="a5"/>
        <w:numPr>
          <w:ilvl w:val="0"/>
          <w:numId w:val="1"/>
        </w:numPr>
        <w:tabs>
          <w:tab w:val="left" w:pos="993"/>
          <w:tab w:val="left" w:pos="1134"/>
        </w:tabs>
        <w:autoSpaceDE w:val="0"/>
        <w:autoSpaceDN w:val="0"/>
        <w:adjustRightInd w:val="0"/>
        <w:spacing w:after="0"/>
        <w:ind w:left="0" w:firstLine="709"/>
        <w:jc w:val="both"/>
        <w:rPr>
          <w:rFonts w:ascii="TimesNewRomanPSMT" w:hAnsi="TimesNewRomanPSMT" w:cs="TimesNewRomanPSMT"/>
          <w:sz w:val="28"/>
          <w:szCs w:val="28"/>
        </w:rPr>
      </w:pPr>
      <w:r w:rsidRPr="004476FB">
        <w:rPr>
          <w:rFonts w:ascii="TimesNewRomanPSMT" w:hAnsi="TimesNewRomanPSMT" w:cs="TimesNewRomanPSMT"/>
          <w:sz w:val="28"/>
          <w:szCs w:val="28"/>
        </w:rPr>
        <w:t>В</w:t>
      </w:r>
      <w:r w:rsidR="0079552A">
        <w:rPr>
          <w:rFonts w:ascii="TimesNewRomanPSMT" w:hAnsi="TimesNewRomanPSMT" w:cs="TimesNewRomanPSMT"/>
          <w:sz w:val="28"/>
          <w:szCs w:val="28"/>
        </w:rPr>
        <w:t xml:space="preserve">вести </w:t>
      </w:r>
      <w:r w:rsidR="00575A0F">
        <w:rPr>
          <w:rFonts w:ascii="TimesNewRomanPSMT" w:hAnsi="TimesNewRomanPSMT" w:cs="TimesNewRomanPSMT"/>
          <w:sz w:val="28"/>
          <w:szCs w:val="28"/>
        </w:rPr>
        <w:t>н</w:t>
      </w:r>
      <w:r w:rsidR="004362D7">
        <w:rPr>
          <w:rFonts w:ascii="TimesNewRomanPSMT" w:hAnsi="TimesNewRomanPSMT" w:cs="TimesNewRomanPSMT"/>
          <w:sz w:val="28"/>
          <w:szCs w:val="28"/>
        </w:rPr>
        <w:t>а территориях северного завоза</w:t>
      </w:r>
      <w:r w:rsidR="00575A0F">
        <w:rPr>
          <w:rFonts w:ascii="TimesNewRomanPSMT" w:hAnsi="TimesNewRomanPSMT" w:cs="TimesNewRomanPSMT"/>
          <w:sz w:val="28"/>
          <w:szCs w:val="28"/>
        </w:rPr>
        <w:t xml:space="preserve"> Республик</w:t>
      </w:r>
      <w:r w:rsidR="004362D7">
        <w:rPr>
          <w:rFonts w:ascii="TimesNewRomanPSMT" w:hAnsi="TimesNewRomanPSMT" w:cs="TimesNewRomanPSMT"/>
          <w:sz w:val="28"/>
          <w:szCs w:val="28"/>
        </w:rPr>
        <w:t>и</w:t>
      </w:r>
      <w:r w:rsidR="00575A0F">
        <w:rPr>
          <w:rFonts w:ascii="TimesNewRomanPSMT" w:hAnsi="TimesNewRomanPSMT" w:cs="TimesNewRomanPSMT"/>
          <w:sz w:val="28"/>
          <w:szCs w:val="28"/>
        </w:rPr>
        <w:t xml:space="preserve"> Саха (Якутия) </w:t>
      </w:r>
      <w:r w:rsidR="0079552A" w:rsidRPr="0079552A">
        <w:rPr>
          <w:rFonts w:ascii="TimesNewRomanPSMT" w:hAnsi="TimesNewRomanPSMT" w:cs="TimesNewRomanPSMT"/>
          <w:sz w:val="28"/>
          <w:szCs w:val="28"/>
        </w:rPr>
        <w:t xml:space="preserve">государственное регулирование </w:t>
      </w:r>
      <w:r w:rsidR="001C7534">
        <w:rPr>
          <w:rFonts w:ascii="TimesNewRomanPSMT" w:hAnsi="TimesNewRomanPSMT" w:cs="TimesNewRomanPSMT"/>
          <w:sz w:val="28"/>
          <w:szCs w:val="28"/>
        </w:rPr>
        <w:t xml:space="preserve">предельных </w:t>
      </w:r>
      <w:r w:rsidR="0079552A" w:rsidRPr="0079552A">
        <w:rPr>
          <w:rFonts w:ascii="TimesNewRomanPSMT" w:hAnsi="TimesNewRomanPSMT" w:cs="TimesNewRomanPSMT"/>
          <w:sz w:val="28"/>
          <w:szCs w:val="28"/>
        </w:rPr>
        <w:t xml:space="preserve">тарифов на приемо-складские </w:t>
      </w:r>
      <w:r w:rsidR="0079552A" w:rsidRPr="00655FA3">
        <w:rPr>
          <w:rFonts w:ascii="TimesNewRomanPSMT" w:hAnsi="TimesNewRomanPSMT" w:cs="TimesNewRomanPSMT"/>
          <w:sz w:val="28"/>
          <w:szCs w:val="28"/>
        </w:rPr>
        <w:t xml:space="preserve">услуги и услуги хранения </w:t>
      </w:r>
      <w:r w:rsidR="00575A0F" w:rsidRPr="00655FA3">
        <w:rPr>
          <w:rFonts w:ascii="TimesNewRomanPSMT" w:hAnsi="TimesNewRomanPSMT" w:cs="TimesNewRomanPSMT"/>
          <w:sz w:val="28"/>
          <w:szCs w:val="28"/>
        </w:rPr>
        <w:t>следующих грузов северного завоза первой категории:</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нефть обезвоженная, обессоленная и стабилизированная (06.10.10.200);</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мазут топочный (ОКПД2 19.20.28.110);</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топливо дизельное (ОКПД2 19.20.21.300);</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керосин (ОКПД2 19.20.24);</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конденсат газовый стабильный (ОКПД2 19.20.32.115);</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газ природный в газообразном или сжиженном состоянии (ОКПД2 06.20.10);</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lastRenderedPageBreak/>
        <w:t>- пропан и бутан сжиженные (ОКПД2 19.20.31);</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топливо моторное, включая автомобильный и авиационный бензин (ОКПД2 19.20.21);</w:t>
      </w:r>
    </w:p>
    <w:p w:rsidR="00575A0F" w:rsidRPr="00655FA3"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топливо газотурбинное (ОКПД2 19.20.26.110);</w:t>
      </w:r>
    </w:p>
    <w:p w:rsidR="00575A0F" w:rsidRDefault="00575A0F" w:rsidP="00575A0F">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sidRPr="00655FA3">
        <w:rPr>
          <w:rFonts w:ascii="TimesNewRomanPSMT" w:hAnsi="TimesNewRomanPSMT" w:cs="TimesNewRomanPSMT"/>
          <w:sz w:val="28"/>
          <w:szCs w:val="28"/>
        </w:rPr>
        <w:t>- топливо реактивное керосинового типа (ОКПД2 19.20.25).</w:t>
      </w:r>
    </w:p>
    <w:p w:rsidR="00D17082" w:rsidRDefault="004362D7" w:rsidP="00D17082">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Pr>
          <w:rFonts w:ascii="TimesNewRomanPSMT" w:hAnsi="TimesNewRomanPSMT" w:cs="TimesNewRomanPSMT"/>
          <w:sz w:val="28"/>
          <w:szCs w:val="28"/>
        </w:rPr>
        <w:t>Настоящий пункт распространяет свое действие на правоотношения, возникающие</w:t>
      </w:r>
      <w:r w:rsidRPr="004362D7">
        <w:rPr>
          <w:rFonts w:ascii="TimesNewRomanPSMT" w:hAnsi="TimesNewRomanPSMT" w:cs="TimesNewRomanPSMT"/>
          <w:sz w:val="28"/>
          <w:szCs w:val="28"/>
        </w:rPr>
        <w:t xml:space="preserve"> </w:t>
      </w:r>
      <w:r>
        <w:rPr>
          <w:rFonts w:ascii="TimesNewRomanPSMT" w:hAnsi="TimesNewRomanPSMT" w:cs="TimesNewRomanPSMT"/>
          <w:sz w:val="28"/>
          <w:szCs w:val="28"/>
        </w:rPr>
        <w:t>при</w:t>
      </w:r>
      <w:r w:rsidRPr="004362D7">
        <w:rPr>
          <w:rFonts w:ascii="TimesNewRomanPSMT" w:hAnsi="TimesNewRomanPSMT" w:cs="TimesNewRomanPSMT"/>
          <w:sz w:val="28"/>
          <w:szCs w:val="28"/>
        </w:rPr>
        <w:t xml:space="preserve"> оказани</w:t>
      </w:r>
      <w:r>
        <w:rPr>
          <w:rFonts w:ascii="TimesNewRomanPSMT" w:hAnsi="TimesNewRomanPSMT" w:cs="TimesNewRomanPSMT"/>
          <w:sz w:val="28"/>
          <w:szCs w:val="28"/>
        </w:rPr>
        <w:t>и</w:t>
      </w:r>
      <w:r w:rsidRPr="004362D7">
        <w:rPr>
          <w:rFonts w:ascii="TimesNewRomanPSMT" w:hAnsi="TimesNewRomanPSMT" w:cs="TimesNewRomanPSMT"/>
          <w:sz w:val="28"/>
          <w:szCs w:val="28"/>
        </w:rPr>
        <w:t xml:space="preserve"> приемо-складски</w:t>
      </w:r>
      <w:r>
        <w:rPr>
          <w:rFonts w:ascii="TimesNewRomanPSMT" w:hAnsi="TimesNewRomanPSMT" w:cs="TimesNewRomanPSMT"/>
          <w:sz w:val="28"/>
          <w:szCs w:val="28"/>
        </w:rPr>
        <w:t xml:space="preserve">х услуг и </w:t>
      </w:r>
      <w:r w:rsidR="00814271">
        <w:rPr>
          <w:rFonts w:ascii="TimesNewRomanPSMT" w:hAnsi="TimesNewRomanPSMT" w:cs="TimesNewRomanPSMT"/>
          <w:sz w:val="28"/>
          <w:szCs w:val="28"/>
        </w:rPr>
        <w:t>услуг хранения грузов северного завоза первой категории</w:t>
      </w:r>
      <w:r w:rsidR="00E31EBA">
        <w:rPr>
          <w:rFonts w:ascii="TimesNewRomanPSMT" w:hAnsi="TimesNewRomanPSMT" w:cs="TimesNewRomanPSMT"/>
          <w:sz w:val="28"/>
          <w:szCs w:val="28"/>
        </w:rPr>
        <w:t>,</w:t>
      </w:r>
      <w:r w:rsidR="00E31EBA" w:rsidRPr="00E31EBA">
        <w:rPr>
          <w:rFonts w:ascii="TimesNewRomanPSMT" w:hAnsi="TimesNewRomanPSMT" w:cs="TimesNewRomanPSMT"/>
          <w:sz w:val="28"/>
          <w:szCs w:val="28"/>
        </w:rPr>
        <w:t xml:space="preserve"> </w:t>
      </w:r>
      <w:r w:rsidR="00E31EBA">
        <w:rPr>
          <w:rFonts w:ascii="TimesNewRomanPSMT" w:hAnsi="TimesNewRomanPSMT" w:cs="TimesNewRomanPSMT"/>
          <w:sz w:val="28"/>
          <w:szCs w:val="28"/>
        </w:rPr>
        <w:t>указанных в настоящем пункте,</w:t>
      </w:r>
      <w:r>
        <w:rPr>
          <w:rFonts w:ascii="TimesNewRomanPSMT" w:hAnsi="TimesNewRomanPSMT" w:cs="TimesNewRomanPSMT"/>
          <w:sz w:val="28"/>
          <w:szCs w:val="28"/>
        </w:rPr>
        <w:t xml:space="preserve"> хозяйствующим субъектам, </w:t>
      </w:r>
      <w:r w:rsidRPr="004362D7">
        <w:rPr>
          <w:rFonts w:ascii="TimesNewRomanPSMT" w:hAnsi="TimesNewRomanPSMT" w:cs="TimesNewRomanPSMT"/>
          <w:sz w:val="28"/>
          <w:szCs w:val="28"/>
        </w:rPr>
        <w:t>осуществляющи</w:t>
      </w:r>
      <w:r>
        <w:rPr>
          <w:rFonts w:ascii="TimesNewRomanPSMT" w:hAnsi="TimesNewRomanPSMT" w:cs="TimesNewRomanPSMT"/>
          <w:sz w:val="28"/>
          <w:szCs w:val="28"/>
        </w:rPr>
        <w:t>м</w:t>
      </w:r>
      <w:r w:rsidRPr="004362D7">
        <w:rPr>
          <w:rFonts w:ascii="TimesNewRomanPSMT" w:hAnsi="TimesNewRomanPSMT" w:cs="TimesNewRomanPSMT"/>
          <w:sz w:val="28"/>
          <w:szCs w:val="28"/>
        </w:rPr>
        <w:t xml:space="preserve"> </w:t>
      </w:r>
      <w:r w:rsidR="00D17082">
        <w:rPr>
          <w:rFonts w:ascii="TimesNewRomanPSMT" w:hAnsi="TimesNewRomanPSMT" w:cs="TimesNewRomanPSMT"/>
          <w:sz w:val="28"/>
          <w:szCs w:val="28"/>
        </w:rPr>
        <w:t>один из следующих регулируемых видов экономической деятельности</w:t>
      </w:r>
      <w:r w:rsidRPr="004362D7">
        <w:rPr>
          <w:rFonts w:ascii="TimesNewRomanPSMT" w:hAnsi="TimesNewRomanPSMT" w:cs="TimesNewRomanPSMT"/>
          <w:sz w:val="28"/>
          <w:szCs w:val="28"/>
        </w:rPr>
        <w:t xml:space="preserve"> (в случае, если доля выручки от реализации таких видов деятельности</w:t>
      </w:r>
      <w:r w:rsidR="00ED5C96">
        <w:rPr>
          <w:rFonts w:ascii="TimesNewRomanPSMT" w:hAnsi="TimesNewRomanPSMT" w:cs="TimesNewRomanPSMT"/>
          <w:sz w:val="28"/>
          <w:szCs w:val="28"/>
        </w:rPr>
        <w:t>, подтвержденная бухгалтерской отчетностью,</w:t>
      </w:r>
      <w:r w:rsidRPr="004362D7">
        <w:rPr>
          <w:rFonts w:ascii="TimesNewRomanPSMT" w:hAnsi="TimesNewRomanPSMT" w:cs="TimesNewRomanPSMT"/>
          <w:sz w:val="28"/>
          <w:szCs w:val="28"/>
        </w:rPr>
        <w:t xml:space="preserve"> за отч</w:t>
      </w:r>
      <w:r w:rsidR="00D17082">
        <w:rPr>
          <w:rFonts w:ascii="TimesNewRomanPSMT" w:hAnsi="TimesNewRomanPSMT" w:cs="TimesNewRomanPSMT"/>
          <w:sz w:val="28"/>
          <w:szCs w:val="28"/>
        </w:rPr>
        <w:t>етный год составляет более 50%):</w:t>
      </w:r>
    </w:p>
    <w:p w:rsidR="00D17082" w:rsidRDefault="00D17082" w:rsidP="00D17082">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 </w:t>
      </w:r>
      <w:r w:rsidR="004362D7" w:rsidRPr="004362D7">
        <w:rPr>
          <w:rFonts w:ascii="TimesNewRomanPSMT" w:hAnsi="TimesNewRomanPSMT" w:cs="TimesNewRomanPSMT"/>
          <w:sz w:val="28"/>
          <w:szCs w:val="28"/>
        </w:rPr>
        <w:t>35.11.1 «Производство электроэнергии тепловыми электростанциями, в том числе деятельность по обеспечению раб</w:t>
      </w:r>
      <w:r>
        <w:rPr>
          <w:rFonts w:ascii="TimesNewRomanPSMT" w:hAnsi="TimesNewRomanPSMT" w:cs="TimesNewRomanPSMT"/>
          <w:sz w:val="28"/>
          <w:szCs w:val="28"/>
        </w:rPr>
        <w:t>отоспособности электростанций»;</w:t>
      </w:r>
    </w:p>
    <w:p w:rsidR="00D17082" w:rsidRDefault="00D17082" w:rsidP="00D17082">
      <w:pPr>
        <w:tabs>
          <w:tab w:val="left" w:pos="993"/>
          <w:tab w:val="left" w:pos="1134"/>
        </w:tabs>
        <w:autoSpaceDE w:val="0"/>
        <w:autoSpaceDN w:val="0"/>
        <w:adjustRightInd w:val="0"/>
        <w:spacing w:after="0"/>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 </w:t>
      </w:r>
      <w:r w:rsidR="004362D7" w:rsidRPr="004362D7">
        <w:rPr>
          <w:rFonts w:ascii="TimesNewRomanPSMT" w:hAnsi="TimesNewRomanPSMT" w:cs="TimesNewRomanPSMT"/>
          <w:sz w:val="28"/>
          <w:szCs w:val="28"/>
        </w:rPr>
        <w:t xml:space="preserve">35.30.14 «Производство пара и горячей воды (тепловой энергии) </w:t>
      </w:r>
      <w:r>
        <w:rPr>
          <w:rFonts w:ascii="TimesNewRomanPSMT" w:hAnsi="TimesNewRomanPSMT" w:cs="TimesNewRomanPSMT"/>
          <w:sz w:val="28"/>
          <w:szCs w:val="28"/>
        </w:rPr>
        <w:t>котельными».</w:t>
      </w:r>
    </w:p>
    <w:p w:rsidR="0079552A" w:rsidRDefault="005970D7" w:rsidP="001C7534">
      <w:pPr>
        <w:pStyle w:val="a5"/>
        <w:numPr>
          <w:ilvl w:val="0"/>
          <w:numId w:val="1"/>
        </w:numPr>
        <w:tabs>
          <w:tab w:val="left" w:pos="993"/>
          <w:tab w:val="left" w:pos="1134"/>
        </w:tabs>
        <w:autoSpaceDE w:val="0"/>
        <w:autoSpaceDN w:val="0"/>
        <w:adjustRightInd w:val="0"/>
        <w:spacing w:after="0"/>
        <w:ind w:left="0" w:firstLine="709"/>
        <w:jc w:val="both"/>
        <w:rPr>
          <w:rFonts w:ascii="TimesNewRomanPSMT" w:hAnsi="TimesNewRomanPSMT" w:cs="TimesNewRomanPSMT"/>
          <w:sz w:val="28"/>
          <w:szCs w:val="28"/>
        </w:rPr>
      </w:pPr>
      <w:r>
        <w:rPr>
          <w:rFonts w:ascii="TimesNewRomanPSMT" w:hAnsi="TimesNewRomanPSMT" w:cs="TimesNewRomanPSMT"/>
          <w:sz w:val="28"/>
          <w:szCs w:val="28"/>
        </w:rPr>
        <w:t>Утвердить</w:t>
      </w:r>
      <w:r w:rsidR="0079552A">
        <w:rPr>
          <w:rFonts w:ascii="TimesNewRomanPSMT" w:hAnsi="TimesNewRomanPSMT" w:cs="TimesNewRomanPSMT"/>
          <w:sz w:val="28"/>
          <w:szCs w:val="28"/>
        </w:rPr>
        <w:t xml:space="preserve"> </w:t>
      </w:r>
      <w:r>
        <w:rPr>
          <w:rFonts w:ascii="TimesNewRomanPSMT" w:hAnsi="TimesNewRomanPSMT" w:cs="TimesNewRomanPSMT"/>
          <w:sz w:val="28"/>
          <w:szCs w:val="28"/>
        </w:rPr>
        <w:t>Методику</w:t>
      </w:r>
      <w:r w:rsidR="0079552A" w:rsidRPr="0079552A">
        <w:rPr>
          <w:rFonts w:ascii="TimesNewRomanPSMT" w:hAnsi="TimesNewRomanPSMT" w:cs="TimesNewRomanPSMT"/>
          <w:sz w:val="28"/>
          <w:szCs w:val="28"/>
        </w:rPr>
        <w:t xml:space="preserve"> </w:t>
      </w:r>
      <w:r w:rsidR="001C7534" w:rsidRPr="001C7534">
        <w:rPr>
          <w:rFonts w:ascii="TimesNewRomanPSMT" w:hAnsi="TimesNewRomanPSMT" w:cs="TimesNewRomanPSMT"/>
          <w:sz w:val="28"/>
          <w:szCs w:val="28"/>
        </w:rPr>
        <w:t>расчета предельных тарифов на</w:t>
      </w:r>
      <w:r w:rsidR="001C7534">
        <w:rPr>
          <w:rFonts w:ascii="TimesNewRomanPSMT" w:hAnsi="TimesNewRomanPSMT" w:cs="TimesNewRomanPSMT"/>
          <w:sz w:val="28"/>
          <w:szCs w:val="28"/>
        </w:rPr>
        <w:br/>
      </w:r>
      <w:r w:rsidR="001C7534" w:rsidRPr="001C7534">
        <w:rPr>
          <w:rFonts w:ascii="TimesNewRomanPSMT" w:hAnsi="TimesNewRomanPSMT" w:cs="TimesNewRomanPSMT"/>
          <w:sz w:val="28"/>
          <w:szCs w:val="28"/>
        </w:rPr>
        <w:t xml:space="preserve">приемо-складские операции и хранение грузов </w:t>
      </w:r>
      <w:r w:rsidR="001C7534">
        <w:rPr>
          <w:rFonts w:ascii="TimesNewRomanPSMT" w:hAnsi="TimesNewRomanPSMT" w:cs="TimesNewRomanPSMT"/>
          <w:sz w:val="28"/>
          <w:szCs w:val="28"/>
        </w:rPr>
        <w:t xml:space="preserve">северного завоза </w:t>
      </w:r>
      <w:r w:rsidR="001C7534" w:rsidRPr="001C7534">
        <w:rPr>
          <w:rFonts w:ascii="TimesNewRomanPSMT" w:hAnsi="TimesNewRomanPSMT" w:cs="TimesNewRomanPSMT"/>
          <w:sz w:val="28"/>
          <w:szCs w:val="28"/>
        </w:rPr>
        <w:t>первой категории</w:t>
      </w:r>
      <w:r w:rsidR="001C7534">
        <w:rPr>
          <w:rFonts w:ascii="TimesNewRomanPSMT" w:hAnsi="TimesNewRomanPSMT" w:cs="TimesNewRomanPSMT"/>
          <w:sz w:val="28"/>
          <w:szCs w:val="28"/>
        </w:rPr>
        <w:t>, согласно приложению к настоящему постановлению</w:t>
      </w:r>
      <w:r w:rsidR="0079552A">
        <w:rPr>
          <w:rFonts w:ascii="TimesNewRomanPSMT" w:hAnsi="TimesNewRomanPSMT" w:cs="TimesNewRomanPSMT"/>
          <w:sz w:val="28"/>
          <w:szCs w:val="28"/>
        </w:rPr>
        <w:t>.</w:t>
      </w:r>
    </w:p>
    <w:p w:rsidR="0079552A" w:rsidRPr="0079552A" w:rsidRDefault="0079552A" w:rsidP="001C7534">
      <w:pPr>
        <w:pStyle w:val="a5"/>
        <w:numPr>
          <w:ilvl w:val="0"/>
          <w:numId w:val="1"/>
        </w:numPr>
        <w:tabs>
          <w:tab w:val="left" w:pos="993"/>
          <w:tab w:val="left" w:pos="1134"/>
        </w:tabs>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79552A">
        <w:rPr>
          <w:rFonts w:ascii="TimesNewRomanPSMT" w:hAnsi="TimesNewRomanPSMT" w:cs="TimesNewRomanPSMT"/>
          <w:sz w:val="28"/>
          <w:szCs w:val="28"/>
        </w:rPr>
        <w:t>Опубликовать настоящее постановление в официальных средствах массовой информации.</w:t>
      </w:r>
    </w:p>
    <w:p w:rsidR="0079552A" w:rsidRDefault="0079552A" w:rsidP="0079552A">
      <w:pPr>
        <w:pStyle w:val="a5"/>
        <w:tabs>
          <w:tab w:val="left" w:pos="993"/>
          <w:tab w:val="left" w:pos="1134"/>
        </w:tabs>
        <w:autoSpaceDE w:val="0"/>
        <w:autoSpaceDN w:val="0"/>
        <w:adjustRightInd w:val="0"/>
        <w:spacing w:after="0"/>
        <w:ind w:left="709"/>
        <w:jc w:val="both"/>
        <w:rPr>
          <w:rFonts w:ascii="TimesNewRomanPSMT" w:hAnsi="TimesNewRomanPSMT" w:cs="TimesNewRomanPSMT"/>
          <w:sz w:val="28"/>
          <w:szCs w:val="28"/>
        </w:rPr>
      </w:pPr>
    </w:p>
    <w:p w:rsidR="0079552A" w:rsidRDefault="0079552A" w:rsidP="0079552A">
      <w:pPr>
        <w:pStyle w:val="a5"/>
        <w:tabs>
          <w:tab w:val="left" w:pos="993"/>
          <w:tab w:val="left" w:pos="1134"/>
        </w:tabs>
        <w:autoSpaceDE w:val="0"/>
        <w:autoSpaceDN w:val="0"/>
        <w:adjustRightInd w:val="0"/>
        <w:spacing w:after="0"/>
        <w:ind w:left="709"/>
        <w:jc w:val="both"/>
        <w:rPr>
          <w:rFonts w:ascii="TimesNewRomanPSMT" w:hAnsi="TimesNewRomanPSMT" w:cs="TimesNewRomanPSMT"/>
          <w:sz w:val="28"/>
          <w:szCs w:val="28"/>
        </w:rPr>
      </w:pPr>
    </w:p>
    <w:p w:rsidR="00FF0844" w:rsidRPr="004476FB" w:rsidRDefault="0079552A" w:rsidP="0079552A">
      <w:pPr>
        <w:pStyle w:val="a5"/>
        <w:tabs>
          <w:tab w:val="left" w:pos="993"/>
          <w:tab w:val="left" w:pos="1134"/>
        </w:tabs>
        <w:autoSpaceDE w:val="0"/>
        <w:autoSpaceDN w:val="0"/>
        <w:adjustRightInd w:val="0"/>
        <w:spacing w:after="0"/>
        <w:ind w:left="709"/>
        <w:jc w:val="both"/>
        <w:rPr>
          <w:rFonts w:ascii="Times New Roman" w:eastAsia="Times New Roman" w:hAnsi="Times New Roman" w:cs="Times New Roman"/>
          <w:sz w:val="28"/>
          <w:szCs w:val="28"/>
          <w:lang w:eastAsia="ru-RU"/>
        </w:rPr>
      </w:pPr>
      <w:r w:rsidRPr="004476FB">
        <w:rPr>
          <w:rFonts w:ascii="Times New Roman" w:eastAsia="Times New Roman" w:hAnsi="Times New Roman" w:cs="Times New Roman"/>
          <w:sz w:val="28"/>
          <w:szCs w:val="28"/>
          <w:lang w:eastAsia="ru-RU"/>
        </w:rPr>
        <w:t xml:space="preserve"> </w:t>
      </w:r>
    </w:p>
    <w:p w:rsidR="00A4170E" w:rsidRPr="004476FB" w:rsidRDefault="00A4170E" w:rsidP="00340E00">
      <w:pPr>
        <w:autoSpaceDE w:val="0"/>
        <w:autoSpaceDN w:val="0"/>
        <w:adjustRightInd w:val="0"/>
        <w:spacing w:after="0"/>
        <w:jc w:val="both"/>
        <w:rPr>
          <w:rFonts w:ascii="Times New Roman" w:eastAsia="Times New Roman" w:hAnsi="Times New Roman" w:cs="Times New Roman"/>
          <w:sz w:val="26"/>
          <w:szCs w:val="28"/>
          <w:lang w:eastAsia="ru-RU"/>
        </w:rPr>
      </w:pPr>
      <w:r w:rsidRPr="004476FB">
        <w:rPr>
          <w:rFonts w:ascii="Times New Roman" w:eastAsia="Times New Roman" w:hAnsi="Times New Roman" w:cs="Times New Roman"/>
          <w:sz w:val="28"/>
          <w:szCs w:val="28"/>
          <w:lang w:eastAsia="ru-RU"/>
        </w:rPr>
        <w:t>Председател</w:t>
      </w:r>
      <w:r w:rsidR="00D82B0B" w:rsidRPr="004476FB">
        <w:rPr>
          <w:rFonts w:ascii="Times New Roman" w:eastAsia="Times New Roman" w:hAnsi="Times New Roman" w:cs="Times New Roman"/>
          <w:sz w:val="28"/>
          <w:szCs w:val="28"/>
          <w:lang w:eastAsia="ru-RU"/>
        </w:rPr>
        <w:t>ь</w:t>
      </w:r>
      <w:r w:rsidRPr="004476FB">
        <w:rPr>
          <w:rFonts w:ascii="Times New Roman" w:eastAsia="Times New Roman" w:hAnsi="Times New Roman" w:cs="Times New Roman"/>
          <w:sz w:val="28"/>
          <w:szCs w:val="28"/>
          <w:lang w:eastAsia="ru-RU"/>
        </w:rPr>
        <w:t xml:space="preserve"> Правительства</w:t>
      </w:r>
    </w:p>
    <w:p w:rsidR="001C7534" w:rsidRDefault="001C7534" w:rsidP="001C7534">
      <w:pPr>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4170E" w:rsidRPr="004476FB">
        <w:rPr>
          <w:rFonts w:ascii="Times New Roman" w:eastAsia="Times New Roman" w:hAnsi="Times New Roman" w:cs="Times New Roman"/>
          <w:sz w:val="28"/>
          <w:szCs w:val="28"/>
          <w:lang w:eastAsia="ru-RU"/>
        </w:rPr>
        <w:t xml:space="preserve">Республики Саха (Якутия) </w:t>
      </w:r>
      <w:r w:rsidR="00A4170E" w:rsidRPr="004476FB">
        <w:rPr>
          <w:rFonts w:ascii="Times New Roman" w:eastAsia="Times New Roman" w:hAnsi="Times New Roman" w:cs="Times New Roman"/>
          <w:sz w:val="28"/>
          <w:szCs w:val="28"/>
          <w:lang w:eastAsia="ru-RU"/>
        </w:rPr>
        <w:tab/>
      </w:r>
      <w:r w:rsidR="00A4170E" w:rsidRPr="004476FB">
        <w:rPr>
          <w:rFonts w:ascii="Times New Roman" w:eastAsia="Times New Roman" w:hAnsi="Times New Roman" w:cs="Times New Roman"/>
          <w:sz w:val="28"/>
          <w:szCs w:val="28"/>
          <w:lang w:eastAsia="ru-RU"/>
        </w:rPr>
        <w:tab/>
      </w:r>
      <w:r w:rsidR="00A4170E" w:rsidRPr="004476FB">
        <w:rPr>
          <w:rFonts w:ascii="Times New Roman" w:eastAsia="Times New Roman" w:hAnsi="Times New Roman" w:cs="Times New Roman"/>
          <w:sz w:val="28"/>
          <w:szCs w:val="28"/>
          <w:lang w:eastAsia="ru-RU"/>
        </w:rPr>
        <w:tab/>
        <w:t xml:space="preserve">   </w:t>
      </w:r>
      <w:r w:rsidR="00532684" w:rsidRPr="004476FB">
        <w:rPr>
          <w:rFonts w:ascii="Times New Roman" w:eastAsia="Times New Roman" w:hAnsi="Times New Roman" w:cs="Times New Roman"/>
          <w:sz w:val="28"/>
          <w:szCs w:val="28"/>
          <w:lang w:eastAsia="ru-RU"/>
        </w:rPr>
        <w:t xml:space="preserve">                   </w:t>
      </w:r>
      <w:r w:rsidR="00B61DE0" w:rsidRPr="004476FB">
        <w:rPr>
          <w:rFonts w:ascii="Times New Roman" w:eastAsia="Times New Roman" w:hAnsi="Times New Roman" w:cs="Times New Roman"/>
          <w:sz w:val="28"/>
          <w:szCs w:val="28"/>
          <w:lang w:eastAsia="ru-RU"/>
        </w:rPr>
        <w:t xml:space="preserve">  </w:t>
      </w:r>
      <w:r w:rsidR="00A4170E" w:rsidRPr="004476FB">
        <w:rPr>
          <w:rFonts w:ascii="Times New Roman" w:eastAsia="Times New Roman" w:hAnsi="Times New Roman" w:cs="Times New Roman"/>
          <w:sz w:val="28"/>
          <w:szCs w:val="28"/>
          <w:lang w:eastAsia="ru-RU"/>
        </w:rPr>
        <w:t xml:space="preserve">  </w:t>
      </w:r>
      <w:r w:rsidR="00003B96" w:rsidRPr="004476FB">
        <w:rPr>
          <w:rFonts w:ascii="Times New Roman" w:eastAsia="Times New Roman" w:hAnsi="Times New Roman" w:cs="Times New Roman"/>
          <w:sz w:val="28"/>
          <w:szCs w:val="28"/>
          <w:lang w:eastAsia="ru-RU"/>
        </w:rPr>
        <w:t xml:space="preserve">      </w:t>
      </w:r>
      <w:r w:rsidR="0079552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БЫЧКОВ</w:t>
      </w:r>
    </w:p>
    <w:p w:rsidR="00655FA3" w:rsidRDefault="00655FA3" w:rsidP="001C7534">
      <w:pPr>
        <w:autoSpaceDE w:val="0"/>
        <w:autoSpaceDN w:val="0"/>
        <w:adjustRightInd w:val="0"/>
        <w:spacing w:after="0"/>
        <w:jc w:val="both"/>
        <w:rPr>
          <w:rFonts w:ascii="Times New Roman" w:eastAsia="Times New Roman" w:hAnsi="Times New Roman" w:cs="Times New Roman"/>
          <w:sz w:val="28"/>
          <w:szCs w:val="28"/>
          <w:lang w:eastAsia="ru-RU"/>
        </w:rPr>
      </w:pPr>
    </w:p>
    <w:p w:rsidR="00655FA3" w:rsidRDefault="00655FA3" w:rsidP="001C7534">
      <w:pPr>
        <w:autoSpaceDE w:val="0"/>
        <w:autoSpaceDN w:val="0"/>
        <w:adjustRightInd w:val="0"/>
        <w:spacing w:after="0"/>
        <w:jc w:val="both"/>
        <w:rPr>
          <w:rFonts w:ascii="Times New Roman" w:eastAsia="Times New Roman" w:hAnsi="Times New Roman" w:cs="Times New Roman"/>
          <w:sz w:val="28"/>
          <w:szCs w:val="28"/>
          <w:lang w:eastAsia="ru-RU"/>
        </w:rPr>
        <w:sectPr w:rsidR="00655FA3" w:rsidSect="0079552A">
          <w:headerReference w:type="even" r:id="rId8"/>
          <w:pgSz w:w="11906" w:h="16838"/>
          <w:pgMar w:top="1134" w:right="851" w:bottom="1134" w:left="1701" w:header="567" w:footer="709" w:gutter="0"/>
          <w:cols w:space="708"/>
          <w:titlePg/>
          <w:docGrid w:linePitch="360"/>
        </w:sectPr>
      </w:pPr>
    </w:p>
    <w:p w:rsidR="001C7534" w:rsidRPr="001C7534" w:rsidRDefault="001C7534" w:rsidP="001C7534">
      <w:pPr>
        <w:spacing w:after="0"/>
        <w:jc w:val="right"/>
        <w:rPr>
          <w:rFonts w:ascii="Times New Roman" w:eastAsia="Calibri" w:hAnsi="Times New Roman" w:cs="Times New Roman"/>
          <w:sz w:val="24"/>
        </w:rPr>
      </w:pPr>
      <w:r w:rsidRPr="001C7534">
        <w:rPr>
          <w:rFonts w:ascii="Times New Roman" w:eastAsia="Calibri" w:hAnsi="Times New Roman" w:cs="Times New Roman"/>
          <w:sz w:val="24"/>
        </w:rPr>
        <w:lastRenderedPageBreak/>
        <w:t>ПРОЕКТ</w:t>
      </w:r>
    </w:p>
    <w:p w:rsidR="001C7534" w:rsidRPr="001C7534" w:rsidRDefault="001C7534" w:rsidP="001C7534">
      <w:pPr>
        <w:spacing w:after="0"/>
        <w:jc w:val="center"/>
        <w:rPr>
          <w:rFonts w:ascii="Times New Roman" w:eastAsia="Calibri" w:hAnsi="Times New Roman" w:cs="Times New Roman"/>
          <w:b/>
          <w:sz w:val="28"/>
        </w:rPr>
      </w:pPr>
    </w:p>
    <w:p w:rsidR="001C7534" w:rsidRPr="001C7534" w:rsidRDefault="001C7534" w:rsidP="001C7534">
      <w:pPr>
        <w:spacing w:after="0"/>
        <w:jc w:val="center"/>
        <w:rPr>
          <w:rFonts w:ascii="Times New Roman" w:eastAsia="Calibri" w:hAnsi="Times New Roman" w:cs="Times New Roman"/>
          <w:b/>
          <w:sz w:val="28"/>
        </w:rPr>
      </w:pPr>
      <w:r w:rsidRPr="001C7534">
        <w:rPr>
          <w:rFonts w:ascii="Times New Roman" w:eastAsia="Calibri" w:hAnsi="Times New Roman" w:cs="Times New Roman"/>
          <w:b/>
          <w:sz w:val="28"/>
        </w:rPr>
        <w:t>МЕТОДИКА РАСЧЕТА ПРЕДЕЛЬНЫХ ТАРИФОВ НА ПРИЕМО-СКЛАДСКИЕ ОПЕРАЦИИ И ХРАНЕНИЕ ГРУЗОВ</w:t>
      </w:r>
      <w:r>
        <w:rPr>
          <w:rFonts w:ascii="Times New Roman" w:eastAsia="Calibri" w:hAnsi="Times New Roman" w:cs="Times New Roman"/>
          <w:b/>
          <w:sz w:val="28"/>
        </w:rPr>
        <w:t xml:space="preserve"> СЕВЕРНОГО ЗАВОЗА</w:t>
      </w:r>
      <w:r w:rsidRPr="001C7534">
        <w:rPr>
          <w:rFonts w:ascii="Times New Roman" w:eastAsia="Calibri" w:hAnsi="Times New Roman" w:cs="Times New Roman"/>
          <w:b/>
          <w:sz w:val="28"/>
        </w:rPr>
        <w:t xml:space="preserve"> ПЕРВОЙ КАТЕГОРИИ</w:t>
      </w:r>
    </w:p>
    <w:p w:rsidR="001C7534" w:rsidRPr="001C7534" w:rsidRDefault="001C7534" w:rsidP="001C7534">
      <w:pPr>
        <w:spacing w:after="0"/>
        <w:jc w:val="center"/>
        <w:rPr>
          <w:rFonts w:ascii="Times New Roman" w:eastAsia="Calibri" w:hAnsi="Times New Roman" w:cs="Times New Roman"/>
          <w:sz w:val="28"/>
        </w:rPr>
      </w:pPr>
    </w:p>
    <w:p w:rsidR="001C7534" w:rsidRPr="001C7534" w:rsidRDefault="001C7534" w:rsidP="001C7534">
      <w:pPr>
        <w:numPr>
          <w:ilvl w:val="0"/>
          <w:numId w:val="2"/>
        </w:numPr>
        <w:spacing w:after="0" w:line="240" w:lineRule="auto"/>
        <w:ind w:left="0"/>
        <w:contextualSpacing/>
        <w:jc w:val="center"/>
        <w:rPr>
          <w:rFonts w:ascii="Times New Roman" w:eastAsia="Calibri" w:hAnsi="Times New Roman" w:cs="Times New Roman"/>
          <w:sz w:val="28"/>
        </w:rPr>
      </w:pPr>
      <w:r w:rsidRPr="001C7534">
        <w:rPr>
          <w:rFonts w:ascii="Times New Roman" w:eastAsia="Calibri" w:hAnsi="Times New Roman" w:cs="Times New Roman"/>
          <w:sz w:val="28"/>
        </w:rPr>
        <w:t>ОБЩИЕ ПОЛОЖЕНИЯ</w:t>
      </w:r>
    </w:p>
    <w:p w:rsidR="001C7534" w:rsidRPr="001C7534" w:rsidRDefault="001C7534" w:rsidP="001C7534">
      <w:pPr>
        <w:spacing w:after="0"/>
        <w:rPr>
          <w:rFonts w:ascii="Times New Roman" w:eastAsia="Calibri" w:hAnsi="Times New Roman" w:cs="Times New Roman"/>
          <w:sz w:val="28"/>
        </w:rPr>
      </w:pP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Настоящая Методика расчета предельных тарифов на</w:t>
      </w:r>
      <w:r w:rsidR="007366C9">
        <w:rPr>
          <w:rFonts w:ascii="Times New Roman" w:eastAsia="Calibri" w:hAnsi="Times New Roman" w:cs="Times New Roman"/>
          <w:sz w:val="28"/>
        </w:rPr>
        <w:br/>
      </w:r>
      <w:r w:rsidRPr="001C7534">
        <w:rPr>
          <w:rFonts w:ascii="Times New Roman" w:eastAsia="Calibri" w:hAnsi="Times New Roman" w:cs="Times New Roman"/>
          <w:sz w:val="28"/>
        </w:rPr>
        <w:t>приемо-складские операции и хранение грузов</w:t>
      </w:r>
      <w:r w:rsidR="00AE03E5" w:rsidRPr="007366C9">
        <w:rPr>
          <w:rFonts w:ascii="Times New Roman" w:eastAsia="Calibri" w:hAnsi="Times New Roman" w:cs="Times New Roman"/>
          <w:sz w:val="28"/>
        </w:rPr>
        <w:t xml:space="preserve"> северного завоза</w:t>
      </w:r>
      <w:r w:rsidRPr="001C7534">
        <w:rPr>
          <w:rFonts w:ascii="Times New Roman" w:eastAsia="Calibri" w:hAnsi="Times New Roman" w:cs="Times New Roman"/>
          <w:sz w:val="28"/>
        </w:rPr>
        <w:t xml:space="preserve"> первой категории (далее – Методика) разработана в целях реализации Федерального закона от</w:t>
      </w:r>
      <w:r w:rsidR="007366C9">
        <w:rPr>
          <w:rFonts w:ascii="Times New Roman" w:eastAsia="Calibri" w:hAnsi="Times New Roman" w:cs="Times New Roman"/>
          <w:sz w:val="28"/>
        </w:rPr>
        <w:t xml:space="preserve"> </w:t>
      </w:r>
      <w:r w:rsidR="00AE03E5" w:rsidRPr="007366C9">
        <w:rPr>
          <w:rFonts w:ascii="Times New Roman" w:eastAsia="Calibri" w:hAnsi="Times New Roman" w:cs="Times New Roman"/>
          <w:sz w:val="28"/>
        </w:rPr>
        <w:t>0</w:t>
      </w:r>
      <w:r w:rsidRPr="001C7534">
        <w:rPr>
          <w:rFonts w:ascii="Times New Roman" w:eastAsia="Calibri" w:hAnsi="Times New Roman" w:cs="Times New Roman"/>
          <w:sz w:val="28"/>
        </w:rPr>
        <w:t>4 августа 2023 г. № 411-ФЗ «О северном завозе», Правил установления снабженческо-сбытовых и торговых надбавок к ценам на продукцию (товары), реализуемую на территориях северного завоза, предельных значений розничных и оптовых цен на грузы первой категории и продукцию (товары), изготавливаемую с их применением, тарифов на перевозку и хранение грузов первой категории, погрузо-разгрузочные работы и приемо-складские операции в отношении грузов первой категории, утвержденных постановлением Правительства Российской Федерации от 05 февраля 2024 г.</w:t>
      </w:r>
      <w:r w:rsidR="005F02F7" w:rsidRPr="007366C9">
        <w:rPr>
          <w:rFonts w:ascii="Times New Roman" w:eastAsia="Calibri" w:hAnsi="Times New Roman" w:cs="Times New Roman"/>
          <w:sz w:val="28"/>
        </w:rPr>
        <w:t xml:space="preserve"> </w:t>
      </w:r>
      <w:r w:rsidRPr="001C7534">
        <w:rPr>
          <w:rFonts w:ascii="Times New Roman" w:eastAsia="Calibri" w:hAnsi="Times New Roman" w:cs="Times New Roman"/>
          <w:sz w:val="28"/>
        </w:rPr>
        <w:t>№ 118</w:t>
      </w:r>
      <w:r w:rsidR="00F96FEC">
        <w:rPr>
          <w:rFonts w:ascii="Times New Roman" w:eastAsia="Calibri" w:hAnsi="Times New Roman" w:cs="Times New Roman"/>
          <w:sz w:val="28"/>
        </w:rPr>
        <w:t xml:space="preserve"> (далее – Правила)</w:t>
      </w:r>
      <w:r w:rsidRPr="001C7534">
        <w:rPr>
          <w:rFonts w:ascii="Times New Roman" w:eastAsia="Calibri" w:hAnsi="Times New Roman" w:cs="Times New Roman"/>
          <w:sz w:val="28"/>
        </w:rPr>
        <w:t xml:space="preserve">, и определяет единый </w:t>
      </w:r>
      <w:r w:rsidR="007366C9">
        <w:rPr>
          <w:rFonts w:ascii="Times New Roman" w:eastAsia="Calibri" w:hAnsi="Times New Roman" w:cs="Times New Roman"/>
          <w:sz w:val="28"/>
        </w:rPr>
        <w:t>механизм</w:t>
      </w:r>
      <w:r w:rsidRPr="001C7534">
        <w:rPr>
          <w:rFonts w:ascii="Times New Roman" w:eastAsia="Calibri" w:hAnsi="Times New Roman" w:cs="Times New Roman"/>
          <w:sz w:val="28"/>
        </w:rPr>
        <w:t xml:space="preserve"> формирования предельных тарифов на приемо-складские операции и хранение </w:t>
      </w:r>
      <w:r w:rsidR="005F02F7" w:rsidRPr="007366C9">
        <w:rPr>
          <w:rFonts w:ascii="Times New Roman" w:eastAsia="Calibri" w:hAnsi="Times New Roman" w:cs="Times New Roman"/>
          <w:sz w:val="28"/>
        </w:rPr>
        <w:t>грузов северного завоза первой категории</w:t>
      </w:r>
      <w:r w:rsidRPr="001C7534">
        <w:rPr>
          <w:rFonts w:ascii="Times New Roman" w:eastAsia="Calibri" w:hAnsi="Times New Roman" w:cs="Times New Roman"/>
          <w:sz w:val="28"/>
        </w:rPr>
        <w:t xml:space="preserve"> (далее – ПСО и хранение), осуществляемые субъектами регулирования.</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Основными целями введения настоящих Методических рекомендаций являются:</w:t>
      </w:r>
    </w:p>
    <w:p w:rsidR="001C7534" w:rsidRPr="001C7534" w:rsidRDefault="001C7534" w:rsidP="00F96FEC">
      <w:pPr>
        <w:numPr>
          <w:ilvl w:val="0"/>
          <w:numId w:val="4"/>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установление единого механизма формирования затрат при расчете предельных тарифов на ПСО и хранение;</w:t>
      </w:r>
    </w:p>
    <w:p w:rsidR="001C7534" w:rsidRPr="001C7534" w:rsidRDefault="001C7534" w:rsidP="00F96FEC">
      <w:pPr>
        <w:numPr>
          <w:ilvl w:val="0"/>
          <w:numId w:val="4"/>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достижение баланса экономических интересов субъектов регулирования и потребителей их услуг.</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Основные понятия, используемые в настоящих Методических рекомендациях:</w:t>
      </w:r>
    </w:p>
    <w:p w:rsidR="001C7534" w:rsidRPr="001C7534"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нефтепродукты – грузы </w:t>
      </w:r>
      <w:r w:rsidR="007366C9">
        <w:rPr>
          <w:rFonts w:ascii="Times New Roman" w:eastAsia="Calibri" w:hAnsi="Times New Roman" w:cs="Times New Roman"/>
          <w:sz w:val="28"/>
        </w:rPr>
        <w:t xml:space="preserve">северного завоза </w:t>
      </w:r>
      <w:r w:rsidRPr="001C7534">
        <w:rPr>
          <w:rFonts w:ascii="Times New Roman" w:eastAsia="Calibri" w:hAnsi="Times New Roman" w:cs="Times New Roman"/>
          <w:sz w:val="28"/>
        </w:rPr>
        <w:t xml:space="preserve">первой категории, указанные в </w:t>
      </w:r>
      <w:r w:rsidR="007366C9">
        <w:rPr>
          <w:rFonts w:ascii="Times New Roman" w:eastAsia="Calibri" w:hAnsi="Times New Roman" w:cs="Times New Roman"/>
          <w:sz w:val="28"/>
        </w:rPr>
        <w:t>пункте 1</w:t>
      </w:r>
      <w:r w:rsidRPr="001C7534">
        <w:rPr>
          <w:rFonts w:ascii="Times New Roman" w:eastAsia="Calibri" w:hAnsi="Times New Roman" w:cs="Times New Roman"/>
          <w:sz w:val="28"/>
        </w:rPr>
        <w:t xml:space="preserve"> </w:t>
      </w:r>
      <w:r w:rsidR="007366C9">
        <w:rPr>
          <w:rFonts w:ascii="Times New Roman" w:eastAsia="Calibri" w:hAnsi="Times New Roman" w:cs="Times New Roman"/>
          <w:sz w:val="28"/>
        </w:rPr>
        <w:t>настоящего постановления;</w:t>
      </w:r>
    </w:p>
    <w:p w:rsidR="001C7534" w:rsidRPr="001C7534"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приемо-складские операции - комплекс мероприятий, включающих в себя прием, перемещение, размещение и отпуск нефтепродуктов на специализированных объектах, а также их обработку и подготовку к дальнейшей отгрузке;</w:t>
      </w:r>
    </w:p>
    <w:p w:rsidR="001C7534" w:rsidRPr="001C7534" w:rsidRDefault="001C7534" w:rsidP="00F96FEC">
      <w:pPr>
        <w:numPr>
          <w:ilvl w:val="0"/>
          <w:numId w:val="5"/>
        </w:numPr>
        <w:tabs>
          <w:tab w:val="left" w:pos="1134"/>
        </w:tabs>
        <w:spacing w:after="16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lastRenderedPageBreak/>
        <w:t>хранение - процесс временного размещения нефтепродуктов на нефтехранилищах, соответствующим требованиям и правилам хранения нефтепродуктов;</w:t>
      </w:r>
    </w:p>
    <w:p w:rsidR="001C7534" w:rsidRPr="001C7534"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субъект регулирования – хозяйствующие субъекты, оказывающие услуги </w:t>
      </w:r>
      <w:r w:rsidR="007366C9">
        <w:rPr>
          <w:rFonts w:ascii="Times New Roman" w:eastAsia="Calibri" w:hAnsi="Times New Roman" w:cs="Times New Roman"/>
          <w:sz w:val="28"/>
        </w:rPr>
        <w:t>приемо-складских операций и хранения</w:t>
      </w:r>
      <w:r w:rsidRPr="001C7534">
        <w:rPr>
          <w:rFonts w:ascii="Times New Roman" w:eastAsia="Calibri" w:hAnsi="Times New Roman" w:cs="Times New Roman"/>
          <w:sz w:val="28"/>
        </w:rPr>
        <w:t xml:space="preserve"> </w:t>
      </w:r>
      <w:r w:rsidR="007366C9">
        <w:rPr>
          <w:rFonts w:ascii="Times New Roman" w:eastAsia="Calibri" w:hAnsi="Times New Roman" w:cs="Times New Roman"/>
          <w:sz w:val="28"/>
        </w:rPr>
        <w:t>на территориях</w:t>
      </w:r>
      <w:r w:rsidR="007366C9" w:rsidRPr="001C7534">
        <w:rPr>
          <w:rFonts w:ascii="Times New Roman" w:eastAsia="Calibri" w:hAnsi="Times New Roman" w:cs="Times New Roman"/>
          <w:sz w:val="28"/>
        </w:rPr>
        <w:t xml:space="preserve"> северного завоза</w:t>
      </w:r>
      <w:r w:rsidRPr="001C7534">
        <w:rPr>
          <w:rFonts w:ascii="Times New Roman" w:eastAsia="Calibri" w:hAnsi="Times New Roman" w:cs="Times New Roman"/>
          <w:sz w:val="28"/>
        </w:rPr>
        <w:t>;</w:t>
      </w:r>
    </w:p>
    <w:p w:rsidR="001C7534" w:rsidRPr="001C7534"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регулируемый вид деятельности – деятельность субъектов регулирования по оказанию услуг </w:t>
      </w:r>
      <w:r w:rsidR="007366C9">
        <w:rPr>
          <w:rFonts w:ascii="Times New Roman" w:eastAsia="Calibri" w:hAnsi="Times New Roman" w:cs="Times New Roman"/>
          <w:sz w:val="28"/>
        </w:rPr>
        <w:t>приемо-складских операций и хранения</w:t>
      </w:r>
      <w:r w:rsidR="007366C9" w:rsidRPr="001C7534">
        <w:rPr>
          <w:rFonts w:ascii="Times New Roman" w:eastAsia="Calibri" w:hAnsi="Times New Roman" w:cs="Times New Roman"/>
          <w:sz w:val="28"/>
        </w:rPr>
        <w:t xml:space="preserve"> </w:t>
      </w:r>
      <w:r w:rsidR="007366C9">
        <w:rPr>
          <w:rFonts w:ascii="Times New Roman" w:eastAsia="Calibri" w:hAnsi="Times New Roman" w:cs="Times New Roman"/>
          <w:sz w:val="28"/>
        </w:rPr>
        <w:t>на территориях</w:t>
      </w:r>
      <w:r w:rsidRPr="001C7534">
        <w:rPr>
          <w:rFonts w:ascii="Times New Roman" w:eastAsia="Calibri" w:hAnsi="Times New Roman" w:cs="Times New Roman"/>
          <w:sz w:val="28"/>
        </w:rPr>
        <w:t xml:space="preserve"> северного завоза;</w:t>
      </w:r>
    </w:p>
    <w:p w:rsidR="001C7534" w:rsidRPr="001C7534"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необходимая валовая выручка (далее – НВВ) субъекта регулирования – экономически обоснованный объем финансовых средств, необходимых субъект</w:t>
      </w:r>
      <w:r w:rsidR="007366C9">
        <w:rPr>
          <w:rFonts w:ascii="Times New Roman" w:eastAsia="Calibri" w:hAnsi="Times New Roman" w:cs="Times New Roman"/>
          <w:sz w:val="28"/>
        </w:rPr>
        <w:t>у</w:t>
      </w:r>
      <w:r w:rsidRPr="001C7534">
        <w:rPr>
          <w:rFonts w:ascii="Times New Roman" w:eastAsia="Calibri" w:hAnsi="Times New Roman" w:cs="Times New Roman"/>
          <w:sz w:val="28"/>
        </w:rPr>
        <w:t xml:space="preserve"> регулирования для полного возмещения </w:t>
      </w:r>
      <w:r w:rsidR="007366C9">
        <w:rPr>
          <w:rFonts w:ascii="Times New Roman" w:eastAsia="Calibri" w:hAnsi="Times New Roman" w:cs="Times New Roman"/>
          <w:sz w:val="28"/>
        </w:rPr>
        <w:t xml:space="preserve">в периоде регулирования </w:t>
      </w:r>
      <w:r w:rsidRPr="001C7534">
        <w:rPr>
          <w:rFonts w:ascii="Times New Roman" w:eastAsia="Calibri" w:hAnsi="Times New Roman" w:cs="Times New Roman"/>
          <w:sz w:val="28"/>
        </w:rPr>
        <w:t xml:space="preserve">затрат при оказании услуг </w:t>
      </w:r>
      <w:r w:rsidR="007366C9">
        <w:rPr>
          <w:rFonts w:ascii="Times New Roman" w:eastAsia="Calibri" w:hAnsi="Times New Roman" w:cs="Times New Roman"/>
          <w:sz w:val="28"/>
        </w:rPr>
        <w:t>приемо-складских операций и хранения</w:t>
      </w:r>
      <w:r w:rsidRPr="001C7534">
        <w:rPr>
          <w:rFonts w:ascii="Times New Roman" w:eastAsia="Calibri" w:hAnsi="Times New Roman" w:cs="Times New Roman"/>
          <w:sz w:val="28"/>
        </w:rPr>
        <w:t>, с учетом получения нормативной прибыли;</w:t>
      </w:r>
    </w:p>
    <w:p w:rsidR="001C7534" w:rsidRPr="00655FA3"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объем нефтепродуктов – плановое значение количества нефтепродуктов, определяемых в тоннах</w:t>
      </w:r>
      <w:r w:rsidR="007366C9">
        <w:rPr>
          <w:rFonts w:ascii="Times New Roman" w:eastAsia="Calibri" w:hAnsi="Times New Roman" w:cs="Times New Roman"/>
          <w:sz w:val="28"/>
        </w:rPr>
        <w:t>,</w:t>
      </w:r>
      <w:r w:rsidRPr="001C7534">
        <w:rPr>
          <w:rFonts w:ascii="Times New Roman" w:eastAsia="Calibri" w:hAnsi="Times New Roman" w:cs="Times New Roman"/>
          <w:sz w:val="28"/>
        </w:rPr>
        <w:t xml:space="preserve"> по оказанию услуг </w:t>
      </w:r>
      <w:r w:rsidR="007366C9">
        <w:rPr>
          <w:rFonts w:ascii="Times New Roman" w:eastAsia="Calibri" w:hAnsi="Times New Roman" w:cs="Times New Roman"/>
          <w:sz w:val="28"/>
        </w:rPr>
        <w:t xml:space="preserve">приемо-складских </w:t>
      </w:r>
      <w:r w:rsidR="007366C9" w:rsidRPr="00655FA3">
        <w:rPr>
          <w:rFonts w:ascii="Times New Roman" w:eastAsia="Calibri" w:hAnsi="Times New Roman" w:cs="Times New Roman"/>
          <w:sz w:val="28"/>
        </w:rPr>
        <w:t>операций и хранения,</w:t>
      </w:r>
      <w:r w:rsidRPr="00655FA3">
        <w:rPr>
          <w:rFonts w:ascii="Times New Roman" w:eastAsia="Calibri" w:hAnsi="Times New Roman" w:cs="Times New Roman"/>
          <w:sz w:val="28"/>
        </w:rPr>
        <w:t xml:space="preserve"> на период регулирования;</w:t>
      </w:r>
    </w:p>
    <w:p w:rsidR="001C7534" w:rsidRPr="00655FA3"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655FA3">
        <w:rPr>
          <w:rFonts w:ascii="Times New Roman" w:eastAsia="Calibri" w:hAnsi="Times New Roman" w:cs="Times New Roman"/>
          <w:sz w:val="28"/>
        </w:rPr>
        <w:t xml:space="preserve">предельный тариф – предельная величина экономически обоснованного размера стоимости услуг </w:t>
      </w:r>
      <w:r w:rsidR="007366C9" w:rsidRPr="00655FA3">
        <w:rPr>
          <w:rFonts w:ascii="Times New Roman" w:eastAsia="Calibri" w:hAnsi="Times New Roman" w:cs="Times New Roman"/>
          <w:sz w:val="28"/>
        </w:rPr>
        <w:t>приемо-складских операций и хранения;</w:t>
      </w:r>
    </w:p>
    <w:p w:rsidR="001C7534" w:rsidRPr="00655FA3"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655FA3">
        <w:rPr>
          <w:rFonts w:ascii="Times New Roman" w:eastAsia="Calibri" w:hAnsi="Times New Roman" w:cs="Times New Roman"/>
          <w:sz w:val="28"/>
        </w:rPr>
        <w:t xml:space="preserve">период регулирования – срок действия предельных тарифов на </w:t>
      </w:r>
      <w:r w:rsidR="007366C9" w:rsidRPr="00655FA3">
        <w:rPr>
          <w:rFonts w:ascii="Times New Roman" w:eastAsia="Calibri" w:hAnsi="Times New Roman" w:cs="Times New Roman"/>
          <w:sz w:val="28"/>
        </w:rPr>
        <w:t>услуги приемо-складских операций и хранения</w:t>
      </w:r>
      <w:r w:rsidR="002B6134" w:rsidRPr="00655FA3">
        <w:rPr>
          <w:rFonts w:ascii="Times New Roman" w:eastAsia="Calibri" w:hAnsi="Times New Roman" w:cs="Times New Roman"/>
          <w:sz w:val="28"/>
        </w:rPr>
        <w:t>;</w:t>
      </w:r>
    </w:p>
    <w:p w:rsidR="001C7534" w:rsidRPr="001C7534"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655FA3">
        <w:rPr>
          <w:rFonts w:ascii="Times New Roman" w:eastAsia="Calibri" w:hAnsi="Times New Roman" w:cs="Times New Roman"/>
          <w:sz w:val="28"/>
        </w:rPr>
        <w:t>ценовая зона – определенная Правительством</w:t>
      </w:r>
      <w:r w:rsidRPr="001C7534">
        <w:rPr>
          <w:rFonts w:ascii="Times New Roman" w:eastAsia="Calibri" w:hAnsi="Times New Roman" w:cs="Times New Roman"/>
          <w:sz w:val="28"/>
        </w:rPr>
        <w:t xml:space="preserve"> Республики Саха (Якутия) территория северного завоза, в пределах которой деятельность субъектов регулирования по оказанию услуг по ПСО и хранению нефтепродуктов осуществляется с применением установленных в соответствии с настоящими Методическими рекомендациями предельных тарифов;</w:t>
      </w:r>
    </w:p>
    <w:p w:rsidR="001C7534" w:rsidRPr="001C7534" w:rsidRDefault="001C7534" w:rsidP="00F96FEC">
      <w:pPr>
        <w:numPr>
          <w:ilvl w:val="0"/>
          <w:numId w:val="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орган регулирования – исполнительный орган государственной власти Республики Саха (Якутия), уполномоченный на осуществление расчетов предельных тарифов на ПСО и хранение, а также его подведомственное учреждение.</w:t>
      </w:r>
    </w:p>
    <w:p w:rsidR="001C7534" w:rsidRPr="001C7534" w:rsidRDefault="001C7534" w:rsidP="00F96FEC">
      <w:pPr>
        <w:tabs>
          <w:tab w:val="left" w:pos="1134"/>
        </w:tabs>
        <w:spacing w:after="0"/>
        <w:ind w:firstLine="567"/>
        <w:jc w:val="both"/>
        <w:rPr>
          <w:rFonts w:ascii="Times New Roman" w:eastAsia="Calibri" w:hAnsi="Times New Roman" w:cs="Times New Roman"/>
          <w:sz w:val="28"/>
        </w:rPr>
      </w:pPr>
    </w:p>
    <w:p w:rsidR="001C7534" w:rsidRPr="001C7534" w:rsidRDefault="001C7534" w:rsidP="00F96FEC">
      <w:pPr>
        <w:numPr>
          <w:ilvl w:val="0"/>
          <w:numId w:val="2"/>
        </w:numPr>
        <w:tabs>
          <w:tab w:val="left" w:pos="1134"/>
        </w:tabs>
        <w:spacing w:after="0"/>
        <w:ind w:left="0" w:firstLine="567"/>
        <w:contextualSpacing/>
        <w:jc w:val="center"/>
        <w:rPr>
          <w:rFonts w:ascii="Times New Roman" w:eastAsia="Calibri" w:hAnsi="Times New Roman" w:cs="Times New Roman"/>
          <w:sz w:val="28"/>
        </w:rPr>
      </w:pPr>
      <w:r w:rsidRPr="001C7534">
        <w:rPr>
          <w:rFonts w:ascii="Times New Roman" w:eastAsia="Calibri" w:hAnsi="Times New Roman" w:cs="Times New Roman"/>
          <w:sz w:val="28"/>
        </w:rPr>
        <w:t>ПРИНЦИПЫ ФОРМИРОВАНИЯ ПРЕДЕЛЬНЫХ ТАРИФОВ</w:t>
      </w:r>
    </w:p>
    <w:p w:rsidR="001C7534" w:rsidRPr="001C7534" w:rsidRDefault="001C7534" w:rsidP="00F96FEC">
      <w:pPr>
        <w:tabs>
          <w:tab w:val="left" w:pos="1134"/>
        </w:tabs>
        <w:spacing w:after="0"/>
        <w:ind w:firstLine="567"/>
        <w:jc w:val="center"/>
        <w:rPr>
          <w:rFonts w:ascii="Times New Roman" w:eastAsia="Calibri" w:hAnsi="Times New Roman" w:cs="Times New Roman"/>
          <w:sz w:val="28"/>
        </w:rPr>
      </w:pP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Предельные тарифы устанавливаются в соответствии с принципами регулирования, установленными настоящей Методикой и Правилами.</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Предельные тарифы дифференцируются по ценовым зонам, регулируемым видам деятельности, и их технологическим особенностям.</w:t>
      </w:r>
    </w:p>
    <w:p w:rsidR="00F96FEC"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lastRenderedPageBreak/>
        <w:t>Ценовые зоны определяются исходя из товарооборачиваемости на конкретных территориях Республики Саха (Я</w:t>
      </w:r>
      <w:r w:rsidR="00F96FEC">
        <w:rPr>
          <w:rFonts w:ascii="Times New Roman" w:eastAsia="Calibri" w:hAnsi="Times New Roman" w:cs="Times New Roman"/>
          <w:sz w:val="28"/>
        </w:rPr>
        <w:t>кутия).</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Ценовые зоны разделяются на следующие зоны:</w:t>
      </w:r>
    </w:p>
    <w:p w:rsidR="001C7534" w:rsidRPr="001C7534" w:rsidRDefault="001C7534" w:rsidP="00F96FEC">
      <w:pPr>
        <w:numPr>
          <w:ilvl w:val="0"/>
          <w:numId w:val="17"/>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1 зона, включающая в себя села Кутана, Угоян, Хатыстыр и Чагда Муниципального образования «Алданский улус (район)», поселки Беркакит, Золотинка, Нагорный, Серебряный Бор, Хани, Чульман, села Большой Хатыми и Иенгра, межселенные территории (не вошедшие в территорию городских и сельского поселений) Муниципального образования «Нерюнгринский улус (район)»;</w:t>
      </w:r>
    </w:p>
    <w:p w:rsidR="001C7534" w:rsidRPr="001C7534" w:rsidRDefault="001C7534" w:rsidP="00F96FEC">
      <w:pPr>
        <w:numPr>
          <w:ilvl w:val="0"/>
          <w:numId w:val="16"/>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2 зона, включающая в себя Муниципальное образование «Мегино-Кангаласский улус (район)», Городской округ «город Якутск», Муниципальное образование «Жиганский улус (район)», Муниципальное образование «Кобяйский улус (район)», Муниципальное образование «Ленский улус (район)», Муниципальное образование «Нюрбинский улус (район)», Муниципальное образование «Томпонский улус (район)», Муниципальное образование «Олекминский улус (район)», Муниципальное образование «Усть-Майский улус (район)»;</w:t>
      </w:r>
    </w:p>
    <w:p w:rsidR="001C7534" w:rsidRPr="001C7534" w:rsidRDefault="001C7534" w:rsidP="00F96FEC">
      <w:pPr>
        <w:numPr>
          <w:ilvl w:val="0"/>
          <w:numId w:val="16"/>
        </w:numPr>
        <w:tabs>
          <w:tab w:val="left" w:pos="1134"/>
        </w:tabs>
        <w:spacing w:after="0"/>
        <w:ind w:left="0" w:firstLine="567"/>
        <w:contextualSpacing/>
        <w:jc w:val="both"/>
        <w:rPr>
          <w:rFonts w:ascii="Times New Roman" w:eastAsia="Times New Roman" w:hAnsi="Times New Roman" w:cs="Times New Roman"/>
          <w:sz w:val="28"/>
        </w:rPr>
      </w:pPr>
      <w:r w:rsidRPr="001C7534">
        <w:rPr>
          <w:rFonts w:ascii="Times New Roman" w:eastAsia="Times New Roman" w:hAnsi="Times New Roman" w:cs="Times New Roman"/>
          <w:sz w:val="28"/>
        </w:rPr>
        <w:t xml:space="preserve">3 зона, включающая в себя </w:t>
      </w:r>
      <w:r w:rsidRPr="001C7534">
        <w:rPr>
          <w:rFonts w:ascii="Times New Roman" w:eastAsia="Calibri" w:hAnsi="Times New Roman" w:cs="Times New Roman"/>
          <w:sz w:val="28"/>
        </w:rPr>
        <w:t>Муниципальное образование «Абыйский улус (район)», Муниципальное образование «Аллаиховский улус (район)», Муниципальное образование «Верхнеколымский улус (район)», Муниципальное образование «Верхоянский улус (район)», Муниципальное образование «Нижнеколымский улус (район)», Муниципальное образование «Среднеколымский улус (район)», Муниципальное образование «Усть-Янский улус (район)», Муниципальное образование «Булунский улус (район)», Муниципальное образование «Анабарский улус (район)».</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Регулированию подлежат следующие виды тарифов:</w:t>
      </w:r>
    </w:p>
    <w:p w:rsidR="001C7534" w:rsidRPr="001C7534" w:rsidRDefault="001C7534" w:rsidP="00F96FEC">
      <w:pPr>
        <w:numPr>
          <w:ilvl w:val="0"/>
          <w:numId w:val="10"/>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предельный тариф на </w:t>
      </w:r>
      <w:r w:rsidR="00F96FEC">
        <w:rPr>
          <w:rFonts w:ascii="Times New Roman" w:eastAsia="Calibri" w:hAnsi="Times New Roman" w:cs="Times New Roman"/>
          <w:sz w:val="28"/>
        </w:rPr>
        <w:t>приемо-складские операции (далее – ПСО)</w:t>
      </w:r>
      <w:r w:rsidRPr="001C7534">
        <w:rPr>
          <w:rFonts w:ascii="Times New Roman" w:eastAsia="Calibri" w:hAnsi="Times New Roman" w:cs="Times New Roman"/>
          <w:sz w:val="28"/>
        </w:rPr>
        <w:t>;</w:t>
      </w:r>
    </w:p>
    <w:p w:rsidR="001C7534" w:rsidRPr="001C7534" w:rsidRDefault="001C7534" w:rsidP="00F96FEC">
      <w:pPr>
        <w:numPr>
          <w:ilvl w:val="0"/>
          <w:numId w:val="10"/>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предельный тариф на хранение.</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Основаниями для установления предельных тарифов являются:</w:t>
      </w:r>
    </w:p>
    <w:p w:rsidR="003B1523" w:rsidRPr="003B1523" w:rsidRDefault="003B1523" w:rsidP="003B1523">
      <w:pPr>
        <w:numPr>
          <w:ilvl w:val="0"/>
          <w:numId w:val="8"/>
        </w:numPr>
        <w:tabs>
          <w:tab w:val="left" w:pos="1134"/>
        </w:tabs>
        <w:spacing w:after="0"/>
        <w:ind w:left="0" w:firstLine="567"/>
        <w:contextualSpacing/>
        <w:jc w:val="both"/>
        <w:rPr>
          <w:rFonts w:ascii="Times New Roman" w:eastAsia="Calibri" w:hAnsi="Times New Roman" w:cs="Times New Roman"/>
          <w:sz w:val="28"/>
        </w:rPr>
      </w:pPr>
      <w:bookmarkStart w:id="0" w:name="_GoBack"/>
      <w:r w:rsidRPr="003B1523">
        <w:rPr>
          <w:rFonts w:ascii="Times New Roman" w:eastAsia="Calibri" w:hAnsi="Times New Roman" w:cs="Times New Roman"/>
          <w:sz w:val="28"/>
        </w:rPr>
        <w:t>заявле</w:t>
      </w:r>
      <w:bookmarkEnd w:id="0"/>
      <w:r w:rsidRPr="003B1523">
        <w:rPr>
          <w:rFonts w:ascii="Times New Roman" w:eastAsia="Calibri" w:hAnsi="Times New Roman" w:cs="Times New Roman"/>
          <w:sz w:val="28"/>
        </w:rPr>
        <w:t>ние от субъекта регулирования о расчете и внесении на утверждение в Правительство Республики Саха (Якутия) решения об установлении предельных тарифов на ПСО и хранение (далее – заявление об установлении предельных тарифов)</w:t>
      </w:r>
      <w:r>
        <w:rPr>
          <w:rFonts w:ascii="Times New Roman" w:eastAsia="Calibri" w:hAnsi="Times New Roman" w:cs="Times New Roman"/>
          <w:sz w:val="28"/>
        </w:rPr>
        <w:t>;</w:t>
      </w:r>
    </w:p>
    <w:p w:rsidR="001C7534" w:rsidRPr="001C7534" w:rsidRDefault="001C7534" w:rsidP="00F96FEC">
      <w:pPr>
        <w:numPr>
          <w:ilvl w:val="0"/>
          <w:numId w:val="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инициатива органа регулирования в случае </w:t>
      </w:r>
      <w:r w:rsidR="00FE6F8C">
        <w:rPr>
          <w:rFonts w:ascii="Times New Roman" w:eastAsia="Calibri" w:hAnsi="Times New Roman" w:cs="Times New Roman"/>
          <w:sz w:val="28"/>
        </w:rPr>
        <w:t>отсутствия заявления об установлении предельных тарифов</w:t>
      </w:r>
      <w:r w:rsidRPr="001C7534">
        <w:rPr>
          <w:rFonts w:ascii="Times New Roman" w:eastAsia="Calibri" w:hAnsi="Times New Roman" w:cs="Times New Roman"/>
          <w:sz w:val="28"/>
        </w:rPr>
        <w:t xml:space="preserve"> от субъекта регулирования.</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Субъекты регулирования в обязательном порядке осуществляют раздельный учет доходов, расходов, финансовых результатов и объемов оказания услуг по ПСО и хранению и иной деятельности в соответствии с законодательством </w:t>
      </w:r>
      <w:r w:rsidR="00F96FEC">
        <w:rPr>
          <w:rFonts w:ascii="Times New Roman" w:eastAsia="Calibri" w:hAnsi="Times New Roman" w:cs="Times New Roman"/>
          <w:sz w:val="28"/>
        </w:rPr>
        <w:t xml:space="preserve">Российской Федерации </w:t>
      </w:r>
      <w:r w:rsidRPr="001C7534">
        <w:rPr>
          <w:rFonts w:ascii="Times New Roman" w:eastAsia="Calibri" w:hAnsi="Times New Roman" w:cs="Times New Roman"/>
          <w:sz w:val="28"/>
        </w:rPr>
        <w:t>о налоговом и бухгалтерском учете.</w:t>
      </w:r>
    </w:p>
    <w:p w:rsidR="009D011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lastRenderedPageBreak/>
        <w:t xml:space="preserve">При </w:t>
      </w:r>
      <w:r w:rsidR="00770CD8">
        <w:rPr>
          <w:rFonts w:ascii="Times New Roman" w:eastAsia="Calibri" w:hAnsi="Times New Roman" w:cs="Times New Roman"/>
          <w:sz w:val="28"/>
        </w:rPr>
        <w:t>определении</w:t>
      </w:r>
      <w:r w:rsidRPr="001C7534">
        <w:rPr>
          <w:rFonts w:ascii="Times New Roman" w:eastAsia="Calibri" w:hAnsi="Times New Roman" w:cs="Times New Roman"/>
          <w:sz w:val="28"/>
        </w:rPr>
        <w:t xml:space="preserve"> предельных тарифов орган регулирования принимает меры, направленные на исключение из расчетов экономически необоснованных ра</w:t>
      </w:r>
      <w:r w:rsidR="009D0114">
        <w:rPr>
          <w:rFonts w:ascii="Times New Roman" w:eastAsia="Calibri" w:hAnsi="Times New Roman" w:cs="Times New Roman"/>
          <w:sz w:val="28"/>
        </w:rPr>
        <w:t>сходов субъектов регулирования.</w:t>
      </w:r>
    </w:p>
    <w:p w:rsidR="001C7534" w:rsidRPr="001C7534" w:rsidRDefault="001C7534" w:rsidP="009D0114">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 экономически необоснованным расходам субъектов регулирования относятся в том числе выявленные на основании данных статистической, бухгалтерской отчетности и иных материалов:</w:t>
      </w:r>
    </w:p>
    <w:p w:rsidR="001C7534" w:rsidRPr="001C7534" w:rsidRDefault="001C7534" w:rsidP="00F96FEC">
      <w:pPr>
        <w:numPr>
          <w:ilvl w:val="0"/>
          <w:numId w:val="6"/>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выявленные по итогам хозяйственной деятельности предыдущего периода регулирования излишне полученные доходы;</w:t>
      </w:r>
    </w:p>
    <w:p w:rsidR="001C7534" w:rsidRPr="001C7534" w:rsidRDefault="001C7534" w:rsidP="00F96FEC">
      <w:pPr>
        <w:numPr>
          <w:ilvl w:val="0"/>
          <w:numId w:val="6"/>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учтенные при </w:t>
      </w:r>
      <w:r w:rsidR="00770CD8">
        <w:rPr>
          <w:rFonts w:ascii="Times New Roman" w:eastAsia="Calibri" w:hAnsi="Times New Roman" w:cs="Times New Roman"/>
          <w:sz w:val="28"/>
        </w:rPr>
        <w:t>определении</w:t>
      </w:r>
      <w:r w:rsidRPr="001C7534">
        <w:rPr>
          <w:rFonts w:ascii="Times New Roman" w:eastAsia="Calibri" w:hAnsi="Times New Roman" w:cs="Times New Roman"/>
          <w:sz w:val="28"/>
        </w:rPr>
        <w:t xml:space="preserve"> предельных тарифов расходы, фактически не понесенные в периоде регулирования, на который устанавливались предельные тарифы.</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При </w:t>
      </w:r>
      <w:r w:rsidR="00770CD8">
        <w:rPr>
          <w:rFonts w:ascii="Times New Roman" w:eastAsia="Calibri" w:hAnsi="Times New Roman" w:cs="Times New Roman"/>
          <w:sz w:val="28"/>
        </w:rPr>
        <w:t>определении</w:t>
      </w:r>
      <w:r w:rsidRPr="001C7534">
        <w:rPr>
          <w:rFonts w:ascii="Times New Roman" w:eastAsia="Calibri" w:hAnsi="Times New Roman" w:cs="Times New Roman"/>
          <w:sz w:val="28"/>
        </w:rPr>
        <w:t xml:space="preserve"> предельных тарифов не допускаются:</w:t>
      </w:r>
    </w:p>
    <w:p w:rsidR="001C7534" w:rsidRPr="001C7534" w:rsidRDefault="001C7534" w:rsidP="00F96FEC">
      <w:pPr>
        <w:numPr>
          <w:ilvl w:val="0"/>
          <w:numId w:val="7"/>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повторный учет одних и тех же расходов субъектов регулирования, в том числе в отношении различных видов деятельности субъектов регулирования;</w:t>
      </w:r>
    </w:p>
    <w:p w:rsidR="001C7534" w:rsidRPr="001C7534" w:rsidRDefault="001C7534" w:rsidP="00F96FEC">
      <w:pPr>
        <w:numPr>
          <w:ilvl w:val="0"/>
          <w:numId w:val="7"/>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учет расходов субъектов регулирования, финансируемых за счет средств бюджетов бюджетной системы Российской Федерации на безвозвратной основе;</w:t>
      </w:r>
    </w:p>
    <w:p w:rsidR="001C7534" w:rsidRPr="001C7534" w:rsidRDefault="001C7534" w:rsidP="00F96FEC">
      <w:pPr>
        <w:numPr>
          <w:ilvl w:val="0"/>
          <w:numId w:val="7"/>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учет расходов субъектов регулирования на уплату штрафов, предусмотренных законодательством Российской Федерации за совершение преступления либо административного правонарушения, расходов, связанных с применением мер гражданско-правовой ответственности, наступившей в результате противоправного поведения субъектов регулирования;</w:t>
      </w:r>
    </w:p>
    <w:p w:rsidR="001C7534" w:rsidRPr="001C7534" w:rsidRDefault="001C7534" w:rsidP="00F96FEC">
      <w:pPr>
        <w:numPr>
          <w:ilvl w:val="0"/>
          <w:numId w:val="7"/>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включение в состав НВВ расходов субъектов регулирования, не связанных с осуществлением регулируемого вида деятельности.</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При определении фактических и плановых значений расходов, учитываемых при рас</w:t>
      </w:r>
      <w:r w:rsidR="009D0114">
        <w:rPr>
          <w:rFonts w:ascii="Times New Roman" w:eastAsia="Calibri" w:hAnsi="Times New Roman" w:cs="Times New Roman"/>
          <w:sz w:val="28"/>
        </w:rPr>
        <w:t>чете предельного тарифа, орган</w:t>
      </w:r>
      <w:r w:rsidRPr="001C7534">
        <w:rPr>
          <w:rFonts w:ascii="Times New Roman" w:eastAsia="Calibri" w:hAnsi="Times New Roman" w:cs="Times New Roman"/>
          <w:sz w:val="28"/>
        </w:rPr>
        <w:t xml:space="preserve"> регулирования использует экономически обоснованные объемы потребления сырья, материалов, выполненных работ, услуг, цены и тарифы на них, определенные с учетом следующих данных (в приоритетном порядке):</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1) цены и тарифы на потребляемые</w:t>
      </w:r>
      <w:r w:rsidR="009D0114">
        <w:rPr>
          <w:rFonts w:ascii="Times New Roman" w:eastAsia="Calibri" w:hAnsi="Times New Roman" w:cs="Times New Roman"/>
          <w:sz w:val="28"/>
        </w:rPr>
        <w:t xml:space="preserve"> субъектом регулирования товары (</w:t>
      </w:r>
      <w:r w:rsidRPr="001C7534">
        <w:rPr>
          <w:rFonts w:ascii="Times New Roman" w:eastAsia="Calibri" w:hAnsi="Times New Roman" w:cs="Times New Roman"/>
          <w:sz w:val="28"/>
        </w:rPr>
        <w:t>работы, услуги</w:t>
      </w:r>
      <w:r w:rsidR="009D0114">
        <w:rPr>
          <w:rFonts w:ascii="Times New Roman" w:eastAsia="Calibri" w:hAnsi="Times New Roman" w:cs="Times New Roman"/>
          <w:sz w:val="28"/>
        </w:rPr>
        <w:t>)</w:t>
      </w:r>
      <w:r w:rsidRPr="001C7534">
        <w:rPr>
          <w:rFonts w:ascii="Times New Roman" w:eastAsia="Calibri" w:hAnsi="Times New Roman" w:cs="Times New Roman"/>
          <w:sz w:val="28"/>
        </w:rPr>
        <w:t>, установленные органо</w:t>
      </w:r>
      <w:r w:rsidR="009D0114">
        <w:rPr>
          <w:rFonts w:ascii="Times New Roman" w:eastAsia="Calibri" w:hAnsi="Times New Roman" w:cs="Times New Roman"/>
          <w:sz w:val="28"/>
        </w:rPr>
        <w:t>м</w:t>
      </w:r>
      <w:r w:rsidRPr="001C7534">
        <w:rPr>
          <w:rFonts w:ascii="Times New Roman" w:eastAsia="Calibri" w:hAnsi="Times New Roman" w:cs="Times New Roman"/>
          <w:sz w:val="28"/>
        </w:rPr>
        <w:t xml:space="preserve"> регулирования на соответствующий период, - в случае, есл</w:t>
      </w:r>
      <w:r w:rsidR="009D0114">
        <w:rPr>
          <w:rFonts w:ascii="Times New Roman" w:eastAsia="Calibri" w:hAnsi="Times New Roman" w:cs="Times New Roman"/>
          <w:sz w:val="28"/>
        </w:rPr>
        <w:t>и цены и тарифы на такие товары</w:t>
      </w:r>
      <w:r w:rsidRPr="001C7534">
        <w:rPr>
          <w:rFonts w:ascii="Times New Roman" w:eastAsia="Calibri" w:hAnsi="Times New Roman" w:cs="Times New Roman"/>
          <w:sz w:val="28"/>
        </w:rPr>
        <w:t xml:space="preserve"> </w:t>
      </w:r>
      <w:r w:rsidR="009D0114">
        <w:rPr>
          <w:rFonts w:ascii="Times New Roman" w:eastAsia="Calibri" w:hAnsi="Times New Roman" w:cs="Times New Roman"/>
          <w:sz w:val="28"/>
        </w:rPr>
        <w:t>(</w:t>
      </w:r>
      <w:r w:rsidRPr="001C7534">
        <w:rPr>
          <w:rFonts w:ascii="Times New Roman" w:eastAsia="Calibri" w:hAnsi="Times New Roman" w:cs="Times New Roman"/>
          <w:sz w:val="28"/>
        </w:rPr>
        <w:t>работы, услуги</w:t>
      </w:r>
      <w:r w:rsidR="009D0114">
        <w:rPr>
          <w:rFonts w:ascii="Times New Roman" w:eastAsia="Calibri" w:hAnsi="Times New Roman" w:cs="Times New Roman"/>
          <w:sz w:val="28"/>
        </w:rPr>
        <w:t>)</w:t>
      </w:r>
      <w:r w:rsidRPr="001C7534">
        <w:rPr>
          <w:rFonts w:ascii="Times New Roman" w:eastAsia="Calibri" w:hAnsi="Times New Roman" w:cs="Times New Roman"/>
          <w:sz w:val="28"/>
        </w:rPr>
        <w:t xml:space="preserve"> подлежат государственному регулированию;</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2) цены и тарифы, установленные в договорах, заключенных в результате проведения торгов;</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3) сведения о</w:t>
      </w:r>
      <w:r w:rsidR="009D0114">
        <w:rPr>
          <w:rFonts w:ascii="Times New Roman" w:eastAsia="Calibri" w:hAnsi="Times New Roman" w:cs="Times New Roman"/>
          <w:sz w:val="28"/>
        </w:rPr>
        <w:t>б экономически обоснованных</w:t>
      </w:r>
      <w:r w:rsidRPr="001C7534">
        <w:rPr>
          <w:rFonts w:ascii="Times New Roman" w:eastAsia="Calibri" w:hAnsi="Times New Roman" w:cs="Times New Roman"/>
          <w:sz w:val="28"/>
        </w:rPr>
        <w:t xml:space="preserve"> расходах, в том</w:t>
      </w:r>
      <w:r w:rsidR="009D0114">
        <w:rPr>
          <w:rFonts w:ascii="Times New Roman" w:eastAsia="Calibri" w:hAnsi="Times New Roman" w:cs="Times New Roman"/>
          <w:sz w:val="28"/>
        </w:rPr>
        <w:t xml:space="preserve"> числе на приобретаемые товары (</w:t>
      </w:r>
      <w:r w:rsidRPr="001C7534">
        <w:rPr>
          <w:rFonts w:ascii="Times New Roman" w:eastAsia="Calibri" w:hAnsi="Times New Roman" w:cs="Times New Roman"/>
          <w:sz w:val="28"/>
        </w:rPr>
        <w:t>работы, услуги</w:t>
      </w:r>
      <w:r w:rsidR="009D0114">
        <w:rPr>
          <w:rFonts w:ascii="Times New Roman" w:eastAsia="Calibri" w:hAnsi="Times New Roman" w:cs="Times New Roman"/>
          <w:sz w:val="28"/>
        </w:rPr>
        <w:t>)</w:t>
      </w:r>
      <w:r w:rsidRPr="001C7534">
        <w:rPr>
          <w:rFonts w:ascii="Times New Roman" w:eastAsia="Calibri" w:hAnsi="Times New Roman" w:cs="Times New Roman"/>
          <w:sz w:val="28"/>
        </w:rPr>
        <w:t>, производимые другими субъектами регулирования в сопоставимых условиях;</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4)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на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на плановый период:</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w:t>
      </w:r>
      <w:r w:rsidR="009D0114">
        <w:rPr>
          <w:rFonts w:ascii="Times New Roman" w:eastAsia="Calibri" w:hAnsi="Times New Roman" w:cs="Times New Roman"/>
          <w:sz w:val="28"/>
        </w:rPr>
        <w:t> </w:t>
      </w:r>
      <w:r w:rsidRPr="001C7534">
        <w:rPr>
          <w:rFonts w:ascii="Times New Roman" w:eastAsia="Calibri" w:hAnsi="Times New Roman" w:cs="Times New Roman"/>
          <w:sz w:val="28"/>
        </w:rPr>
        <w:t>прогноз индекса потребительских цен (в среднем за год к предыдущему году);</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темпы роста цен на природный газ и другие виды топлива;</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темпы роста цен на электрическую энергию;</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темпы роста цен на капитальное строительство;</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темпы роста заработной платы;</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5) цены на потребляемые </w:t>
      </w:r>
      <w:r w:rsidR="009D0114">
        <w:rPr>
          <w:rFonts w:ascii="Times New Roman" w:eastAsia="Calibri" w:hAnsi="Times New Roman" w:cs="Times New Roman"/>
          <w:sz w:val="28"/>
        </w:rPr>
        <w:t>субъектом регулирования товары (</w:t>
      </w:r>
      <w:r w:rsidRPr="001C7534">
        <w:rPr>
          <w:rFonts w:ascii="Times New Roman" w:eastAsia="Calibri" w:hAnsi="Times New Roman" w:cs="Times New Roman"/>
          <w:sz w:val="28"/>
        </w:rPr>
        <w:t>работы, услуги</w:t>
      </w:r>
      <w:r w:rsidR="009D0114">
        <w:rPr>
          <w:rFonts w:ascii="Times New Roman" w:eastAsia="Calibri" w:hAnsi="Times New Roman" w:cs="Times New Roman"/>
          <w:sz w:val="28"/>
        </w:rPr>
        <w:t>), сложившиеся на торговых</w:t>
      </w:r>
      <w:r w:rsidRPr="001C7534">
        <w:rPr>
          <w:rFonts w:ascii="Times New Roman" w:eastAsia="Calibri" w:hAnsi="Times New Roman" w:cs="Times New Roman"/>
          <w:sz w:val="28"/>
        </w:rPr>
        <w:t xml:space="preserve"> биржах, функционирующих на территории </w:t>
      </w:r>
      <w:r w:rsidRPr="00226A00">
        <w:rPr>
          <w:rFonts w:ascii="Times New Roman" w:eastAsia="Calibri" w:hAnsi="Times New Roman" w:cs="Times New Roman"/>
          <w:sz w:val="28"/>
        </w:rPr>
        <w:t>Российской Федерации;</w:t>
      </w:r>
    </w:p>
    <w:p w:rsidR="001C7534" w:rsidRPr="00CA5B61" w:rsidRDefault="001C7534" w:rsidP="00F96FEC">
      <w:pPr>
        <w:tabs>
          <w:tab w:val="left" w:pos="1134"/>
        </w:tabs>
        <w:spacing w:after="0"/>
        <w:ind w:firstLine="567"/>
        <w:contextualSpacing/>
        <w:jc w:val="both"/>
        <w:rPr>
          <w:rFonts w:ascii="Times New Roman" w:eastAsia="Calibri" w:hAnsi="Times New Roman" w:cs="Times New Roman"/>
          <w:sz w:val="28"/>
        </w:rPr>
      </w:pPr>
      <w:r w:rsidRPr="00CA5B61">
        <w:rPr>
          <w:rFonts w:ascii="Times New Roman" w:eastAsia="Calibri" w:hAnsi="Times New Roman" w:cs="Times New Roman"/>
          <w:sz w:val="28"/>
        </w:rPr>
        <w:t>6) данные бухгалтерского учета и статистической отчетности субъекта регулирования при наличии за три предыдущих периода регулирования, но не менее одного года.</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субъектом регулирования.</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При определении предельных тарифов для субъектов регулирования, ранее не осуществлявших регулируемый вид деятельности и не имеющих фактических данных по расходам, расчет осуществляется на основании планируемых показателей их деятельности. Планируемые показатели деятельности для таких субъектов регулирования принимаются с учетом сравнительного анализа с расходами других субъектов регулирования, осуществляющих аналогичную деятельность в аналогичной ценовой зоне.</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Предельные тарифы устанавливаются на период продолжительностью не менее одного года и не подлежат пересмотру в течение периода регулирования, за исключением случаев их пересмотра по следующим основаниям:</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1) вступившее в законную силу решение суда о необходимости пересмотра предельных тарифов;</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2) отклонение более чем на 30 процентов объема услуг по ПСО и хранению от объема учтенного при установлении предельного тарифа.</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При </w:t>
      </w:r>
      <w:r w:rsidR="00770CD8">
        <w:rPr>
          <w:rFonts w:ascii="Times New Roman" w:eastAsia="Calibri" w:hAnsi="Times New Roman" w:cs="Times New Roman"/>
          <w:sz w:val="28"/>
        </w:rPr>
        <w:t>определении</w:t>
      </w:r>
      <w:r w:rsidRPr="001C7534">
        <w:rPr>
          <w:rFonts w:ascii="Times New Roman" w:eastAsia="Calibri" w:hAnsi="Times New Roman" w:cs="Times New Roman"/>
          <w:sz w:val="28"/>
        </w:rPr>
        <w:t xml:space="preserve"> предельных тарифов применяются следующие методы:</w:t>
      </w:r>
    </w:p>
    <w:p w:rsidR="001C7534" w:rsidRPr="001C7534" w:rsidRDefault="001C7534" w:rsidP="00F96FEC">
      <w:pPr>
        <w:numPr>
          <w:ilvl w:val="0"/>
          <w:numId w:val="9"/>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метод экономически обоснованных расходов (затрат);</w:t>
      </w:r>
    </w:p>
    <w:p w:rsidR="001C7534" w:rsidRPr="001C7534" w:rsidRDefault="001C7534" w:rsidP="00F96FEC">
      <w:pPr>
        <w:numPr>
          <w:ilvl w:val="0"/>
          <w:numId w:val="9"/>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метод индексации;</w:t>
      </w:r>
    </w:p>
    <w:p w:rsidR="001C7534" w:rsidRPr="00C5431E" w:rsidRDefault="00C5431E" w:rsidP="00C5431E">
      <w:pPr>
        <w:numPr>
          <w:ilvl w:val="0"/>
          <w:numId w:val="9"/>
        </w:numPr>
        <w:tabs>
          <w:tab w:val="left" w:pos="1134"/>
        </w:tabs>
        <w:spacing w:after="0"/>
        <w:ind w:left="0" w:firstLine="567"/>
        <w:contextualSpacing/>
        <w:jc w:val="both"/>
        <w:rPr>
          <w:rFonts w:ascii="Times New Roman" w:eastAsia="Calibri" w:hAnsi="Times New Roman" w:cs="Times New Roman"/>
          <w:sz w:val="28"/>
        </w:rPr>
      </w:pPr>
      <w:r>
        <w:rPr>
          <w:rFonts w:ascii="Times New Roman" w:eastAsia="Calibri" w:hAnsi="Times New Roman" w:cs="Times New Roman"/>
          <w:sz w:val="28"/>
        </w:rPr>
        <w:t>метод сравнения аналогов.</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Метод экономически обоснованных расходов (затрат) может применяться в случае, если в отношении субъекта регулирования в течение предыдущего года не осуществлялось государственное регулирование тарифов.</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Метод индексации предельных тарифов применяется в случае отсутствия </w:t>
      </w:r>
      <w:r w:rsidR="00FE6F8C">
        <w:rPr>
          <w:rFonts w:ascii="Times New Roman" w:eastAsia="Calibri" w:hAnsi="Times New Roman" w:cs="Times New Roman"/>
          <w:sz w:val="28"/>
        </w:rPr>
        <w:t>заявления об установлении предельных тарифов</w:t>
      </w:r>
      <w:r w:rsidRPr="001C7534">
        <w:rPr>
          <w:rFonts w:ascii="Times New Roman" w:eastAsia="Calibri" w:hAnsi="Times New Roman" w:cs="Times New Roman"/>
          <w:sz w:val="28"/>
        </w:rPr>
        <w:t xml:space="preserve"> от субъекта регулирования.</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При применении метода индексации предельные тарифы предыдущего периода регулирования определяются с использованием среднегодовых индексов потребительских цен, определенных в базовом варианте прогноза социально-экономического развития Российской Федерации на очередной финансовый год и плановый период.</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Метод сравнения аналогов основывается на </w:t>
      </w:r>
      <w:r w:rsidR="00770CD8">
        <w:rPr>
          <w:rFonts w:ascii="Times New Roman" w:eastAsia="Calibri" w:hAnsi="Times New Roman" w:cs="Times New Roman"/>
          <w:sz w:val="28"/>
        </w:rPr>
        <w:t xml:space="preserve">определении </w:t>
      </w:r>
      <w:r w:rsidRPr="001C7534">
        <w:rPr>
          <w:rFonts w:ascii="Times New Roman" w:eastAsia="Calibri" w:hAnsi="Times New Roman" w:cs="Times New Roman"/>
          <w:sz w:val="28"/>
        </w:rPr>
        <w:t>предельных тарифов для субъектов регулирования на основе анализа зависимости величины расходов прочих субъектов регулирования, осуществляющих аналогичный регулируемый вид деятельности в сопоставимых технических, технологических, экономических, природно-климатических и иных объективных условиях, достижения показателей надежности, качества и (или) энергетической эффективности субъектов регулирования.</w:t>
      </w:r>
    </w:p>
    <w:p w:rsid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Применение метода сравнения аналогов при </w:t>
      </w:r>
      <w:r w:rsidR="00770CD8">
        <w:rPr>
          <w:rFonts w:ascii="Times New Roman" w:eastAsia="Calibri" w:hAnsi="Times New Roman" w:cs="Times New Roman"/>
          <w:sz w:val="28"/>
        </w:rPr>
        <w:t>определении</w:t>
      </w:r>
      <w:r w:rsidRPr="001C7534">
        <w:rPr>
          <w:rFonts w:ascii="Times New Roman" w:eastAsia="Calibri" w:hAnsi="Times New Roman" w:cs="Times New Roman"/>
          <w:sz w:val="28"/>
        </w:rPr>
        <w:t xml:space="preserve"> предельных тарифов субъектов регулирования осуществляется при наличии утвержденных органом регулирования эталонных расходов (затрат), в том числе в виде прейскурантов цен и тарифов на товары, работы, услуги.</w:t>
      </w:r>
    </w:p>
    <w:p w:rsidR="00C5431E" w:rsidRPr="001C7534" w:rsidRDefault="00C5431E" w:rsidP="00F96FEC">
      <w:pPr>
        <w:tabs>
          <w:tab w:val="left" w:pos="1134"/>
        </w:tabs>
        <w:spacing w:after="0"/>
        <w:ind w:firstLine="567"/>
        <w:contextualSpacing/>
        <w:jc w:val="both"/>
        <w:rPr>
          <w:rFonts w:ascii="Times New Roman" w:eastAsia="Calibri" w:hAnsi="Times New Roman" w:cs="Times New Roman"/>
          <w:sz w:val="28"/>
        </w:rPr>
      </w:pPr>
    </w:p>
    <w:p w:rsidR="001C7534" w:rsidRPr="001C7534" w:rsidRDefault="001C7534" w:rsidP="00F96FEC">
      <w:pPr>
        <w:numPr>
          <w:ilvl w:val="0"/>
          <w:numId w:val="2"/>
        </w:numPr>
        <w:tabs>
          <w:tab w:val="left" w:pos="1134"/>
        </w:tabs>
        <w:spacing w:after="0"/>
        <w:ind w:left="0" w:firstLine="567"/>
        <w:contextualSpacing/>
        <w:jc w:val="center"/>
        <w:rPr>
          <w:rFonts w:ascii="Times New Roman" w:eastAsia="Calibri" w:hAnsi="Times New Roman" w:cs="Times New Roman"/>
          <w:sz w:val="28"/>
        </w:rPr>
      </w:pPr>
      <w:r w:rsidRPr="001C7534">
        <w:rPr>
          <w:rFonts w:ascii="Times New Roman" w:eastAsia="Calibri" w:hAnsi="Times New Roman" w:cs="Times New Roman"/>
          <w:sz w:val="28"/>
        </w:rPr>
        <w:t>ОПРЕДЕЛЕНИЕ НЕОБХОДИМОЙ ВАЛОВОЙ ВЫРУЧКИ</w:t>
      </w:r>
    </w:p>
    <w:p w:rsidR="001C7534" w:rsidRPr="001C7534" w:rsidRDefault="001C7534" w:rsidP="00F96FEC">
      <w:pPr>
        <w:tabs>
          <w:tab w:val="left" w:pos="1134"/>
        </w:tabs>
        <w:spacing w:after="0"/>
        <w:ind w:firstLine="567"/>
        <w:contextualSpacing/>
        <w:rPr>
          <w:rFonts w:ascii="Times New Roman" w:eastAsia="Calibri" w:hAnsi="Times New Roman" w:cs="Times New Roman"/>
          <w:sz w:val="28"/>
        </w:rPr>
      </w:pPr>
    </w:p>
    <w:p w:rsidR="001C7534" w:rsidRPr="001C7534" w:rsidRDefault="001C7534" w:rsidP="00F96FEC">
      <w:pPr>
        <w:numPr>
          <w:ilvl w:val="0"/>
          <w:numId w:val="3"/>
        </w:numPr>
        <w:tabs>
          <w:tab w:val="left" w:pos="1134"/>
        </w:tabs>
        <w:spacing w:after="16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Предельные тарифы рассчитываются на основании НВВ субъекта регулирования и объема оказываемых услуг по ПСО и хранению.</w:t>
      </w:r>
    </w:p>
    <w:p w:rsidR="001C7534" w:rsidRPr="00543EB9"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НВВ определяется исходя из экономически обоснованных расходов субъектов регулирования, необходимых им для осуществления регулируемого вида деятельности в течение периода регулирования и обеспечения достижения показателей эффективности, с учетом получения </w:t>
      </w:r>
      <w:r w:rsidRPr="00543EB9">
        <w:rPr>
          <w:rFonts w:ascii="Times New Roman" w:eastAsia="Calibri" w:hAnsi="Times New Roman" w:cs="Times New Roman"/>
          <w:sz w:val="28"/>
        </w:rPr>
        <w:t>нормативной прибыли.</w:t>
      </w:r>
    </w:p>
    <w:p w:rsidR="001C7534" w:rsidRPr="00543EB9"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543EB9">
        <w:rPr>
          <w:rFonts w:ascii="Times New Roman" w:eastAsia="Calibri" w:hAnsi="Times New Roman" w:cs="Times New Roman"/>
          <w:sz w:val="28"/>
        </w:rPr>
        <w:t>НВВ формируется в отношении каждого осуществляемого регулируемого вида деятельности.</w:t>
      </w:r>
    </w:p>
    <w:p w:rsidR="001C7534" w:rsidRPr="001C7534" w:rsidRDefault="001C7534" w:rsidP="00F96FEC">
      <w:pPr>
        <w:numPr>
          <w:ilvl w:val="0"/>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субъектов регулирования группируются в соответствии с их экономическим сод</w:t>
      </w:r>
      <w:r w:rsidR="00226A00">
        <w:rPr>
          <w:rFonts w:ascii="Times New Roman" w:eastAsia="Calibri" w:hAnsi="Times New Roman" w:cs="Times New Roman"/>
          <w:sz w:val="28"/>
        </w:rPr>
        <w:t>ержанием по следующим элементам:</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Затраты на содержание и эксплуатацию складских помещений, предназначенных для осуществления регулируемых видов деятельности.</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 составе затрат на содержание и эксплуатацию складских помещений учитываются:</w:t>
      </w:r>
    </w:p>
    <w:p w:rsidR="001C7534" w:rsidRPr="001C7534" w:rsidRDefault="001C7534" w:rsidP="00F96FEC">
      <w:pPr>
        <w:numPr>
          <w:ilvl w:val="0"/>
          <w:numId w:val="11"/>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амортизацию складских помещений, принадлежащих субъектам регулирования на праве собственности или на ином законном основании;</w:t>
      </w:r>
    </w:p>
    <w:p w:rsidR="001C7534" w:rsidRPr="001C7534" w:rsidRDefault="001C7534" w:rsidP="00F96FEC">
      <w:pPr>
        <w:numPr>
          <w:ilvl w:val="0"/>
          <w:numId w:val="11"/>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аренду складских помещений по заключенным договорам аренды;</w:t>
      </w:r>
    </w:p>
    <w:p w:rsidR="001C7534" w:rsidRPr="001C7534" w:rsidRDefault="001C7534" w:rsidP="00F96FEC">
      <w:pPr>
        <w:numPr>
          <w:ilvl w:val="0"/>
          <w:numId w:val="11"/>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текущий и капитальный ремонт складских помещений;</w:t>
      </w:r>
    </w:p>
    <w:p w:rsidR="001C7534" w:rsidRPr="001C7534" w:rsidRDefault="001C7534" w:rsidP="00F96FEC">
      <w:pPr>
        <w:numPr>
          <w:ilvl w:val="0"/>
          <w:numId w:val="11"/>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санитарное обслуживание, уборку и поддержание порядка на территории.</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Затраты на содержание и эксплуатацию производственного оборудования и конструкций, используемых в осуществлении регулируемых видов деятельности.</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 составе затрат на содержание и эксплуатацию производственного оборудования и конструкций учитываются:</w:t>
      </w:r>
    </w:p>
    <w:p w:rsidR="001C7534" w:rsidRPr="001C7534" w:rsidRDefault="001C7534" w:rsidP="00F96FEC">
      <w:pPr>
        <w:numPr>
          <w:ilvl w:val="0"/>
          <w:numId w:val="12"/>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амортизацию оборудования и конструкций;</w:t>
      </w:r>
    </w:p>
    <w:p w:rsidR="001C7534" w:rsidRPr="001C7534" w:rsidRDefault="001C7534" w:rsidP="00F96FEC">
      <w:pPr>
        <w:numPr>
          <w:ilvl w:val="0"/>
          <w:numId w:val="12"/>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ремонт, поверку и техническое обслуживание оборудования и конструкций;</w:t>
      </w:r>
    </w:p>
    <w:p w:rsidR="001C7534" w:rsidRPr="001C7534" w:rsidRDefault="001C7534" w:rsidP="00F96FEC">
      <w:pPr>
        <w:numPr>
          <w:ilvl w:val="0"/>
          <w:numId w:val="12"/>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материалы, сырье и запчасти, необходимых для поддержания функциональности оборудований и конструкций.</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оплату труда и отчисления на социальные нужды.</w:t>
      </w:r>
    </w:p>
    <w:p w:rsidR="001C7534" w:rsidRPr="001C7534" w:rsidRDefault="001C7534" w:rsidP="00F96FEC">
      <w:pPr>
        <w:tabs>
          <w:tab w:val="left" w:pos="1134"/>
        </w:tabs>
        <w:spacing w:after="0"/>
        <w:ind w:firstLine="567"/>
        <w:jc w:val="both"/>
        <w:rPr>
          <w:rFonts w:ascii="Times New Roman" w:eastAsia="Calibri" w:hAnsi="Times New Roman" w:cs="Times New Roman"/>
          <w:sz w:val="28"/>
        </w:rPr>
      </w:pPr>
      <w:r w:rsidRPr="001C7534">
        <w:rPr>
          <w:rFonts w:ascii="Times New Roman" w:eastAsia="Calibri" w:hAnsi="Times New Roman" w:cs="Times New Roman"/>
          <w:sz w:val="28"/>
        </w:rPr>
        <w:t>В расходы на оплату труда включаются начисления работникам, непосредственно задействованным в осуществлении регулируемого вида деятельности,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установленных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1C7534" w:rsidRPr="001C7534" w:rsidRDefault="001C7534" w:rsidP="00F96FEC">
      <w:pPr>
        <w:tabs>
          <w:tab w:val="left" w:pos="1134"/>
        </w:tabs>
        <w:spacing w:after="0"/>
        <w:ind w:firstLine="567"/>
        <w:jc w:val="both"/>
        <w:rPr>
          <w:rFonts w:ascii="Times New Roman" w:eastAsia="Calibri" w:hAnsi="Times New Roman" w:cs="Times New Roman"/>
          <w:sz w:val="28"/>
        </w:rPr>
      </w:pPr>
      <w:r w:rsidRPr="001C7534">
        <w:rPr>
          <w:rFonts w:ascii="Times New Roman" w:eastAsia="Calibri" w:hAnsi="Times New Roman" w:cs="Times New Roman"/>
          <w:sz w:val="28"/>
        </w:rPr>
        <w:t>Отчисления на социальные нужды определяются в размерах, установленных действующим законодательством в соответствии с Налоговым кодексом Российской Федерации.</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производственную безопасность.</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 расходы на производственную безопасность включаются затраты, направленные на обеспечение безопасности на производстве, включая пожарную и экологическую безопасность с учетом регламентирующих их требований и правил. Экологическая безопасность также включает в себя затраты на обезвреживание отходов производства.</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страхование.</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В расходы на страхование включаются платежи на: </w:t>
      </w:r>
    </w:p>
    <w:p w:rsidR="001C7534" w:rsidRPr="001C7534" w:rsidRDefault="001C7534" w:rsidP="00F96FEC">
      <w:pPr>
        <w:numPr>
          <w:ilvl w:val="0"/>
          <w:numId w:val="1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страхование имущества субъекта регулирования, задействованного в осуществлении регулируемого вида деятельности, от обстоятельств непреодолимой силы;</w:t>
      </w:r>
    </w:p>
    <w:p w:rsidR="001C7534" w:rsidRPr="001C7534" w:rsidRDefault="001C7534" w:rsidP="00F96FEC">
      <w:pPr>
        <w:numPr>
          <w:ilvl w:val="0"/>
          <w:numId w:val="1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страхование гражданской ответственности за качество предоставляемых услуг.</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контроль качества нефтепродуктов.</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 составе расходов на контроль качества нефтепродуктов учитываются затраты на осуществление лабораторных исследований, экспертизы лабораторного оборудования, его обслуживание и испытания, а также расходные материалы, необходимые для проведения контроля качества объема нефтепродуктов, принятых субъектом регулирования для оказания услуг по их ПСО и хранению.</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Прочие производственные расходы.</w:t>
      </w:r>
    </w:p>
    <w:p w:rsidR="001C7534" w:rsidRPr="001C7534" w:rsidRDefault="001C7534" w:rsidP="00F96FEC">
      <w:pPr>
        <w:tabs>
          <w:tab w:val="left" w:pos="1134"/>
        </w:tabs>
        <w:spacing w:after="0"/>
        <w:ind w:firstLine="567"/>
        <w:jc w:val="both"/>
        <w:rPr>
          <w:rFonts w:ascii="Times New Roman" w:eastAsia="Calibri" w:hAnsi="Times New Roman" w:cs="Times New Roman"/>
          <w:sz w:val="28"/>
        </w:rPr>
      </w:pPr>
      <w:r w:rsidRPr="001C7534">
        <w:rPr>
          <w:rFonts w:ascii="Times New Roman" w:eastAsia="Calibri" w:hAnsi="Times New Roman" w:cs="Times New Roman"/>
          <w:sz w:val="28"/>
        </w:rPr>
        <w:t>Все затраты производственного характера, необходимые для осуществления регулируемого вида деятельн</w:t>
      </w:r>
      <w:r w:rsidR="00A353D5">
        <w:rPr>
          <w:rFonts w:ascii="Times New Roman" w:eastAsia="Calibri" w:hAnsi="Times New Roman" w:cs="Times New Roman"/>
          <w:sz w:val="28"/>
        </w:rPr>
        <w:t>ости и не описанные в пунктах 1</w:t>
      </w:r>
      <w:r w:rsidR="00A353D5" w:rsidRPr="00A353D5">
        <w:rPr>
          <w:rFonts w:ascii="Times New Roman" w:eastAsia="Calibri" w:hAnsi="Times New Roman" w:cs="Times New Roman"/>
          <w:sz w:val="28"/>
        </w:rPr>
        <w:t>8</w:t>
      </w:r>
      <w:r w:rsidR="00A353D5">
        <w:rPr>
          <w:rFonts w:ascii="Times New Roman" w:eastAsia="Calibri" w:hAnsi="Times New Roman" w:cs="Times New Roman"/>
          <w:sz w:val="28"/>
        </w:rPr>
        <w:t>.1 – 18</w:t>
      </w:r>
      <w:r w:rsidRPr="001C7534">
        <w:rPr>
          <w:rFonts w:ascii="Times New Roman" w:eastAsia="Calibri" w:hAnsi="Times New Roman" w:cs="Times New Roman"/>
          <w:sz w:val="28"/>
        </w:rPr>
        <w:t>.6 настоящей Методики, учитываются в прочих производственных расходах.</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Общехозяйственные расходы.</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 общехозяйственные расходы по регулируемому виду деятельности относятся затраты субъекта регулирования, которые не могут быть непосредственно отнесены на затраты по конкретному виду деятельности в соответствии со способом, предусмотренным учетной политикой субъекта регулирования, либо пропорционально объему получаемой выручки (в случае если учетной политикой подобные положения не предусмотрены).</w:t>
      </w:r>
    </w:p>
    <w:p w:rsidR="001C7534" w:rsidRPr="001C7534" w:rsidRDefault="001C7534" w:rsidP="00F96FEC">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Налоги и сборы.</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 составе затрат на уплату налогов и сборов, включаемых в себестоимость расходов по регулируемому виду деятельности, учитываются по факту уплаты в отчетном налоговом периоде.</w:t>
      </w:r>
    </w:p>
    <w:p w:rsidR="001C7534" w:rsidRPr="001C7534" w:rsidRDefault="001C7534" w:rsidP="00226A00">
      <w:pPr>
        <w:numPr>
          <w:ilvl w:val="1"/>
          <w:numId w:val="3"/>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Нормативная прибыль.</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Нормативная прибыль включает в себя:</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1)</w:t>
      </w:r>
      <w:r w:rsidRPr="001C7534">
        <w:rPr>
          <w:rFonts w:ascii="Times New Roman" w:eastAsia="Calibri" w:hAnsi="Times New Roman" w:cs="Times New Roman"/>
          <w:sz w:val="28"/>
        </w:rPr>
        <w:tab/>
        <w:t>расходы на капитальные вложения (инвестиции), определяемые в соответствии с утвержденными инвестиционными программами субъектов регулирования, за исключением средств, учтенных в соответствии с подпунктом 2 настоящего пункта;</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2)</w:t>
      </w:r>
      <w:r w:rsidRPr="001C7534">
        <w:rPr>
          <w:rFonts w:ascii="Times New Roman" w:eastAsia="Calibri" w:hAnsi="Times New Roman" w:cs="Times New Roman"/>
          <w:sz w:val="28"/>
        </w:rPr>
        <w:tab/>
        <w:t>средства на возврат займов и кредитов, привлекаемых на реализацию мероприятий инвестиционной программы субъекта регулирования,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3)</w:t>
      </w:r>
      <w:r w:rsidRPr="001C7534">
        <w:rPr>
          <w:rFonts w:ascii="Times New Roman" w:eastAsia="Calibri" w:hAnsi="Times New Roman" w:cs="Times New Roman"/>
          <w:sz w:val="28"/>
        </w:rPr>
        <w:tab/>
        <w:t>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Расходы на амортизацию основных средств и нематериальных активов, используемых в процессе осуществления регулируемого вида деятельности, учитываются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субъекта регулирования. В случае, если по итогам исполнения инвестиционной программы указанные расходы не были осуществлены, они исключаются из расчета предельных тарифов в очередном периоде регулирования.</w:t>
      </w:r>
    </w:p>
    <w:p w:rsidR="001C7534" w:rsidRPr="001C7534" w:rsidRDefault="001C7534" w:rsidP="00FB36C8">
      <w:pPr>
        <w:tabs>
          <w:tab w:val="left" w:pos="1134"/>
        </w:tabs>
        <w:spacing w:after="0"/>
        <w:ind w:firstLine="567"/>
        <w:jc w:val="both"/>
        <w:rPr>
          <w:rFonts w:ascii="Times New Roman" w:eastAsia="Calibri" w:hAnsi="Times New Roman" w:cs="Times New Roman"/>
          <w:sz w:val="28"/>
        </w:rPr>
      </w:pPr>
      <w:r w:rsidRPr="001C7534">
        <w:rPr>
          <w:rFonts w:ascii="Times New Roman" w:eastAsia="Calibri" w:hAnsi="Times New Roman" w:cs="Times New Roman"/>
          <w:sz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rsidR="001C7534" w:rsidRPr="001C7534" w:rsidRDefault="001C7534" w:rsidP="00F96FEC">
      <w:pPr>
        <w:tabs>
          <w:tab w:val="left" w:pos="1134"/>
        </w:tabs>
        <w:spacing w:after="0"/>
        <w:ind w:firstLine="567"/>
        <w:jc w:val="both"/>
        <w:rPr>
          <w:rFonts w:ascii="Times New Roman" w:eastAsia="Calibri" w:hAnsi="Times New Roman" w:cs="Times New Roman"/>
          <w:sz w:val="28"/>
        </w:rPr>
      </w:pPr>
      <w:r w:rsidRPr="001C7534">
        <w:rPr>
          <w:rFonts w:ascii="Times New Roman" w:eastAsia="Calibri" w:hAnsi="Times New Roman" w:cs="Times New Roman"/>
          <w:sz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субъекту регулирования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субъекта регулирования.</w:t>
      </w:r>
    </w:p>
    <w:p w:rsidR="001C7534" w:rsidRPr="00543EB9"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Расходы на арендную плату в отношении объектов, используемых в процессе осуществления регулируемого вида деятельности, определяются </w:t>
      </w:r>
      <w:r w:rsidRPr="00543EB9">
        <w:rPr>
          <w:rFonts w:ascii="Times New Roman" w:eastAsia="Calibri" w:hAnsi="Times New Roman" w:cs="Times New Roman"/>
          <w:sz w:val="28"/>
        </w:rPr>
        <w:t>органом регулирования в размере, не превышающем экономически обоснованный размер такой платы.</w:t>
      </w:r>
    </w:p>
    <w:p w:rsidR="001C7534" w:rsidRPr="001C7534" w:rsidRDefault="001C7534" w:rsidP="00F96FEC">
      <w:pPr>
        <w:tabs>
          <w:tab w:val="left" w:pos="1134"/>
        </w:tabs>
        <w:spacing w:after="0"/>
        <w:ind w:firstLine="567"/>
        <w:jc w:val="both"/>
        <w:rPr>
          <w:rFonts w:ascii="Times New Roman" w:eastAsia="Calibri" w:hAnsi="Times New Roman" w:cs="Times New Roman"/>
          <w:sz w:val="28"/>
        </w:rPr>
      </w:pPr>
      <w:r w:rsidRPr="00543EB9">
        <w:rPr>
          <w:rFonts w:ascii="Times New Roman" w:eastAsia="Calibri" w:hAnsi="Times New Roman" w:cs="Times New Roman"/>
          <w:sz w:val="28"/>
        </w:rPr>
        <w:t>Экономически обоснованный размер арендной платы определяется исходя из принципа возмещения арендодателю расходов на амортизацию (размер которой определяется</w:t>
      </w:r>
      <w:r w:rsidR="00FB36C8">
        <w:rPr>
          <w:rFonts w:ascii="Times New Roman" w:eastAsia="Calibri" w:hAnsi="Times New Roman" w:cs="Times New Roman"/>
          <w:sz w:val="28"/>
        </w:rPr>
        <w:t xml:space="preserve"> в соответствии с пунктом 19</w:t>
      </w:r>
      <w:r w:rsidRPr="001C7534">
        <w:rPr>
          <w:rFonts w:ascii="Times New Roman" w:eastAsia="Calibri" w:hAnsi="Times New Roman" w:cs="Times New Roman"/>
          <w:sz w:val="28"/>
        </w:rPr>
        <w:t xml:space="preserve"> настоящих Методических рекомендаций),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w:t>
      </w: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При формировании материальных расходов, необходимых для осуществления регулируемого вида деятельности, их стоимость определяется в соответствии с пунктом 11 настоящей Методики.</w:t>
      </w: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 расходы на текущий и капитальный ремонт включаются затраты на ремонтирование зданий и оборудования, предназначенных для осуществления регулируемого вида деятельности, при условии финансирования затрат из собственных источников.</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При определении расходов субъекта регулирования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субъекта регулирования.</w:t>
      </w:r>
    </w:p>
    <w:p w:rsidR="001C7534" w:rsidRDefault="001C7534" w:rsidP="00543EB9">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Экономически обоснованные расходы на приобретение материалов, требуемых при проведении текущего и капитального ремонта, определяются в соответствии с пунктом 2</w:t>
      </w:r>
      <w:r w:rsidR="00FB36C8" w:rsidRPr="00FB36C8">
        <w:rPr>
          <w:rFonts w:ascii="Times New Roman" w:eastAsia="Calibri" w:hAnsi="Times New Roman" w:cs="Times New Roman"/>
          <w:sz w:val="28"/>
        </w:rPr>
        <w:t>1</w:t>
      </w:r>
      <w:r w:rsidRPr="001C7534">
        <w:rPr>
          <w:rFonts w:ascii="Times New Roman" w:eastAsia="Calibri" w:hAnsi="Times New Roman" w:cs="Times New Roman"/>
          <w:sz w:val="28"/>
        </w:rPr>
        <w:t xml:space="preserve"> настоящей Методики.</w:t>
      </w:r>
    </w:p>
    <w:p w:rsidR="00543EB9" w:rsidRPr="001C7534" w:rsidRDefault="00543EB9" w:rsidP="00543EB9">
      <w:pPr>
        <w:tabs>
          <w:tab w:val="left" w:pos="1134"/>
        </w:tabs>
        <w:spacing w:after="0"/>
        <w:ind w:firstLine="567"/>
        <w:contextualSpacing/>
        <w:jc w:val="both"/>
        <w:rPr>
          <w:rFonts w:ascii="Times New Roman" w:eastAsia="Calibri" w:hAnsi="Times New Roman" w:cs="Times New Roman"/>
          <w:sz w:val="28"/>
        </w:rPr>
      </w:pPr>
    </w:p>
    <w:p w:rsidR="001C7534" w:rsidRPr="001C7534" w:rsidRDefault="001C7534" w:rsidP="007366C9">
      <w:pPr>
        <w:numPr>
          <w:ilvl w:val="0"/>
          <w:numId w:val="2"/>
        </w:numPr>
        <w:tabs>
          <w:tab w:val="left" w:pos="1134"/>
        </w:tabs>
        <w:spacing w:after="0" w:line="240" w:lineRule="auto"/>
        <w:ind w:left="0" w:firstLine="567"/>
        <w:contextualSpacing/>
        <w:jc w:val="center"/>
        <w:rPr>
          <w:rFonts w:ascii="Times New Roman" w:eastAsia="Calibri" w:hAnsi="Times New Roman" w:cs="Times New Roman"/>
          <w:sz w:val="28"/>
        </w:rPr>
      </w:pPr>
      <w:r w:rsidRPr="001C7534">
        <w:rPr>
          <w:rFonts w:ascii="Times New Roman" w:eastAsia="Calibri" w:hAnsi="Times New Roman" w:cs="Times New Roman"/>
          <w:sz w:val="28"/>
        </w:rPr>
        <w:t>РАСЧЕТ ПРЕДЕЛЬНЫХ ТАРИФОВ</w:t>
      </w:r>
    </w:p>
    <w:p w:rsidR="001C7534" w:rsidRPr="001C7534" w:rsidRDefault="001C7534" w:rsidP="007366C9">
      <w:pPr>
        <w:tabs>
          <w:tab w:val="left" w:pos="1134"/>
        </w:tabs>
        <w:spacing w:after="0"/>
        <w:ind w:firstLine="567"/>
        <w:jc w:val="center"/>
        <w:rPr>
          <w:rFonts w:ascii="Times New Roman" w:eastAsia="Calibri" w:hAnsi="Times New Roman" w:cs="Times New Roman"/>
          <w:sz w:val="28"/>
        </w:rPr>
      </w:pPr>
    </w:p>
    <w:p w:rsidR="001C7534" w:rsidRPr="001C7534" w:rsidRDefault="001C7534" w:rsidP="00FB36C8">
      <w:pPr>
        <w:numPr>
          <w:ilvl w:val="0"/>
          <w:numId w:val="18"/>
        </w:numPr>
        <w:tabs>
          <w:tab w:val="left" w:pos="1134"/>
        </w:tabs>
        <w:spacing w:after="0" w:line="240" w:lineRule="auto"/>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Предельный тариф на ПСО рассчитывается по формуле:</w:t>
      </w:r>
    </w:p>
    <w:p w:rsidR="001C7534" w:rsidRPr="001C7534" w:rsidRDefault="009079B3" w:rsidP="007366C9">
      <w:pPr>
        <w:tabs>
          <w:tab w:val="left" w:pos="1134"/>
        </w:tabs>
        <w:spacing w:after="0"/>
        <w:ind w:firstLine="567"/>
        <w:jc w:val="both"/>
        <w:rPr>
          <w:rFonts w:ascii="Times New Roman" w:eastAsia="Times New Roman" w:hAnsi="Times New Roman" w:cs="Times New Roman"/>
          <w:sz w:val="28"/>
        </w:rPr>
      </w:pPr>
      <m:oMathPara>
        <m:oMath>
          <m:sSub>
            <m:sSubPr>
              <m:ctrlPr>
                <w:rPr>
                  <w:rFonts w:ascii="Cambria Math" w:eastAsia="Calibri" w:hAnsi="Cambria Math" w:cs="Times New Roman"/>
                  <w:i/>
                  <w:sz w:val="28"/>
                </w:rPr>
              </m:ctrlPr>
            </m:sSubPr>
            <m:e>
              <m:r>
                <w:rPr>
                  <w:rFonts w:ascii="Cambria Math" w:eastAsia="Calibri" w:hAnsi="Cambria Math" w:cs="Times New Roman"/>
                  <w:sz w:val="28"/>
                </w:rPr>
                <m:t>Т</m:t>
              </m:r>
            </m:e>
            <m:sub>
              <m:r>
                <w:rPr>
                  <w:rFonts w:ascii="Cambria Math" w:eastAsia="Calibri" w:hAnsi="Cambria Math" w:cs="Times New Roman"/>
                  <w:sz w:val="28"/>
                </w:rPr>
                <m:t>ПСО</m:t>
              </m:r>
            </m:sub>
          </m:sSub>
          <m:r>
            <w:rPr>
              <w:rFonts w:ascii="Cambria Math" w:eastAsia="Calibri" w:hAnsi="Cambria Math" w:cs="Times New Roman"/>
              <w:sz w:val="28"/>
            </w:rPr>
            <m:t>=</m:t>
          </m:r>
          <m:f>
            <m:fPr>
              <m:ctrlPr>
                <w:rPr>
                  <w:rFonts w:ascii="Cambria Math" w:eastAsia="Calibri" w:hAnsi="Cambria Math" w:cs="Times New Roman"/>
                  <w:i/>
                  <w:sz w:val="28"/>
                </w:rPr>
              </m:ctrlPr>
            </m:fPr>
            <m:num>
              <m:sSub>
                <m:sSubPr>
                  <m:ctrlPr>
                    <w:rPr>
                      <w:rFonts w:ascii="Cambria Math" w:eastAsia="Calibri" w:hAnsi="Cambria Math" w:cs="Times New Roman"/>
                      <w:i/>
                      <w:sz w:val="28"/>
                    </w:rPr>
                  </m:ctrlPr>
                </m:sSubPr>
                <m:e>
                  <m:r>
                    <w:rPr>
                      <w:rFonts w:ascii="Cambria Math" w:eastAsia="Calibri" w:hAnsi="Cambria Math" w:cs="Times New Roman"/>
                      <w:sz w:val="28"/>
                    </w:rPr>
                    <m:t>НВВ</m:t>
                  </m:r>
                </m:e>
                <m:sub>
                  <m:r>
                    <w:rPr>
                      <w:rFonts w:ascii="Cambria Math" w:eastAsia="Calibri" w:hAnsi="Cambria Math" w:cs="Times New Roman"/>
                      <w:sz w:val="28"/>
                    </w:rPr>
                    <m:t>ПСО</m:t>
                  </m:r>
                </m:sub>
              </m:sSub>
            </m:num>
            <m:den>
              <m:sSub>
                <m:sSubPr>
                  <m:ctrlPr>
                    <w:rPr>
                      <w:rFonts w:ascii="Cambria Math" w:eastAsia="Calibri" w:hAnsi="Cambria Math" w:cs="Times New Roman"/>
                      <w:i/>
                      <w:sz w:val="28"/>
                    </w:rPr>
                  </m:ctrlPr>
                </m:sSubPr>
                <m:e>
                  <m:r>
                    <w:rPr>
                      <w:rFonts w:ascii="Cambria Math" w:eastAsia="Calibri" w:hAnsi="Cambria Math" w:cs="Times New Roman"/>
                      <w:sz w:val="28"/>
                      <w:lang w:val="en-US"/>
                    </w:rPr>
                    <m:t>V</m:t>
                  </m:r>
                </m:e>
                <m:sub>
                  <m:r>
                    <w:rPr>
                      <w:rFonts w:ascii="Cambria Math" w:eastAsia="Calibri" w:hAnsi="Cambria Math" w:cs="Times New Roman"/>
                      <w:sz w:val="28"/>
                    </w:rPr>
                    <m:t>ПСО</m:t>
                  </m:r>
                </m:sub>
              </m:sSub>
            </m:den>
          </m:f>
          <m:r>
            <w:rPr>
              <w:rFonts w:ascii="Cambria Math" w:eastAsia="Calibri" w:hAnsi="Cambria Math" w:cs="Times New Roman"/>
              <w:sz w:val="28"/>
            </w:rPr>
            <m:t>, (3)</m:t>
          </m:r>
        </m:oMath>
      </m:oMathPara>
    </w:p>
    <w:p w:rsidR="001C7534" w:rsidRPr="001C7534" w:rsidRDefault="001C7534" w:rsidP="007366C9">
      <w:pPr>
        <w:tabs>
          <w:tab w:val="left" w:pos="1134"/>
        </w:tabs>
        <w:spacing w:after="0"/>
        <w:ind w:firstLine="567"/>
        <w:jc w:val="both"/>
        <w:rPr>
          <w:rFonts w:ascii="Times New Roman" w:eastAsia="Times New Roman" w:hAnsi="Times New Roman" w:cs="Times New Roman"/>
          <w:sz w:val="28"/>
        </w:rPr>
      </w:pPr>
      <w:r w:rsidRPr="001C7534">
        <w:rPr>
          <w:rFonts w:ascii="Times New Roman" w:eastAsia="Times New Roman" w:hAnsi="Times New Roman" w:cs="Times New Roman"/>
          <w:sz w:val="28"/>
        </w:rPr>
        <w:t xml:space="preserve">где </w:t>
      </w: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Т</m:t>
            </m:r>
          </m:e>
          <m:sub>
            <m:r>
              <w:rPr>
                <w:rFonts w:ascii="Cambria Math" w:eastAsia="Times New Roman" w:hAnsi="Cambria Math" w:cs="Times New Roman"/>
                <w:sz w:val="28"/>
              </w:rPr>
              <m:t>ПСО</m:t>
            </m:r>
          </m:sub>
        </m:sSub>
      </m:oMath>
      <w:r w:rsidRPr="001C7534">
        <w:rPr>
          <w:rFonts w:ascii="Times New Roman" w:eastAsia="Times New Roman" w:hAnsi="Times New Roman" w:cs="Times New Roman"/>
          <w:sz w:val="28"/>
        </w:rPr>
        <w:t xml:space="preserve"> – предельный тариф на ПСО в отношении нефтепродуктов;</w:t>
      </w:r>
    </w:p>
    <w:p w:rsidR="001C7534" w:rsidRPr="001C7534" w:rsidRDefault="009079B3" w:rsidP="007366C9">
      <w:pPr>
        <w:tabs>
          <w:tab w:val="left" w:pos="1134"/>
        </w:tabs>
        <w:spacing w:after="0"/>
        <w:ind w:firstLine="567"/>
        <w:jc w:val="both"/>
        <w:rPr>
          <w:rFonts w:ascii="Times New Roman" w:eastAsia="Times New Roman" w:hAnsi="Times New Roman" w:cs="Times New Roman"/>
          <w:sz w:val="28"/>
        </w:rPr>
      </w:pPr>
      <m:oMath>
        <m:sSub>
          <m:sSubPr>
            <m:ctrlPr>
              <w:rPr>
                <w:rFonts w:ascii="Cambria Math" w:eastAsia="Calibri" w:hAnsi="Cambria Math" w:cs="Times New Roman"/>
                <w:i/>
                <w:sz w:val="28"/>
              </w:rPr>
            </m:ctrlPr>
          </m:sSubPr>
          <m:e>
            <m:r>
              <w:rPr>
                <w:rFonts w:ascii="Cambria Math" w:eastAsia="Calibri" w:hAnsi="Cambria Math" w:cs="Times New Roman"/>
                <w:sz w:val="28"/>
              </w:rPr>
              <m:t>НВВ</m:t>
            </m:r>
          </m:e>
          <m:sub>
            <m:r>
              <w:rPr>
                <w:rFonts w:ascii="Cambria Math" w:eastAsia="Calibri" w:hAnsi="Cambria Math" w:cs="Times New Roman"/>
                <w:sz w:val="28"/>
              </w:rPr>
              <m:t>ПСО</m:t>
            </m:r>
          </m:sub>
        </m:sSub>
      </m:oMath>
      <w:r w:rsidR="001C7534" w:rsidRPr="001C7534">
        <w:rPr>
          <w:rFonts w:ascii="Times New Roman" w:eastAsia="Times New Roman" w:hAnsi="Times New Roman" w:cs="Times New Roman"/>
          <w:sz w:val="28"/>
        </w:rPr>
        <w:t xml:space="preserve"> – НВВ субъекта регулирования по оказанию услуг по ПСО в отношении нефтепродуктов, руб.;</w:t>
      </w:r>
    </w:p>
    <w:p w:rsidR="001C7534" w:rsidRPr="001C7534" w:rsidRDefault="009079B3" w:rsidP="007366C9">
      <w:pPr>
        <w:tabs>
          <w:tab w:val="left" w:pos="1134"/>
        </w:tabs>
        <w:spacing w:after="0"/>
        <w:ind w:firstLine="567"/>
        <w:jc w:val="both"/>
        <w:rPr>
          <w:rFonts w:ascii="Times New Roman" w:eastAsia="Times New Roman" w:hAnsi="Times New Roman" w:cs="Times New Roman"/>
          <w:sz w:val="28"/>
        </w:rPr>
      </w:pPr>
      <m:oMath>
        <m:sSub>
          <m:sSubPr>
            <m:ctrlPr>
              <w:rPr>
                <w:rFonts w:ascii="Cambria Math" w:eastAsia="Calibri" w:hAnsi="Cambria Math" w:cs="Times New Roman"/>
                <w:i/>
                <w:sz w:val="28"/>
              </w:rPr>
            </m:ctrlPr>
          </m:sSubPr>
          <m:e>
            <m:r>
              <w:rPr>
                <w:rFonts w:ascii="Cambria Math" w:eastAsia="Calibri" w:hAnsi="Cambria Math" w:cs="Times New Roman"/>
                <w:sz w:val="28"/>
                <w:lang w:val="en-US"/>
              </w:rPr>
              <m:t>V</m:t>
            </m:r>
          </m:e>
          <m:sub>
            <m:r>
              <w:rPr>
                <w:rFonts w:ascii="Cambria Math" w:eastAsia="Calibri" w:hAnsi="Cambria Math" w:cs="Times New Roman"/>
                <w:sz w:val="28"/>
              </w:rPr>
              <m:t>ПСО</m:t>
            </m:r>
          </m:sub>
        </m:sSub>
      </m:oMath>
      <w:r w:rsidR="001C7534" w:rsidRPr="001C7534">
        <w:rPr>
          <w:rFonts w:ascii="Times New Roman" w:eastAsia="Times New Roman" w:hAnsi="Times New Roman" w:cs="Times New Roman"/>
          <w:sz w:val="28"/>
        </w:rPr>
        <w:t xml:space="preserve"> – объем нефтепродуктов, принятых субъектом регулирования в целях оказания услуг по ПСО, тонн.</w:t>
      </w:r>
    </w:p>
    <w:p w:rsidR="001C7534" w:rsidRPr="001C7534" w:rsidRDefault="001C7534" w:rsidP="007366C9">
      <w:pPr>
        <w:tabs>
          <w:tab w:val="left" w:pos="1134"/>
        </w:tabs>
        <w:spacing w:after="0"/>
        <w:ind w:firstLine="567"/>
        <w:jc w:val="both"/>
        <w:rPr>
          <w:rFonts w:ascii="Times New Roman" w:eastAsia="Times New Roman" w:hAnsi="Times New Roman" w:cs="Times New Roman"/>
          <w:sz w:val="28"/>
        </w:rPr>
      </w:pPr>
      <w:r w:rsidRPr="001C7534">
        <w:rPr>
          <w:rFonts w:ascii="Times New Roman" w:eastAsia="Times New Roman" w:hAnsi="Times New Roman" w:cs="Times New Roman"/>
          <w:sz w:val="28"/>
        </w:rPr>
        <w:t>Предельный тариф на ПСО устанавливается в рублях за 1 тонну без учета налога на добавленную стоимость.</w:t>
      </w:r>
    </w:p>
    <w:p w:rsidR="001C7534" w:rsidRPr="001C7534" w:rsidRDefault="001C7534" w:rsidP="00FB36C8">
      <w:pPr>
        <w:numPr>
          <w:ilvl w:val="0"/>
          <w:numId w:val="18"/>
        </w:numPr>
        <w:tabs>
          <w:tab w:val="left" w:pos="1134"/>
        </w:tabs>
        <w:spacing w:after="0" w:line="240" w:lineRule="auto"/>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Предельный тариф на хранение рассчитывается по формуле:</w:t>
      </w:r>
    </w:p>
    <w:p w:rsidR="001C7534" w:rsidRPr="001C7534" w:rsidRDefault="009079B3" w:rsidP="007366C9">
      <w:pPr>
        <w:tabs>
          <w:tab w:val="left" w:pos="1134"/>
        </w:tabs>
        <w:spacing w:after="0"/>
        <w:ind w:firstLine="567"/>
        <w:jc w:val="both"/>
        <w:rPr>
          <w:rFonts w:ascii="Times New Roman" w:eastAsia="Times New Roman" w:hAnsi="Times New Roman" w:cs="Times New Roman"/>
          <w:sz w:val="28"/>
        </w:rPr>
      </w:pPr>
      <m:oMathPara>
        <m:oMath>
          <m:sSub>
            <m:sSubPr>
              <m:ctrlPr>
                <w:rPr>
                  <w:rFonts w:ascii="Cambria Math" w:eastAsia="Calibri" w:hAnsi="Cambria Math" w:cs="Times New Roman"/>
                  <w:i/>
                  <w:sz w:val="28"/>
                </w:rPr>
              </m:ctrlPr>
            </m:sSubPr>
            <m:e>
              <m:r>
                <w:rPr>
                  <w:rFonts w:ascii="Cambria Math" w:eastAsia="Calibri" w:hAnsi="Cambria Math" w:cs="Times New Roman"/>
                  <w:sz w:val="28"/>
                </w:rPr>
                <m:t>Т</m:t>
              </m:r>
            </m:e>
            <m:sub>
              <m:r>
                <w:rPr>
                  <w:rFonts w:ascii="Cambria Math" w:eastAsia="Calibri" w:hAnsi="Cambria Math" w:cs="Times New Roman"/>
                  <w:sz w:val="28"/>
                </w:rPr>
                <m:t>хран</m:t>
              </m:r>
            </m:sub>
          </m:sSub>
          <m:r>
            <w:rPr>
              <w:rFonts w:ascii="Cambria Math" w:eastAsia="Calibri" w:hAnsi="Cambria Math" w:cs="Times New Roman"/>
              <w:sz w:val="28"/>
            </w:rPr>
            <m:t>=</m:t>
          </m:r>
          <m:f>
            <m:fPr>
              <m:ctrlPr>
                <w:rPr>
                  <w:rFonts w:ascii="Cambria Math" w:eastAsia="Calibri" w:hAnsi="Cambria Math" w:cs="Times New Roman"/>
                  <w:i/>
                  <w:sz w:val="28"/>
                </w:rPr>
              </m:ctrlPr>
            </m:fPr>
            <m:num>
              <m:sSub>
                <m:sSubPr>
                  <m:ctrlPr>
                    <w:rPr>
                      <w:rFonts w:ascii="Cambria Math" w:eastAsia="Calibri" w:hAnsi="Cambria Math" w:cs="Times New Roman"/>
                      <w:i/>
                      <w:sz w:val="28"/>
                    </w:rPr>
                  </m:ctrlPr>
                </m:sSubPr>
                <m:e>
                  <m:r>
                    <w:rPr>
                      <w:rFonts w:ascii="Cambria Math" w:eastAsia="Calibri" w:hAnsi="Cambria Math" w:cs="Times New Roman"/>
                      <w:sz w:val="28"/>
                    </w:rPr>
                    <m:t>НВВ</m:t>
                  </m:r>
                </m:e>
                <m:sub>
                  <m:r>
                    <w:rPr>
                      <w:rFonts w:ascii="Cambria Math" w:eastAsia="Calibri" w:hAnsi="Cambria Math" w:cs="Times New Roman"/>
                      <w:sz w:val="28"/>
                    </w:rPr>
                    <m:t>хран</m:t>
                  </m:r>
                </m:sub>
              </m:sSub>
            </m:num>
            <m:den>
              <m:sSub>
                <m:sSubPr>
                  <m:ctrlPr>
                    <w:rPr>
                      <w:rFonts w:ascii="Cambria Math" w:eastAsia="Calibri" w:hAnsi="Cambria Math" w:cs="Times New Roman"/>
                      <w:i/>
                      <w:sz w:val="28"/>
                    </w:rPr>
                  </m:ctrlPr>
                </m:sSubPr>
                <m:e>
                  <m:r>
                    <w:rPr>
                      <w:rFonts w:ascii="Cambria Math" w:eastAsia="Calibri" w:hAnsi="Cambria Math" w:cs="Times New Roman"/>
                      <w:sz w:val="28"/>
                      <w:lang w:val="en-US"/>
                    </w:rPr>
                    <m:t>V</m:t>
                  </m:r>
                </m:e>
                <m:sub>
                  <m:r>
                    <w:rPr>
                      <w:rFonts w:ascii="Cambria Math" w:eastAsia="Calibri" w:hAnsi="Cambria Math" w:cs="Times New Roman"/>
                      <w:sz w:val="28"/>
                    </w:rPr>
                    <m:t>хран</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Д</m:t>
                  </m:r>
                </m:e>
                <m:sub>
                  <m:r>
                    <w:rPr>
                      <w:rFonts w:ascii="Cambria Math" w:eastAsia="Calibri" w:hAnsi="Cambria Math" w:cs="Times New Roman"/>
                      <w:sz w:val="28"/>
                    </w:rPr>
                    <m:t>кал</m:t>
                  </m:r>
                </m:sub>
              </m:sSub>
            </m:den>
          </m:f>
          <m:r>
            <w:rPr>
              <w:rFonts w:ascii="Cambria Math" w:eastAsia="Calibri" w:hAnsi="Cambria Math" w:cs="Times New Roman"/>
              <w:sz w:val="28"/>
            </w:rPr>
            <m:t>, (4)</m:t>
          </m:r>
        </m:oMath>
      </m:oMathPara>
    </w:p>
    <w:p w:rsidR="001C7534" w:rsidRPr="001C7534" w:rsidRDefault="001C7534" w:rsidP="007366C9">
      <w:pPr>
        <w:tabs>
          <w:tab w:val="left" w:pos="1134"/>
        </w:tabs>
        <w:spacing w:after="0"/>
        <w:ind w:firstLine="567"/>
        <w:jc w:val="both"/>
        <w:rPr>
          <w:rFonts w:ascii="Times New Roman" w:eastAsia="Times New Roman" w:hAnsi="Times New Roman" w:cs="Times New Roman"/>
          <w:sz w:val="28"/>
        </w:rPr>
      </w:pPr>
      <w:r w:rsidRPr="001C7534">
        <w:rPr>
          <w:rFonts w:ascii="Times New Roman" w:eastAsia="Times New Roman" w:hAnsi="Times New Roman" w:cs="Times New Roman"/>
          <w:sz w:val="28"/>
        </w:rPr>
        <w:t xml:space="preserve">где </w:t>
      </w: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Т</m:t>
            </m:r>
          </m:e>
          <m:sub>
            <m:r>
              <w:rPr>
                <w:rFonts w:ascii="Cambria Math" w:eastAsia="Times New Roman" w:hAnsi="Cambria Math" w:cs="Times New Roman"/>
                <w:sz w:val="28"/>
              </w:rPr>
              <m:t>хран</m:t>
            </m:r>
          </m:sub>
        </m:sSub>
      </m:oMath>
      <w:r w:rsidRPr="001C7534">
        <w:rPr>
          <w:rFonts w:ascii="Times New Roman" w:eastAsia="Times New Roman" w:hAnsi="Times New Roman" w:cs="Times New Roman"/>
          <w:sz w:val="28"/>
        </w:rPr>
        <w:t xml:space="preserve"> – предельный тариф на хранение;</w:t>
      </w:r>
    </w:p>
    <w:p w:rsidR="001C7534" w:rsidRPr="001C7534" w:rsidRDefault="009079B3" w:rsidP="007366C9">
      <w:pPr>
        <w:tabs>
          <w:tab w:val="left" w:pos="1134"/>
        </w:tabs>
        <w:spacing w:after="0"/>
        <w:ind w:firstLine="567"/>
        <w:jc w:val="both"/>
        <w:rPr>
          <w:rFonts w:ascii="Times New Roman" w:eastAsia="Times New Roman" w:hAnsi="Times New Roman" w:cs="Times New Roman"/>
          <w:sz w:val="28"/>
        </w:rPr>
      </w:pPr>
      <m:oMath>
        <m:sSub>
          <m:sSubPr>
            <m:ctrlPr>
              <w:rPr>
                <w:rFonts w:ascii="Cambria Math" w:eastAsia="Calibri" w:hAnsi="Cambria Math" w:cs="Times New Roman"/>
                <w:i/>
                <w:sz w:val="28"/>
              </w:rPr>
            </m:ctrlPr>
          </m:sSubPr>
          <m:e>
            <m:r>
              <w:rPr>
                <w:rFonts w:ascii="Cambria Math" w:eastAsia="Calibri" w:hAnsi="Cambria Math" w:cs="Times New Roman"/>
                <w:sz w:val="28"/>
              </w:rPr>
              <m:t>НВВ</m:t>
            </m:r>
          </m:e>
          <m:sub>
            <m:r>
              <w:rPr>
                <w:rFonts w:ascii="Cambria Math" w:eastAsia="Calibri" w:hAnsi="Cambria Math" w:cs="Times New Roman"/>
                <w:sz w:val="28"/>
              </w:rPr>
              <m:t>хран</m:t>
            </m:r>
          </m:sub>
        </m:sSub>
      </m:oMath>
      <w:r w:rsidR="001C7534" w:rsidRPr="001C7534">
        <w:rPr>
          <w:rFonts w:ascii="Times New Roman" w:eastAsia="Times New Roman" w:hAnsi="Times New Roman" w:cs="Times New Roman"/>
          <w:sz w:val="28"/>
        </w:rPr>
        <w:t xml:space="preserve"> – НВВ субъекта регулирования по оказанию услуг по хранению, руб.;</w:t>
      </w:r>
    </w:p>
    <w:p w:rsidR="001C7534" w:rsidRPr="001C7534" w:rsidRDefault="009079B3" w:rsidP="007366C9">
      <w:pPr>
        <w:tabs>
          <w:tab w:val="left" w:pos="1134"/>
        </w:tabs>
        <w:spacing w:after="0"/>
        <w:ind w:firstLine="567"/>
        <w:jc w:val="both"/>
        <w:rPr>
          <w:rFonts w:ascii="Times New Roman" w:eastAsia="Times New Roman" w:hAnsi="Times New Roman" w:cs="Times New Roman"/>
          <w:sz w:val="28"/>
        </w:rPr>
      </w:pPr>
      <m:oMath>
        <m:sSub>
          <m:sSubPr>
            <m:ctrlPr>
              <w:rPr>
                <w:rFonts w:ascii="Cambria Math" w:eastAsia="Calibri" w:hAnsi="Cambria Math" w:cs="Times New Roman"/>
                <w:i/>
                <w:sz w:val="28"/>
              </w:rPr>
            </m:ctrlPr>
          </m:sSubPr>
          <m:e>
            <m:r>
              <w:rPr>
                <w:rFonts w:ascii="Cambria Math" w:eastAsia="Calibri" w:hAnsi="Cambria Math" w:cs="Times New Roman"/>
                <w:sz w:val="28"/>
                <w:lang w:val="en-US"/>
              </w:rPr>
              <m:t>V</m:t>
            </m:r>
          </m:e>
          <m:sub>
            <m:r>
              <w:rPr>
                <w:rFonts w:ascii="Cambria Math" w:eastAsia="Calibri" w:hAnsi="Cambria Math" w:cs="Times New Roman"/>
                <w:sz w:val="28"/>
              </w:rPr>
              <m:t>хран</m:t>
            </m:r>
          </m:sub>
        </m:sSub>
      </m:oMath>
      <w:r w:rsidR="001C7534" w:rsidRPr="001C7534">
        <w:rPr>
          <w:rFonts w:ascii="Times New Roman" w:eastAsia="Times New Roman" w:hAnsi="Times New Roman" w:cs="Times New Roman"/>
          <w:sz w:val="28"/>
        </w:rPr>
        <w:t xml:space="preserve"> – объем нефтепродуктов, принятых субъектом регулирования в целях оказания услуг по хранению, тонн.</w:t>
      </w:r>
    </w:p>
    <w:p w:rsidR="001C7534" w:rsidRPr="001C7534" w:rsidRDefault="009079B3" w:rsidP="007366C9">
      <w:pPr>
        <w:tabs>
          <w:tab w:val="left" w:pos="1134"/>
        </w:tabs>
        <w:spacing w:after="0"/>
        <w:ind w:firstLine="567"/>
        <w:jc w:val="both"/>
        <w:rPr>
          <w:rFonts w:ascii="Times New Roman" w:eastAsia="Times New Roman" w:hAnsi="Times New Roman" w:cs="Times New Roman"/>
          <w:sz w:val="28"/>
        </w:rPr>
      </w:pPr>
      <m:oMath>
        <m:sSub>
          <m:sSubPr>
            <m:ctrlPr>
              <w:rPr>
                <w:rFonts w:ascii="Cambria Math" w:eastAsia="Calibri" w:hAnsi="Cambria Math" w:cs="Times New Roman"/>
                <w:i/>
                <w:sz w:val="28"/>
              </w:rPr>
            </m:ctrlPr>
          </m:sSubPr>
          <m:e>
            <m:r>
              <w:rPr>
                <w:rFonts w:ascii="Cambria Math" w:eastAsia="Calibri" w:hAnsi="Cambria Math" w:cs="Times New Roman"/>
                <w:sz w:val="28"/>
              </w:rPr>
              <m:t>Д</m:t>
            </m:r>
          </m:e>
          <m:sub>
            <m:r>
              <w:rPr>
                <w:rFonts w:ascii="Cambria Math" w:eastAsia="Calibri" w:hAnsi="Cambria Math" w:cs="Times New Roman"/>
                <w:sz w:val="28"/>
              </w:rPr>
              <m:t>кал</m:t>
            </m:r>
          </m:sub>
        </m:sSub>
      </m:oMath>
      <w:r w:rsidR="001C7534" w:rsidRPr="001C7534">
        <w:rPr>
          <w:rFonts w:ascii="Times New Roman" w:eastAsia="Times New Roman" w:hAnsi="Times New Roman" w:cs="Times New Roman"/>
          <w:sz w:val="28"/>
        </w:rPr>
        <w:t xml:space="preserve"> – количество дней, составляющих 1 календарный год, сут.</w:t>
      </w:r>
    </w:p>
    <w:p w:rsidR="001C7534" w:rsidRPr="001C7534" w:rsidRDefault="001C7534" w:rsidP="00FB36C8">
      <w:pPr>
        <w:numPr>
          <w:ilvl w:val="0"/>
          <w:numId w:val="18"/>
        </w:numPr>
        <w:tabs>
          <w:tab w:val="left" w:pos="1134"/>
        </w:tabs>
        <w:spacing w:after="0" w:line="240" w:lineRule="auto"/>
        <w:ind w:left="0" w:firstLine="567"/>
        <w:contextualSpacing/>
        <w:jc w:val="both"/>
        <w:rPr>
          <w:rFonts w:ascii="Times New Roman" w:eastAsia="Calibri" w:hAnsi="Times New Roman" w:cs="Times New Roman"/>
          <w:sz w:val="28"/>
        </w:rPr>
      </w:pPr>
      <w:r w:rsidRPr="001C7534">
        <w:rPr>
          <w:rFonts w:ascii="Times New Roman" w:eastAsia="Times New Roman" w:hAnsi="Times New Roman" w:cs="Times New Roman"/>
          <w:sz w:val="28"/>
        </w:rPr>
        <w:t>Предельный тариф на хранение устанавливается в рублях за 1 тонну в сутки без учета налога на добавленную стоимость.</w:t>
      </w:r>
    </w:p>
    <w:p w:rsidR="001C7534" w:rsidRPr="001C7534" w:rsidRDefault="001C7534" w:rsidP="00FB36C8">
      <w:pPr>
        <w:numPr>
          <w:ilvl w:val="0"/>
          <w:numId w:val="18"/>
        </w:numPr>
        <w:tabs>
          <w:tab w:val="left" w:pos="1134"/>
        </w:tabs>
        <w:spacing w:after="0" w:line="240" w:lineRule="auto"/>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НВВ субъекта регулирования на оказание услуг по ПСО и хранению определяется с учетом раздела 3 настоящей Методики. НВВ для каждого осуществляемого регулируемого вида деятельности рассчитывается по формуле:</w:t>
      </w:r>
    </w:p>
    <w:p w:rsidR="001C7534" w:rsidRPr="001C7534" w:rsidRDefault="001C7534" w:rsidP="007366C9">
      <w:pPr>
        <w:tabs>
          <w:tab w:val="left" w:pos="1134"/>
        </w:tabs>
        <w:spacing w:after="0"/>
        <w:ind w:firstLine="567"/>
        <w:jc w:val="both"/>
        <w:rPr>
          <w:rFonts w:ascii="Times New Roman" w:eastAsia="Times New Roman" w:hAnsi="Times New Roman" w:cs="Times New Roman"/>
          <w:sz w:val="28"/>
        </w:rPr>
      </w:pPr>
      <m:oMathPara>
        <m:oMath>
          <m:r>
            <w:rPr>
              <w:rFonts w:ascii="Cambria Math" w:eastAsia="Calibri" w:hAnsi="Cambria Math" w:cs="Times New Roman"/>
              <w:sz w:val="28"/>
            </w:rPr>
            <m:t>НВВ=ПС+НП</m:t>
          </m:r>
          <m:r>
            <w:rPr>
              <w:rFonts w:ascii="Cambria Math" w:eastAsia="Times New Roman" w:hAnsi="Cambria Math" w:cs="Times New Roman"/>
              <w:sz w:val="28"/>
            </w:rPr>
            <m:t>, (1)</m:t>
          </m:r>
        </m:oMath>
      </m:oMathPara>
    </w:p>
    <w:p w:rsidR="001C7534" w:rsidRPr="001C7534" w:rsidRDefault="001C7534" w:rsidP="007366C9">
      <w:pPr>
        <w:tabs>
          <w:tab w:val="left" w:pos="1134"/>
        </w:tabs>
        <w:spacing w:after="0"/>
        <w:ind w:firstLine="567"/>
        <w:jc w:val="both"/>
        <w:rPr>
          <w:rFonts w:ascii="Times New Roman" w:eastAsia="Times New Roman" w:hAnsi="Times New Roman" w:cs="Times New Roman"/>
          <w:sz w:val="28"/>
        </w:rPr>
      </w:pPr>
      <w:r w:rsidRPr="001C7534">
        <w:rPr>
          <w:rFonts w:ascii="Times New Roman" w:eastAsia="Times New Roman" w:hAnsi="Times New Roman" w:cs="Times New Roman"/>
          <w:sz w:val="28"/>
        </w:rPr>
        <w:t>где ПС – полная себестоимость, рассчитываемая в соответствии с пунктом 2</w:t>
      </w:r>
      <w:r w:rsidR="00FB36C8" w:rsidRPr="00FB36C8">
        <w:rPr>
          <w:rFonts w:ascii="Times New Roman" w:eastAsia="Times New Roman" w:hAnsi="Times New Roman" w:cs="Times New Roman"/>
          <w:sz w:val="28"/>
        </w:rPr>
        <w:t>7</w:t>
      </w:r>
      <w:r w:rsidRPr="001C7534">
        <w:rPr>
          <w:rFonts w:ascii="Times New Roman" w:eastAsia="Times New Roman" w:hAnsi="Times New Roman" w:cs="Times New Roman"/>
          <w:sz w:val="28"/>
        </w:rPr>
        <w:t xml:space="preserve"> настоящей Методики, руб.;</w:t>
      </w:r>
    </w:p>
    <w:p w:rsidR="001C7534" w:rsidRPr="001C7534" w:rsidRDefault="001C7534" w:rsidP="007366C9">
      <w:pPr>
        <w:tabs>
          <w:tab w:val="left" w:pos="1134"/>
        </w:tabs>
        <w:spacing w:after="0"/>
        <w:ind w:firstLine="567"/>
        <w:jc w:val="both"/>
        <w:rPr>
          <w:rFonts w:ascii="Times New Roman" w:eastAsia="Times New Roman" w:hAnsi="Times New Roman" w:cs="Times New Roman"/>
          <w:sz w:val="28"/>
        </w:rPr>
      </w:pPr>
      <w:r w:rsidRPr="001C7534">
        <w:rPr>
          <w:rFonts w:ascii="Times New Roman" w:eastAsia="Times New Roman" w:hAnsi="Times New Roman" w:cs="Times New Roman"/>
          <w:sz w:val="28"/>
        </w:rPr>
        <w:t>НП – нормативная прибыль, определя</w:t>
      </w:r>
      <w:r w:rsidR="001255EE">
        <w:rPr>
          <w:rFonts w:ascii="Times New Roman" w:eastAsia="Times New Roman" w:hAnsi="Times New Roman" w:cs="Times New Roman"/>
          <w:sz w:val="28"/>
        </w:rPr>
        <w:t>емая в соответствии с пунктом 18</w:t>
      </w:r>
      <w:r w:rsidRPr="001C7534">
        <w:rPr>
          <w:rFonts w:ascii="Times New Roman" w:eastAsia="Times New Roman" w:hAnsi="Times New Roman" w:cs="Times New Roman"/>
          <w:sz w:val="28"/>
        </w:rPr>
        <w:t>.10 настоящей Методики, руб.</w:t>
      </w:r>
    </w:p>
    <w:p w:rsidR="001C7534" w:rsidRPr="001C7534" w:rsidRDefault="001C7534" w:rsidP="00FB36C8">
      <w:pPr>
        <w:numPr>
          <w:ilvl w:val="0"/>
          <w:numId w:val="18"/>
        </w:numPr>
        <w:tabs>
          <w:tab w:val="left" w:pos="1134"/>
        </w:tabs>
        <w:spacing w:after="0" w:line="240" w:lineRule="auto"/>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Полная себестоимость рассчитывается по формуле:</w:t>
      </w:r>
    </w:p>
    <w:p w:rsidR="001C7534" w:rsidRPr="001C7534" w:rsidRDefault="001C7534" w:rsidP="007366C9">
      <w:pPr>
        <w:tabs>
          <w:tab w:val="left" w:pos="1134"/>
        </w:tabs>
        <w:spacing w:after="0"/>
        <w:ind w:firstLine="567"/>
        <w:jc w:val="both"/>
        <w:rPr>
          <w:rFonts w:ascii="Times New Roman" w:eastAsia="Times New Roman" w:hAnsi="Times New Roman" w:cs="Times New Roman"/>
          <w:sz w:val="28"/>
        </w:rPr>
      </w:pPr>
      <m:oMathPara>
        <m:oMath>
          <m:r>
            <w:rPr>
              <w:rFonts w:ascii="Cambria Math" w:eastAsia="Calibri" w:hAnsi="Cambria Math" w:cs="Times New Roman"/>
              <w:sz w:val="28"/>
            </w:rPr>
            <m:t>ПС=</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СП</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ОК</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ОТ</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ПБ</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С</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КК</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проч</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Ч</m:t>
              </m:r>
            </m:e>
            <m:sub>
              <m:r>
                <w:rPr>
                  <w:rFonts w:ascii="Cambria Math" w:eastAsia="Calibri" w:hAnsi="Cambria Math" w:cs="Times New Roman"/>
                  <w:sz w:val="28"/>
                </w:rPr>
                <m:t>ОР</m:t>
              </m:r>
            </m:sub>
          </m:sSub>
          <m:r>
            <w:rPr>
              <w:rFonts w:ascii="Cambria Math" w:eastAsia="Calibri" w:hAnsi="Cambria Math" w:cs="Times New Roman"/>
              <w:sz w:val="28"/>
            </w:rPr>
            <m:t>+</m:t>
          </m:r>
          <m:sSub>
            <m:sSubPr>
              <m:ctrlPr>
                <w:rPr>
                  <w:rFonts w:ascii="Cambria Math" w:eastAsia="Calibri" w:hAnsi="Cambria Math" w:cs="Times New Roman"/>
                  <w:i/>
                  <w:sz w:val="28"/>
                </w:rPr>
              </m:ctrlPr>
            </m:sSubPr>
            <m:e>
              <m:r>
                <w:rPr>
                  <w:rFonts w:ascii="Cambria Math" w:eastAsia="Calibri" w:hAnsi="Cambria Math" w:cs="Times New Roman"/>
                  <w:sz w:val="28"/>
                </w:rPr>
                <m:t>Р</m:t>
              </m:r>
            </m:e>
            <m:sub>
              <m:r>
                <w:rPr>
                  <w:rFonts w:ascii="Cambria Math" w:eastAsia="Calibri" w:hAnsi="Cambria Math" w:cs="Times New Roman"/>
                  <w:sz w:val="28"/>
                </w:rPr>
                <m:t>НС</m:t>
              </m:r>
            </m:sub>
          </m:sSub>
          <m:r>
            <w:rPr>
              <w:rFonts w:ascii="Cambria Math" w:eastAsia="Times New Roman" w:hAnsi="Cambria Math" w:cs="Times New Roman"/>
              <w:sz w:val="28"/>
            </w:rPr>
            <m:t>, (2)</m:t>
          </m:r>
        </m:oMath>
      </m:oMathPara>
    </w:p>
    <w:p w:rsidR="001C7534" w:rsidRPr="001C7534" w:rsidRDefault="001C7534" w:rsidP="007366C9">
      <w:pPr>
        <w:tabs>
          <w:tab w:val="left" w:pos="1134"/>
        </w:tabs>
        <w:spacing w:after="0"/>
        <w:ind w:firstLine="567"/>
        <w:jc w:val="both"/>
        <w:rPr>
          <w:rFonts w:ascii="Times New Roman" w:eastAsia="Calibri" w:hAnsi="Times New Roman" w:cs="Times New Roman"/>
          <w:sz w:val="28"/>
        </w:rPr>
      </w:pPr>
      <w:r w:rsidRPr="001C7534">
        <w:rPr>
          <w:rFonts w:ascii="Times New Roman" w:eastAsia="Times New Roman" w:hAnsi="Times New Roman" w:cs="Times New Roman"/>
          <w:sz w:val="28"/>
        </w:rPr>
        <w:t xml:space="preserve">где </w:t>
      </w: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СП</m:t>
            </m:r>
          </m:sub>
        </m:sSub>
      </m:oMath>
      <w:r w:rsidRPr="001C7534">
        <w:rPr>
          <w:rFonts w:ascii="Times New Roman" w:eastAsia="Times New Roman" w:hAnsi="Times New Roman" w:cs="Times New Roman"/>
          <w:sz w:val="28"/>
        </w:rPr>
        <w:t xml:space="preserve"> – </w:t>
      </w:r>
      <w:r w:rsidRPr="001C7534">
        <w:rPr>
          <w:rFonts w:ascii="Times New Roman" w:eastAsia="Calibri" w:hAnsi="Times New Roman" w:cs="Times New Roman"/>
          <w:sz w:val="28"/>
        </w:rPr>
        <w:t>затраты на содержание и эксплуатацию складских помещений, предназначенных для осуществления регулируемых видов деятельности, определенные в соответствии с пунктом 1</w:t>
      </w:r>
      <w:r w:rsidR="00FB36C8" w:rsidRPr="00FB36C8">
        <w:rPr>
          <w:rFonts w:ascii="Times New Roman" w:eastAsia="Calibri" w:hAnsi="Times New Roman" w:cs="Times New Roman"/>
          <w:sz w:val="28"/>
        </w:rPr>
        <w:t>8</w:t>
      </w:r>
      <w:r w:rsidRPr="001C7534">
        <w:rPr>
          <w:rFonts w:ascii="Times New Roman" w:eastAsia="Calibri" w:hAnsi="Times New Roman" w:cs="Times New Roman"/>
          <w:sz w:val="28"/>
        </w:rPr>
        <w:t>.1 настоящей Методики</w:t>
      </w:r>
      <w:r w:rsidRPr="001C7534">
        <w:rPr>
          <w:rFonts w:ascii="Times New Roman" w:eastAsia="Times New Roman" w:hAnsi="Times New Roman" w:cs="Times New Roman"/>
          <w:sz w:val="28"/>
        </w:rPr>
        <w:t>, руб.</w:t>
      </w:r>
      <w:r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ОК</m:t>
            </m:r>
          </m:sub>
        </m:sSub>
      </m:oMath>
      <w:r w:rsidR="001C7534" w:rsidRPr="001C7534">
        <w:rPr>
          <w:rFonts w:ascii="Times New Roman" w:eastAsia="Times New Roman" w:hAnsi="Times New Roman" w:cs="Times New Roman"/>
          <w:sz w:val="28"/>
        </w:rPr>
        <w:t xml:space="preserve"> – </w:t>
      </w:r>
      <w:r w:rsidR="001C7534" w:rsidRPr="001C7534">
        <w:rPr>
          <w:rFonts w:ascii="Times New Roman" w:eastAsia="Calibri" w:hAnsi="Times New Roman" w:cs="Times New Roman"/>
          <w:sz w:val="28"/>
        </w:rPr>
        <w:t>затраты на содержание и эксплуатацию производственного оборудования и конструкций, используемых в осуществлении регулируемых видов деятельности, определенные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.2 настоящей Методики</w:t>
      </w:r>
      <w:r w:rsidR="001C7534" w:rsidRPr="001C7534">
        <w:rPr>
          <w:rFonts w:ascii="Times New Roman" w:eastAsia="Times New Roman" w:hAnsi="Times New Roman" w:cs="Times New Roman"/>
          <w:sz w:val="28"/>
        </w:rPr>
        <w:t>, руб.</w:t>
      </w:r>
      <w:r w:rsidR="001C7534"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ОТ</m:t>
            </m:r>
          </m:sub>
        </m:sSub>
      </m:oMath>
      <w:r w:rsidR="001C7534" w:rsidRPr="001C7534">
        <w:rPr>
          <w:rFonts w:ascii="Times New Roman" w:eastAsia="Times New Roman" w:hAnsi="Times New Roman" w:cs="Times New Roman"/>
          <w:sz w:val="28"/>
        </w:rPr>
        <w:t xml:space="preserve"> – расходы на оплату труда и отчисления на социальные нужды, </w:t>
      </w:r>
      <w:r w:rsidR="001C7534" w:rsidRPr="001C7534">
        <w:rPr>
          <w:rFonts w:ascii="Times New Roman" w:eastAsia="Calibri" w:hAnsi="Times New Roman" w:cs="Times New Roman"/>
          <w:sz w:val="28"/>
        </w:rPr>
        <w:t>определенные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.3 настоящей Методики</w:t>
      </w:r>
      <w:r w:rsidR="001C7534" w:rsidRPr="001C7534">
        <w:rPr>
          <w:rFonts w:ascii="Times New Roman" w:eastAsia="Times New Roman" w:hAnsi="Times New Roman" w:cs="Times New Roman"/>
          <w:sz w:val="28"/>
        </w:rPr>
        <w:t>, руб.</w:t>
      </w:r>
      <w:r w:rsidR="001C7534"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ПБ</m:t>
            </m:r>
          </m:sub>
        </m:sSub>
      </m:oMath>
      <w:r w:rsidR="001C7534" w:rsidRPr="001C7534">
        <w:rPr>
          <w:rFonts w:ascii="Times New Roman" w:eastAsia="Times New Roman" w:hAnsi="Times New Roman" w:cs="Times New Roman"/>
          <w:sz w:val="28"/>
        </w:rPr>
        <w:t xml:space="preserve"> – </w:t>
      </w:r>
      <w:r w:rsidR="001C7534" w:rsidRPr="001C7534">
        <w:rPr>
          <w:rFonts w:ascii="Times New Roman" w:eastAsia="Calibri" w:hAnsi="Times New Roman" w:cs="Times New Roman"/>
          <w:sz w:val="28"/>
        </w:rPr>
        <w:t>расходы на производственную безопасность, определенные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.4 настоящей Методики</w:t>
      </w:r>
      <w:r w:rsidR="001C7534" w:rsidRPr="001C7534">
        <w:rPr>
          <w:rFonts w:ascii="Times New Roman" w:eastAsia="Times New Roman" w:hAnsi="Times New Roman" w:cs="Times New Roman"/>
          <w:sz w:val="28"/>
        </w:rPr>
        <w:t>, руб.</w:t>
      </w:r>
      <w:r w:rsidR="001C7534"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С</m:t>
            </m:r>
          </m:sub>
        </m:sSub>
      </m:oMath>
      <w:r w:rsidR="001C7534" w:rsidRPr="001C7534">
        <w:rPr>
          <w:rFonts w:ascii="Times New Roman" w:eastAsia="Times New Roman" w:hAnsi="Times New Roman" w:cs="Times New Roman"/>
          <w:sz w:val="28"/>
        </w:rPr>
        <w:t xml:space="preserve"> – </w:t>
      </w:r>
      <w:r w:rsidR="001C7534" w:rsidRPr="001C7534">
        <w:rPr>
          <w:rFonts w:ascii="Times New Roman" w:eastAsia="Calibri" w:hAnsi="Times New Roman" w:cs="Times New Roman"/>
          <w:sz w:val="28"/>
        </w:rPr>
        <w:t>расходы на страхование, определенные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.5 настоящей Методики</w:t>
      </w:r>
      <w:r w:rsidR="001C7534" w:rsidRPr="001C7534">
        <w:rPr>
          <w:rFonts w:ascii="Times New Roman" w:eastAsia="Times New Roman" w:hAnsi="Times New Roman" w:cs="Times New Roman"/>
          <w:sz w:val="28"/>
        </w:rPr>
        <w:t>, руб.</w:t>
      </w:r>
      <w:r w:rsidR="001C7534"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КК</m:t>
            </m:r>
          </m:sub>
        </m:sSub>
      </m:oMath>
      <w:r w:rsidR="001C7534" w:rsidRPr="001C7534">
        <w:rPr>
          <w:rFonts w:ascii="Times New Roman" w:eastAsia="Times New Roman" w:hAnsi="Times New Roman" w:cs="Times New Roman"/>
          <w:sz w:val="28"/>
        </w:rPr>
        <w:t xml:space="preserve"> – </w:t>
      </w:r>
      <w:r w:rsidR="001C7534" w:rsidRPr="001C7534">
        <w:rPr>
          <w:rFonts w:ascii="Times New Roman" w:eastAsia="Calibri" w:hAnsi="Times New Roman" w:cs="Times New Roman"/>
          <w:sz w:val="28"/>
        </w:rPr>
        <w:t>расходы на контроль качества нефтепродуктов, определенные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.6 настоящей Методики</w:t>
      </w:r>
      <w:r w:rsidR="001C7534" w:rsidRPr="001C7534">
        <w:rPr>
          <w:rFonts w:ascii="Times New Roman" w:eastAsia="Times New Roman" w:hAnsi="Times New Roman" w:cs="Times New Roman"/>
          <w:sz w:val="28"/>
        </w:rPr>
        <w:t>, руб.</w:t>
      </w:r>
      <w:r w:rsidR="001C7534"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проч</m:t>
            </m:r>
          </m:sub>
        </m:sSub>
      </m:oMath>
      <w:r w:rsidR="001C7534" w:rsidRPr="001C7534">
        <w:rPr>
          <w:rFonts w:ascii="Times New Roman" w:eastAsia="Times New Roman" w:hAnsi="Times New Roman" w:cs="Times New Roman"/>
          <w:sz w:val="28"/>
        </w:rPr>
        <w:t xml:space="preserve"> – </w:t>
      </w:r>
      <w:r w:rsidR="001C7534" w:rsidRPr="001C7534">
        <w:rPr>
          <w:rFonts w:ascii="Times New Roman" w:eastAsia="Calibri" w:hAnsi="Times New Roman" w:cs="Times New Roman"/>
          <w:sz w:val="28"/>
        </w:rPr>
        <w:t>прочие производственные расходы, определенные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.7 настоящей Методики</w:t>
      </w:r>
      <w:r w:rsidR="001C7534" w:rsidRPr="001C7534">
        <w:rPr>
          <w:rFonts w:ascii="Times New Roman" w:eastAsia="Times New Roman" w:hAnsi="Times New Roman" w:cs="Times New Roman"/>
          <w:sz w:val="28"/>
        </w:rPr>
        <w:t>, руб.</w:t>
      </w:r>
      <w:r w:rsidR="001C7534"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Ч</m:t>
            </m:r>
          </m:e>
          <m:sub>
            <m:r>
              <w:rPr>
                <w:rFonts w:ascii="Cambria Math" w:eastAsia="Times New Roman" w:hAnsi="Cambria Math" w:cs="Times New Roman"/>
                <w:sz w:val="28"/>
              </w:rPr>
              <m:t>ОР</m:t>
            </m:r>
          </m:sub>
        </m:sSub>
      </m:oMath>
      <w:r w:rsidR="001C7534" w:rsidRPr="001C7534">
        <w:rPr>
          <w:rFonts w:ascii="Times New Roman" w:eastAsia="Times New Roman" w:hAnsi="Times New Roman" w:cs="Times New Roman"/>
          <w:sz w:val="28"/>
        </w:rPr>
        <w:t xml:space="preserve"> – часть </w:t>
      </w:r>
      <w:r w:rsidR="001C7534" w:rsidRPr="001C7534">
        <w:rPr>
          <w:rFonts w:ascii="Times New Roman" w:eastAsia="Calibri" w:hAnsi="Times New Roman" w:cs="Times New Roman"/>
          <w:sz w:val="28"/>
        </w:rPr>
        <w:t>общехозяйственных расходов, относимых на осуществление регулируемых видов деятельности, определяемые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.8 настоящей Методики</w:t>
      </w:r>
      <w:r w:rsidR="001C7534" w:rsidRPr="001C7534">
        <w:rPr>
          <w:rFonts w:ascii="Times New Roman" w:eastAsia="Times New Roman" w:hAnsi="Times New Roman" w:cs="Times New Roman"/>
          <w:sz w:val="28"/>
        </w:rPr>
        <w:t>, руб.</w:t>
      </w:r>
      <w:r w:rsidR="001C7534" w:rsidRPr="001C7534">
        <w:rPr>
          <w:rFonts w:ascii="Times New Roman" w:eastAsia="Calibri" w:hAnsi="Times New Roman" w:cs="Times New Roman"/>
          <w:sz w:val="28"/>
        </w:rPr>
        <w:t>;</w:t>
      </w:r>
    </w:p>
    <w:p w:rsidR="001C7534" w:rsidRPr="001C7534" w:rsidRDefault="009079B3" w:rsidP="007366C9">
      <w:pPr>
        <w:tabs>
          <w:tab w:val="left" w:pos="1134"/>
        </w:tabs>
        <w:spacing w:after="0"/>
        <w:ind w:firstLine="567"/>
        <w:jc w:val="both"/>
        <w:rPr>
          <w:rFonts w:ascii="Times New Roman" w:eastAsia="Calibri" w:hAnsi="Times New Roman" w:cs="Times New Roman"/>
          <w:sz w:val="28"/>
        </w:rPr>
      </w:p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Р</m:t>
            </m:r>
          </m:e>
          <m:sub>
            <m:r>
              <w:rPr>
                <w:rFonts w:ascii="Cambria Math" w:eastAsia="Times New Roman" w:hAnsi="Cambria Math" w:cs="Times New Roman"/>
                <w:sz w:val="28"/>
              </w:rPr>
              <m:t>НС</m:t>
            </m:r>
          </m:sub>
        </m:sSub>
      </m:oMath>
      <w:r w:rsidR="001C7534" w:rsidRPr="001C7534">
        <w:rPr>
          <w:rFonts w:ascii="Times New Roman" w:eastAsia="Calibri" w:hAnsi="Times New Roman" w:cs="Times New Roman"/>
          <w:sz w:val="28"/>
        </w:rPr>
        <w:t xml:space="preserve"> – расходы на уплату налогов и сборов, определенные в соответствии с пунктом 1</w:t>
      </w:r>
      <w:r w:rsidR="00FB36C8" w:rsidRPr="00FB36C8">
        <w:rPr>
          <w:rFonts w:ascii="Times New Roman" w:eastAsia="Calibri" w:hAnsi="Times New Roman" w:cs="Times New Roman"/>
          <w:sz w:val="28"/>
        </w:rPr>
        <w:t>8</w:t>
      </w:r>
      <w:r w:rsidR="001C7534" w:rsidRPr="001C7534">
        <w:rPr>
          <w:rFonts w:ascii="Times New Roman" w:eastAsia="Calibri" w:hAnsi="Times New Roman" w:cs="Times New Roman"/>
          <w:sz w:val="28"/>
        </w:rPr>
        <w:t>.9 настоящей Методики</w:t>
      </w:r>
      <w:r w:rsidR="001C7534" w:rsidRPr="001C7534">
        <w:rPr>
          <w:rFonts w:ascii="Times New Roman" w:eastAsia="Times New Roman" w:hAnsi="Times New Roman" w:cs="Times New Roman"/>
          <w:sz w:val="28"/>
        </w:rPr>
        <w:t>, руб.</w:t>
      </w:r>
    </w:p>
    <w:p w:rsidR="001C7534" w:rsidRPr="001C7534" w:rsidRDefault="001C7534" w:rsidP="007366C9">
      <w:pPr>
        <w:tabs>
          <w:tab w:val="left" w:pos="1134"/>
        </w:tabs>
        <w:spacing w:after="0"/>
        <w:ind w:firstLine="567"/>
        <w:jc w:val="both"/>
        <w:rPr>
          <w:rFonts w:ascii="Times New Roman" w:eastAsia="Calibri" w:hAnsi="Times New Roman" w:cs="Times New Roman"/>
          <w:sz w:val="28"/>
        </w:rPr>
      </w:pPr>
    </w:p>
    <w:p w:rsidR="001C7534" w:rsidRPr="001C7534" w:rsidRDefault="001C7534" w:rsidP="007366C9">
      <w:pPr>
        <w:numPr>
          <w:ilvl w:val="0"/>
          <w:numId w:val="2"/>
        </w:numPr>
        <w:tabs>
          <w:tab w:val="left" w:pos="1134"/>
        </w:tabs>
        <w:spacing w:after="0" w:line="240" w:lineRule="auto"/>
        <w:ind w:left="0" w:firstLine="567"/>
        <w:contextualSpacing/>
        <w:jc w:val="center"/>
        <w:rPr>
          <w:rFonts w:ascii="Times New Roman" w:eastAsia="Calibri" w:hAnsi="Times New Roman" w:cs="Times New Roman"/>
          <w:sz w:val="28"/>
        </w:rPr>
      </w:pPr>
      <w:r w:rsidRPr="001C7534">
        <w:rPr>
          <w:rFonts w:ascii="Times New Roman" w:eastAsia="Calibri" w:hAnsi="Times New Roman" w:cs="Times New Roman"/>
          <w:sz w:val="28"/>
        </w:rPr>
        <w:t>ПОРЯДОК УСТАНОВЛЕНИЯ ПРЕДЕЛЬНЫХ ТАРИФОВ</w:t>
      </w:r>
    </w:p>
    <w:p w:rsidR="001C7534" w:rsidRPr="001C7534" w:rsidRDefault="001C7534" w:rsidP="007366C9">
      <w:pPr>
        <w:tabs>
          <w:tab w:val="left" w:pos="1134"/>
        </w:tabs>
        <w:spacing w:after="0"/>
        <w:ind w:firstLine="567"/>
        <w:jc w:val="center"/>
        <w:rPr>
          <w:rFonts w:ascii="Times New Roman" w:eastAsia="Calibri" w:hAnsi="Times New Roman" w:cs="Times New Roman"/>
          <w:sz w:val="28"/>
        </w:rPr>
      </w:pP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Для установления предельных тарифов на ПСО и хранение субъекты регулирования в срок до 1 сентября, предшествующего очередному периоду регулирования, представляют в орган </w:t>
      </w:r>
      <w:r w:rsidR="003B1523">
        <w:rPr>
          <w:rFonts w:ascii="Times New Roman" w:eastAsia="Calibri" w:hAnsi="Times New Roman" w:cs="Times New Roman"/>
          <w:sz w:val="28"/>
        </w:rPr>
        <w:t xml:space="preserve">регулирования </w:t>
      </w:r>
      <w:r w:rsidR="00770CD8">
        <w:rPr>
          <w:rFonts w:ascii="Times New Roman" w:eastAsia="Calibri" w:hAnsi="Times New Roman" w:cs="Times New Roman"/>
          <w:sz w:val="28"/>
        </w:rPr>
        <w:t xml:space="preserve">заявление об установлении </w:t>
      </w:r>
      <w:r w:rsidR="003B1523">
        <w:rPr>
          <w:rFonts w:ascii="Times New Roman" w:eastAsia="Calibri" w:hAnsi="Times New Roman" w:cs="Times New Roman"/>
          <w:sz w:val="28"/>
        </w:rPr>
        <w:t>предельных тарифов</w:t>
      </w:r>
      <w:r w:rsidRPr="001C7534">
        <w:rPr>
          <w:rFonts w:ascii="Times New Roman" w:eastAsia="Calibri" w:hAnsi="Times New Roman" w:cs="Times New Roman"/>
          <w:sz w:val="28"/>
        </w:rPr>
        <w:t>.</w:t>
      </w:r>
    </w:p>
    <w:p w:rsidR="001C7534" w:rsidRPr="001C7534" w:rsidRDefault="009079B3"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Pr>
          <w:rFonts w:ascii="Times New Roman" w:eastAsia="Calibri" w:hAnsi="Times New Roman" w:cs="Times New Roman"/>
          <w:sz w:val="28"/>
        </w:rPr>
        <w:t>К заявлению об установлении предельных тарифов прилагаются следующие</w:t>
      </w:r>
      <w:r w:rsidR="001C7534" w:rsidRPr="001C7534">
        <w:rPr>
          <w:rFonts w:ascii="Times New Roman" w:eastAsia="Calibri" w:hAnsi="Times New Roman" w:cs="Times New Roman"/>
          <w:sz w:val="28"/>
        </w:rPr>
        <w:t xml:space="preserve"> обосновывающи</w:t>
      </w:r>
      <w:r>
        <w:rPr>
          <w:rFonts w:ascii="Times New Roman" w:eastAsia="Calibri" w:hAnsi="Times New Roman" w:cs="Times New Roman"/>
          <w:sz w:val="28"/>
        </w:rPr>
        <w:t>е</w:t>
      </w:r>
      <w:r w:rsidR="001C7534" w:rsidRPr="001C7534">
        <w:rPr>
          <w:rFonts w:ascii="Times New Roman" w:eastAsia="Calibri" w:hAnsi="Times New Roman" w:cs="Times New Roman"/>
          <w:sz w:val="28"/>
        </w:rPr>
        <w:t xml:space="preserve"> материал</w:t>
      </w:r>
      <w:r>
        <w:rPr>
          <w:rFonts w:ascii="Times New Roman" w:eastAsia="Calibri" w:hAnsi="Times New Roman" w:cs="Times New Roman"/>
          <w:sz w:val="28"/>
        </w:rPr>
        <w:t>ы</w:t>
      </w:r>
      <w:r w:rsidR="001C7534" w:rsidRPr="001C7534">
        <w:rPr>
          <w:rFonts w:ascii="Times New Roman" w:eastAsia="Calibri" w:hAnsi="Times New Roman" w:cs="Times New Roman"/>
          <w:sz w:val="28"/>
        </w:rPr>
        <w:t>:</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копии правоустанавливающих документов,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копии документов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копия документа о назначении (выборе) лица, имеющего право действовать от имени субъекта регулирования без доверенности;</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копии бухгалтерской, налоговой и статистической отчетности за предшествующий период регулирования и на последнюю отчетную дату;</w:t>
      </w:r>
    </w:p>
    <w:p w:rsidR="001C7534" w:rsidRPr="001C7534" w:rsidRDefault="001C7534" w:rsidP="00C5431E">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копия утвержденной производственной программы с содержащимся в не</w:t>
      </w:r>
      <w:r w:rsidR="00C5431E">
        <w:rPr>
          <w:rFonts w:ascii="Times New Roman" w:eastAsia="Calibri" w:hAnsi="Times New Roman" w:cs="Times New Roman"/>
          <w:sz w:val="28"/>
        </w:rPr>
        <w:t>й</w:t>
      </w:r>
      <w:r w:rsidRPr="001C7534">
        <w:rPr>
          <w:rFonts w:ascii="Times New Roman" w:eastAsia="Calibri" w:hAnsi="Times New Roman" w:cs="Times New Roman"/>
          <w:sz w:val="28"/>
        </w:rPr>
        <w:t xml:space="preserve"> расчетом финансовых потребностей на реализацию производственной программы с обоснованием этих потребностей и расшифровкой затрат, включенных в нее, по видам деятельности (при наличии);</w:t>
      </w:r>
    </w:p>
    <w:p w:rsidR="001C7534" w:rsidRPr="00C5431E" w:rsidRDefault="00C5431E" w:rsidP="00C5431E">
      <w:pPr>
        <w:numPr>
          <w:ilvl w:val="0"/>
          <w:numId w:val="15"/>
        </w:numPr>
        <w:tabs>
          <w:tab w:val="left" w:pos="1134"/>
        </w:tabs>
        <w:spacing w:after="0"/>
        <w:ind w:left="0" w:firstLine="567"/>
        <w:contextualSpacing/>
        <w:jc w:val="both"/>
        <w:rPr>
          <w:rFonts w:ascii="Times New Roman" w:eastAsia="Calibri" w:hAnsi="Times New Roman" w:cs="Times New Roman"/>
          <w:sz w:val="28"/>
        </w:rPr>
      </w:pPr>
      <w:r>
        <w:rPr>
          <w:rFonts w:ascii="Times New Roman" w:eastAsia="Calibri" w:hAnsi="Times New Roman" w:cs="Times New Roman"/>
          <w:sz w:val="28"/>
        </w:rPr>
        <w:t xml:space="preserve">копия </w:t>
      </w:r>
      <w:r w:rsidR="001C7534" w:rsidRPr="001C7534">
        <w:rPr>
          <w:rFonts w:ascii="Times New Roman" w:eastAsia="Calibri" w:hAnsi="Times New Roman" w:cs="Times New Roman"/>
          <w:sz w:val="28"/>
        </w:rPr>
        <w:t>инвестиционной п</w:t>
      </w:r>
      <w:r>
        <w:rPr>
          <w:rFonts w:ascii="Times New Roman" w:eastAsia="Calibri" w:hAnsi="Times New Roman" w:cs="Times New Roman"/>
          <w:sz w:val="28"/>
        </w:rPr>
        <w:t xml:space="preserve">рограммы, согласованной с исполнительным органом государственной власти Республики Саха (Якутия), уполномоченным на </w:t>
      </w:r>
      <w:r w:rsidRPr="00C5431E">
        <w:rPr>
          <w:rFonts w:ascii="Times New Roman" w:eastAsia="Calibri" w:hAnsi="Times New Roman" w:cs="Times New Roman"/>
          <w:sz w:val="28"/>
        </w:rPr>
        <w:t>организацию и координацию северного завоза, управления текущими запасами и резервами потребительских товаров</w:t>
      </w:r>
      <w:r>
        <w:rPr>
          <w:rFonts w:ascii="Times New Roman" w:eastAsia="Calibri" w:hAnsi="Times New Roman" w:cs="Times New Roman"/>
          <w:sz w:val="28"/>
        </w:rPr>
        <w:t>;</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расчет размера предельных тарифов;</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расчет дополнительно полученных доходов, и (или) недополученных доходов, и (или) экономически обоснованных расходов, не учтенных при установлении тарифов для субъекта регулирования в предыдущем периоде регулирования (при наличии);</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1C7534" w:rsidRPr="001C7534" w:rsidRDefault="001C7534" w:rsidP="00F96FEC">
      <w:pPr>
        <w:numPr>
          <w:ilvl w:val="0"/>
          <w:numId w:val="15"/>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копии договоров об оказании услуг ПСО и хранения с приложением реестра таких договоров. В указанном реестре должны быть отражены сведения о лице, с которым заключен договор, предмете договора, дате заключения договора, сроке действия договора, об объеме услуг, реализуемых по договору;</w:t>
      </w: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Заявление об установлении предельных тарифов подписывается руководителем или иным уполномоченным лицом субъекта регулирования, скрепляется печатью субъекта регулирования и содержит опись прилагаемых к нему обосновывающих материалов.</w:t>
      </w:r>
    </w:p>
    <w:p w:rsidR="001C7534" w:rsidRPr="001C7534" w:rsidRDefault="00770CD8"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Pr>
          <w:rFonts w:ascii="Times New Roman" w:eastAsia="Calibri" w:hAnsi="Times New Roman" w:cs="Times New Roman"/>
          <w:sz w:val="28"/>
        </w:rPr>
        <w:t>Заявление</w:t>
      </w:r>
      <w:r w:rsidR="001C7534" w:rsidRPr="001C7534">
        <w:rPr>
          <w:rFonts w:ascii="Times New Roman" w:eastAsia="Calibri" w:hAnsi="Times New Roman" w:cs="Times New Roman"/>
          <w:sz w:val="28"/>
        </w:rPr>
        <w:t xml:space="preserve"> об установлении предельных тарифов представляется в орган регулирования лично руководителем субъекта регулирования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В случае представления </w:t>
      </w:r>
      <w:r w:rsidR="00770CD8">
        <w:rPr>
          <w:rFonts w:ascii="Times New Roman" w:eastAsia="Calibri" w:hAnsi="Times New Roman" w:cs="Times New Roman"/>
          <w:sz w:val="28"/>
        </w:rPr>
        <w:t>заявления</w:t>
      </w:r>
      <w:r w:rsidRPr="001C7534">
        <w:rPr>
          <w:rFonts w:ascii="Times New Roman" w:eastAsia="Calibri" w:hAnsi="Times New Roman" w:cs="Times New Roman"/>
          <w:sz w:val="28"/>
        </w:rPr>
        <w:t xml:space="preserve"> об установлении</w:t>
      </w:r>
      <w:r w:rsidR="003B1523">
        <w:rPr>
          <w:rFonts w:ascii="Times New Roman" w:eastAsia="Calibri" w:hAnsi="Times New Roman" w:cs="Times New Roman"/>
          <w:sz w:val="28"/>
        </w:rPr>
        <w:t xml:space="preserve"> предельных</w:t>
      </w:r>
      <w:r w:rsidRPr="001C7534">
        <w:rPr>
          <w:rFonts w:ascii="Times New Roman" w:eastAsia="Calibri" w:hAnsi="Times New Roman" w:cs="Times New Roman"/>
          <w:sz w:val="28"/>
        </w:rPr>
        <w:t xml:space="preserve"> тарифов в электронной форме оно подписывается руководителем субъекта регулирования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В случае непредставления субъектом регулирования в полном объеме предусмотренных пунктом </w:t>
      </w:r>
      <w:r w:rsidR="00FB36C8" w:rsidRPr="00FB36C8">
        <w:rPr>
          <w:rFonts w:ascii="Times New Roman" w:eastAsia="Calibri" w:hAnsi="Times New Roman" w:cs="Times New Roman"/>
          <w:sz w:val="28"/>
        </w:rPr>
        <w:t>29</w:t>
      </w:r>
      <w:r w:rsidRPr="001C7534">
        <w:rPr>
          <w:rFonts w:ascii="Times New Roman" w:eastAsia="Calibri" w:hAnsi="Times New Roman" w:cs="Times New Roman"/>
          <w:sz w:val="28"/>
        </w:rPr>
        <w:t xml:space="preserve"> настоящей Методики обосновывающих материалов орган регулирования в течение 10 рабочих дней со дня подачи субъектом регулирования заявления об установлении </w:t>
      </w:r>
      <w:r w:rsidR="003B1523">
        <w:rPr>
          <w:rFonts w:ascii="Times New Roman" w:eastAsia="Calibri" w:hAnsi="Times New Roman" w:cs="Times New Roman"/>
          <w:sz w:val="28"/>
        </w:rPr>
        <w:t xml:space="preserve">предельных </w:t>
      </w:r>
      <w:r w:rsidRPr="001C7534">
        <w:rPr>
          <w:rFonts w:ascii="Times New Roman" w:eastAsia="Calibri" w:hAnsi="Times New Roman" w:cs="Times New Roman"/>
          <w:sz w:val="28"/>
        </w:rPr>
        <w:t>тарифов направляет уведомление о необходимости представления таких материалов в полном объеме. В случае непредставления обосновывающих материалов в течение 5 рабочих дней со дня получения такого уведомления орган регулирования без рассмотрения возвращает субъекту регулирования материалы с указанием причин возврата.</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Возврат органом регулирования заявления об установлении предельных тарифов и приложенных к нему материалов не является препятствием для повторного обращения с заявлением об установлении предельных тарифов.</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В случае если в ходе анализа представленных </w:t>
      </w:r>
      <w:r w:rsidR="00770CD8">
        <w:rPr>
          <w:rFonts w:ascii="Times New Roman" w:eastAsia="Calibri" w:hAnsi="Times New Roman" w:cs="Times New Roman"/>
          <w:sz w:val="28"/>
        </w:rPr>
        <w:t>заявлений</w:t>
      </w:r>
      <w:r w:rsidRPr="001C7534">
        <w:rPr>
          <w:rFonts w:ascii="Times New Roman" w:eastAsia="Calibri" w:hAnsi="Times New Roman" w:cs="Times New Roman"/>
          <w:sz w:val="28"/>
        </w:rPr>
        <w:t xml:space="preserve"> об установлении </w:t>
      </w:r>
      <w:r w:rsidR="003B1523">
        <w:rPr>
          <w:rFonts w:ascii="Times New Roman" w:eastAsia="Calibri" w:hAnsi="Times New Roman" w:cs="Times New Roman"/>
          <w:sz w:val="28"/>
        </w:rPr>
        <w:t xml:space="preserve">предельных </w:t>
      </w:r>
      <w:r w:rsidRPr="001C7534">
        <w:rPr>
          <w:rFonts w:ascii="Times New Roman" w:eastAsia="Calibri" w:hAnsi="Times New Roman" w:cs="Times New Roman"/>
          <w:sz w:val="28"/>
        </w:rPr>
        <w:t xml:space="preserve">тарифов возникнет необходимость уточнения </w:t>
      </w:r>
      <w:r w:rsidR="00770CD8">
        <w:rPr>
          <w:rFonts w:ascii="Times New Roman" w:eastAsia="Calibri" w:hAnsi="Times New Roman" w:cs="Times New Roman"/>
          <w:sz w:val="28"/>
        </w:rPr>
        <w:t>отдельных вопросов</w:t>
      </w:r>
      <w:r w:rsidRPr="001C7534">
        <w:rPr>
          <w:rFonts w:ascii="Times New Roman" w:eastAsia="Calibri" w:hAnsi="Times New Roman" w:cs="Times New Roman"/>
          <w:sz w:val="28"/>
        </w:rPr>
        <w:t>, орган регулирования запрашивает дополнительные сведения, в том числе сведения, подтверждающие фактически понесенные субъектом регулирования расходы в предыдущем периоде регулирования. Срок представления таких сведений определяется органом регулирования, но не может быть менее 7 рабочих дней со дня поступления субъекту регулирования запроса.</w:t>
      </w: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Для субъекта регулирования, в отношении которого ранее не осуществлялось государственное регулирование тарифов, тарифы на текущий год определяются в случае, если </w:t>
      </w:r>
      <w:r w:rsidR="003B1523">
        <w:rPr>
          <w:rFonts w:ascii="Times New Roman" w:eastAsia="Calibri" w:hAnsi="Times New Roman" w:cs="Times New Roman"/>
          <w:sz w:val="28"/>
        </w:rPr>
        <w:t>заявление</w:t>
      </w:r>
      <w:r w:rsidRPr="001C7534">
        <w:rPr>
          <w:rFonts w:ascii="Times New Roman" w:eastAsia="Calibri" w:hAnsi="Times New Roman" w:cs="Times New Roman"/>
          <w:sz w:val="28"/>
        </w:rPr>
        <w:t xml:space="preserve"> об установлении </w:t>
      </w:r>
      <w:r w:rsidR="003B1523">
        <w:rPr>
          <w:rFonts w:ascii="Times New Roman" w:eastAsia="Calibri" w:hAnsi="Times New Roman" w:cs="Times New Roman"/>
          <w:sz w:val="28"/>
        </w:rPr>
        <w:t xml:space="preserve">предельных </w:t>
      </w:r>
      <w:r w:rsidRPr="001C7534">
        <w:rPr>
          <w:rFonts w:ascii="Times New Roman" w:eastAsia="Calibri" w:hAnsi="Times New Roman" w:cs="Times New Roman"/>
          <w:sz w:val="28"/>
        </w:rPr>
        <w:t xml:space="preserve">тарифов подано не позднее 1 ноября текущего года. В этом случае предельные тарифы для субъекта регулирования </w:t>
      </w:r>
      <w:r w:rsidR="00770CD8">
        <w:rPr>
          <w:rFonts w:ascii="Times New Roman" w:eastAsia="Calibri" w:hAnsi="Times New Roman" w:cs="Times New Roman"/>
          <w:sz w:val="28"/>
        </w:rPr>
        <w:t>определяются</w:t>
      </w:r>
      <w:r w:rsidRPr="001C7534">
        <w:rPr>
          <w:rFonts w:ascii="Times New Roman" w:eastAsia="Calibri" w:hAnsi="Times New Roman" w:cs="Times New Roman"/>
          <w:sz w:val="28"/>
        </w:rPr>
        <w:t xml:space="preserve"> в течение 30 календарных дней со дня поступления в орган регулирования </w:t>
      </w:r>
      <w:r w:rsidR="00FE6F8C">
        <w:rPr>
          <w:rFonts w:ascii="Times New Roman" w:eastAsia="Calibri" w:hAnsi="Times New Roman" w:cs="Times New Roman"/>
          <w:sz w:val="28"/>
        </w:rPr>
        <w:t>заявления</w:t>
      </w:r>
      <w:r w:rsidRPr="001C7534">
        <w:rPr>
          <w:rFonts w:ascii="Times New Roman" w:eastAsia="Calibri" w:hAnsi="Times New Roman" w:cs="Times New Roman"/>
          <w:sz w:val="28"/>
        </w:rPr>
        <w:t xml:space="preserve"> об установлении</w:t>
      </w:r>
      <w:r w:rsidR="003B1523">
        <w:rPr>
          <w:rFonts w:ascii="Times New Roman" w:eastAsia="Calibri" w:hAnsi="Times New Roman" w:cs="Times New Roman"/>
          <w:sz w:val="28"/>
        </w:rPr>
        <w:t xml:space="preserve"> предельных</w:t>
      </w:r>
      <w:r w:rsidRPr="001C7534">
        <w:rPr>
          <w:rFonts w:ascii="Times New Roman" w:eastAsia="Calibri" w:hAnsi="Times New Roman" w:cs="Times New Roman"/>
          <w:sz w:val="28"/>
        </w:rPr>
        <w:t xml:space="preserve"> тарифов и необходимых обосновывающих материалов в полном объеме. По решению органа регулирования указанный срок может быть продлен не более чем на 30 календарных дней.</w:t>
      </w:r>
    </w:p>
    <w:p w:rsidR="001C7534" w:rsidRPr="001C7534" w:rsidRDefault="001C7534" w:rsidP="00F96FEC">
      <w:pPr>
        <w:tabs>
          <w:tab w:val="left" w:pos="1134"/>
        </w:tabs>
        <w:spacing w:after="0"/>
        <w:ind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Для субъекта регулирования, впервые обратившегося с </w:t>
      </w:r>
      <w:r w:rsidR="00FE6F8C">
        <w:rPr>
          <w:rFonts w:ascii="Times New Roman" w:eastAsia="Calibri" w:hAnsi="Times New Roman" w:cs="Times New Roman"/>
          <w:sz w:val="28"/>
        </w:rPr>
        <w:t>заявлением</w:t>
      </w:r>
      <w:r w:rsidRPr="001C7534">
        <w:rPr>
          <w:rFonts w:ascii="Times New Roman" w:eastAsia="Calibri" w:hAnsi="Times New Roman" w:cs="Times New Roman"/>
          <w:sz w:val="28"/>
        </w:rPr>
        <w:t xml:space="preserve"> об установлении предельных тарифов, сведения об экономически обоснованных расходах, фактически понесенных в период со дня подачи документов, указанных в пунктах 2</w:t>
      </w:r>
      <w:r w:rsidR="001255EE" w:rsidRPr="001255EE">
        <w:rPr>
          <w:rFonts w:ascii="Times New Roman" w:eastAsia="Calibri" w:hAnsi="Times New Roman" w:cs="Times New Roman"/>
          <w:sz w:val="28"/>
        </w:rPr>
        <w:t>8</w:t>
      </w:r>
      <w:r w:rsidRPr="001C7534">
        <w:rPr>
          <w:rFonts w:ascii="Times New Roman" w:eastAsia="Calibri" w:hAnsi="Times New Roman" w:cs="Times New Roman"/>
          <w:sz w:val="28"/>
        </w:rPr>
        <w:t xml:space="preserve"> – </w:t>
      </w:r>
      <w:r w:rsidR="001255EE" w:rsidRPr="001255EE">
        <w:rPr>
          <w:rFonts w:ascii="Times New Roman" w:eastAsia="Calibri" w:hAnsi="Times New Roman" w:cs="Times New Roman"/>
          <w:sz w:val="28"/>
        </w:rPr>
        <w:t>29</w:t>
      </w:r>
      <w:r w:rsidRPr="001C7534">
        <w:rPr>
          <w:rFonts w:ascii="Times New Roman" w:eastAsia="Calibri" w:hAnsi="Times New Roman" w:cs="Times New Roman"/>
          <w:sz w:val="28"/>
        </w:rPr>
        <w:t xml:space="preserve"> настоящей Методики, до начала очередного периода регулирования, рассматриваются органом регулирования и учитываются при установлении такому субъекту регулирования тарифов на последующий период регулирования.</w:t>
      </w:r>
    </w:p>
    <w:p w:rsidR="00770CD8" w:rsidRDefault="00770CD8" w:rsidP="00FB36C8">
      <w:pPr>
        <w:pStyle w:val="a5"/>
        <w:numPr>
          <w:ilvl w:val="0"/>
          <w:numId w:val="18"/>
        </w:numPr>
        <w:tabs>
          <w:tab w:val="left" w:pos="1134"/>
        </w:tabs>
        <w:spacing w:after="0"/>
        <w:ind w:left="0" w:firstLine="567"/>
        <w:jc w:val="both"/>
        <w:rPr>
          <w:rFonts w:ascii="Times New Roman" w:eastAsia="Calibri" w:hAnsi="Times New Roman" w:cs="Times New Roman"/>
          <w:sz w:val="28"/>
        </w:rPr>
      </w:pPr>
      <w:r>
        <w:rPr>
          <w:rFonts w:ascii="Times New Roman" w:eastAsia="Calibri" w:hAnsi="Times New Roman" w:cs="Times New Roman"/>
          <w:sz w:val="28"/>
        </w:rPr>
        <w:t xml:space="preserve">Орган регулирования </w:t>
      </w:r>
      <w:r w:rsidRPr="00770CD8">
        <w:rPr>
          <w:rFonts w:ascii="Times New Roman" w:eastAsia="Calibri" w:hAnsi="Times New Roman" w:cs="Times New Roman"/>
          <w:sz w:val="28"/>
        </w:rPr>
        <w:t>осуществляет расчет и вносит на утверждение Правительства Республики Саха (Якутия) решени</w:t>
      </w:r>
      <w:r>
        <w:rPr>
          <w:rFonts w:ascii="Times New Roman" w:eastAsia="Calibri" w:hAnsi="Times New Roman" w:cs="Times New Roman"/>
          <w:sz w:val="28"/>
        </w:rPr>
        <w:t>е</w:t>
      </w:r>
      <w:r w:rsidRPr="00770CD8">
        <w:rPr>
          <w:rFonts w:ascii="Times New Roman" w:eastAsia="Calibri" w:hAnsi="Times New Roman" w:cs="Times New Roman"/>
          <w:sz w:val="28"/>
        </w:rPr>
        <w:t xml:space="preserve"> об установлении</w:t>
      </w:r>
      <w:r>
        <w:rPr>
          <w:rFonts w:ascii="Times New Roman" w:eastAsia="Calibri" w:hAnsi="Times New Roman" w:cs="Times New Roman"/>
          <w:sz w:val="28"/>
        </w:rPr>
        <w:t xml:space="preserve"> предельных тарифов на ПСО и хранение.</w:t>
      </w:r>
    </w:p>
    <w:p w:rsidR="00770CD8" w:rsidRPr="00770CD8" w:rsidRDefault="00770CD8" w:rsidP="00770CD8">
      <w:pPr>
        <w:tabs>
          <w:tab w:val="left" w:pos="1134"/>
        </w:tabs>
        <w:spacing w:after="0"/>
        <w:ind w:firstLine="567"/>
        <w:jc w:val="both"/>
        <w:rPr>
          <w:rFonts w:ascii="Times New Roman" w:eastAsia="Calibri" w:hAnsi="Times New Roman" w:cs="Times New Roman"/>
          <w:sz w:val="28"/>
        </w:rPr>
      </w:pPr>
      <w:r>
        <w:rPr>
          <w:rFonts w:ascii="Times New Roman" w:eastAsia="Calibri" w:hAnsi="Times New Roman" w:cs="Times New Roman"/>
          <w:sz w:val="28"/>
        </w:rPr>
        <w:t xml:space="preserve">Решение об установлении предельных тарифов на ПСО и хранение вносится в порядке, предусмотренном пунктом 7 Регламента Правительства Республики Саха (Якутия), утвержденного постановлением Правительства Республики Саха (Якутия) от </w:t>
      </w:r>
      <w:r w:rsidRPr="00770CD8">
        <w:rPr>
          <w:rFonts w:ascii="Times New Roman" w:eastAsia="Calibri" w:hAnsi="Times New Roman" w:cs="Times New Roman"/>
          <w:sz w:val="28"/>
        </w:rPr>
        <w:t xml:space="preserve">22.11.2007 </w:t>
      </w:r>
      <w:r>
        <w:rPr>
          <w:rFonts w:ascii="Times New Roman" w:eastAsia="Calibri" w:hAnsi="Times New Roman" w:cs="Times New Roman"/>
          <w:sz w:val="28"/>
        </w:rPr>
        <w:t>№</w:t>
      </w:r>
      <w:r w:rsidRPr="00770CD8">
        <w:rPr>
          <w:rFonts w:ascii="Times New Roman" w:eastAsia="Calibri" w:hAnsi="Times New Roman" w:cs="Times New Roman"/>
          <w:sz w:val="28"/>
        </w:rPr>
        <w:t xml:space="preserve"> 468</w:t>
      </w:r>
      <w:r>
        <w:rPr>
          <w:rFonts w:ascii="Times New Roman" w:eastAsia="Calibri" w:hAnsi="Times New Roman" w:cs="Times New Roman"/>
          <w:sz w:val="28"/>
        </w:rPr>
        <w:t>.</w:t>
      </w: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Предельные тарифы устанавливаются </w:t>
      </w:r>
      <w:r w:rsidR="00770CD8">
        <w:rPr>
          <w:rFonts w:ascii="Times New Roman" w:eastAsia="Calibri" w:hAnsi="Times New Roman" w:cs="Times New Roman"/>
          <w:sz w:val="28"/>
        </w:rPr>
        <w:t>Правительством Республики Саха (Якутия)</w:t>
      </w:r>
      <w:r w:rsidRPr="001C7534">
        <w:rPr>
          <w:rFonts w:ascii="Times New Roman" w:eastAsia="Calibri" w:hAnsi="Times New Roman" w:cs="Times New Roman"/>
          <w:sz w:val="28"/>
        </w:rPr>
        <w:t xml:space="preserve"> до начала очередного периода регулирования, но не позднее 20 декабря года, предшествующего очередному периоду регулирования.</w:t>
      </w:r>
    </w:p>
    <w:p w:rsidR="00770CD8" w:rsidRPr="001C7534" w:rsidRDefault="00770CD8" w:rsidP="00F96FEC">
      <w:pPr>
        <w:tabs>
          <w:tab w:val="left" w:pos="1134"/>
        </w:tabs>
        <w:spacing w:after="0"/>
        <w:ind w:firstLine="567"/>
        <w:jc w:val="both"/>
        <w:rPr>
          <w:rFonts w:ascii="Times New Roman" w:eastAsia="Calibri" w:hAnsi="Times New Roman" w:cs="Times New Roman"/>
          <w:sz w:val="28"/>
        </w:rPr>
      </w:pPr>
    </w:p>
    <w:p w:rsidR="001C7534" w:rsidRPr="001C7534" w:rsidRDefault="001C7534" w:rsidP="00F96FEC">
      <w:pPr>
        <w:numPr>
          <w:ilvl w:val="0"/>
          <w:numId w:val="2"/>
        </w:numPr>
        <w:tabs>
          <w:tab w:val="left" w:pos="1134"/>
        </w:tabs>
        <w:spacing w:after="0"/>
        <w:ind w:left="0" w:firstLine="567"/>
        <w:contextualSpacing/>
        <w:jc w:val="center"/>
        <w:rPr>
          <w:rFonts w:ascii="Times New Roman" w:eastAsia="Calibri" w:hAnsi="Times New Roman" w:cs="Times New Roman"/>
          <w:sz w:val="28"/>
        </w:rPr>
      </w:pPr>
      <w:r w:rsidRPr="001C7534">
        <w:rPr>
          <w:rFonts w:ascii="Times New Roman" w:eastAsia="Calibri" w:hAnsi="Times New Roman" w:cs="Times New Roman"/>
          <w:sz w:val="28"/>
        </w:rPr>
        <w:t>ЗАКЛЮЧИТЕЛЬНЫЕ ПОЛОЖЕНИЯ</w:t>
      </w:r>
    </w:p>
    <w:p w:rsidR="001C7534" w:rsidRPr="001C7534" w:rsidRDefault="001C7534" w:rsidP="00F96FEC">
      <w:pPr>
        <w:tabs>
          <w:tab w:val="left" w:pos="1134"/>
        </w:tabs>
        <w:spacing w:after="0"/>
        <w:ind w:firstLine="567"/>
        <w:jc w:val="center"/>
        <w:rPr>
          <w:rFonts w:ascii="Times New Roman" w:eastAsia="Calibri" w:hAnsi="Times New Roman" w:cs="Times New Roman"/>
          <w:sz w:val="28"/>
        </w:rPr>
      </w:pPr>
    </w:p>
    <w:p w:rsidR="001C7534" w:rsidRPr="001C7534"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Субъекты регулирования имеют право самостоятельно устанавливать тарифы на ПСО и хранение </w:t>
      </w:r>
      <w:r w:rsidR="00770CD8">
        <w:rPr>
          <w:rFonts w:ascii="Times New Roman" w:eastAsia="Calibri" w:hAnsi="Times New Roman" w:cs="Times New Roman"/>
          <w:sz w:val="28"/>
        </w:rPr>
        <w:t>в рамках</w:t>
      </w:r>
      <w:r w:rsidRPr="001C7534">
        <w:rPr>
          <w:rFonts w:ascii="Times New Roman" w:eastAsia="Calibri" w:hAnsi="Times New Roman" w:cs="Times New Roman"/>
          <w:sz w:val="28"/>
        </w:rPr>
        <w:t xml:space="preserve"> установленных </w:t>
      </w:r>
      <w:r w:rsidR="00770CD8">
        <w:rPr>
          <w:rFonts w:ascii="Times New Roman" w:eastAsia="Calibri" w:hAnsi="Times New Roman" w:cs="Times New Roman"/>
          <w:sz w:val="28"/>
        </w:rPr>
        <w:t xml:space="preserve">Правительством Республики Саха (Якутия) </w:t>
      </w:r>
      <w:r w:rsidR="003927F3">
        <w:rPr>
          <w:rFonts w:ascii="Times New Roman" w:eastAsia="Calibri" w:hAnsi="Times New Roman" w:cs="Times New Roman"/>
          <w:sz w:val="28"/>
        </w:rPr>
        <w:t>предельных тарифов.</w:t>
      </w:r>
    </w:p>
    <w:p w:rsidR="004476FB" w:rsidRPr="00543EB9" w:rsidRDefault="001C7534" w:rsidP="00FB36C8">
      <w:pPr>
        <w:numPr>
          <w:ilvl w:val="0"/>
          <w:numId w:val="18"/>
        </w:numPr>
        <w:tabs>
          <w:tab w:val="left" w:pos="1134"/>
        </w:tabs>
        <w:spacing w:after="0"/>
        <w:ind w:left="0" w:firstLine="567"/>
        <w:contextualSpacing/>
        <w:jc w:val="both"/>
        <w:rPr>
          <w:rFonts w:ascii="Times New Roman" w:eastAsia="Calibri" w:hAnsi="Times New Roman" w:cs="Times New Roman"/>
          <w:sz w:val="28"/>
        </w:rPr>
      </w:pPr>
      <w:r w:rsidRPr="001C7534">
        <w:rPr>
          <w:rFonts w:ascii="Times New Roman" w:eastAsia="Calibri" w:hAnsi="Times New Roman" w:cs="Times New Roman"/>
          <w:sz w:val="28"/>
        </w:rPr>
        <w:t xml:space="preserve">Применение субъектами регулирования </w:t>
      </w:r>
      <w:r w:rsidR="00770CD8">
        <w:rPr>
          <w:rFonts w:ascii="Times New Roman" w:eastAsia="Calibri" w:hAnsi="Times New Roman" w:cs="Times New Roman"/>
          <w:sz w:val="28"/>
        </w:rPr>
        <w:t xml:space="preserve">предельных </w:t>
      </w:r>
      <w:r w:rsidRPr="001C7534">
        <w:rPr>
          <w:rFonts w:ascii="Times New Roman" w:eastAsia="Calibri" w:hAnsi="Times New Roman" w:cs="Times New Roman"/>
          <w:sz w:val="28"/>
        </w:rPr>
        <w:t xml:space="preserve">тарифов на ПСО и хранение, превышающих установленный </w:t>
      </w:r>
      <w:r w:rsidR="00770CD8">
        <w:rPr>
          <w:rFonts w:ascii="Times New Roman" w:eastAsia="Calibri" w:hAnsi="Times New Roman" w:cs="Times New Roman"/>
          <w:sz w:val="28"/>
        </w:rPr>
        <w:t>Правительством Республики Саха (Якутия)</w:t>
      </w:r>
      <w:r w:rsidRPr="001C7534">
        <w:rPr>
          <w:rFonts w:ascii="Times New Roman" w:eastAsia="Calibri" w:hAnsi="Times New Roman" w:cs="Times New Roman"/>
          <w:sz w:val="28"/>
        </w:rPr>
        <w:t xml:space="preserve"> размер предельных тарифов, является нарушением порядка ценообразования и влечет применение административной ответственности в соответствии с действующим законодательством Российской Федерации.</w:t>
      </w:r>
    </w:p>
    <w:sectPr w:rsidR="004476FB" w:rsidRPr="00543EB9" w:rsidSect="00655FA3">
      <w:headerReference w:type="default" r:id="rId9"/>
      <w:pgSz w:w="11906" w:h="16838" w:code="9"/>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BA" w:rsidRDefault="00E416BA" w:rsidP="00CA238E">
      <w:pPr>
        <w:spacing w:after="0" w:line="240" w:lineRule="auto"/>
      </w:pPr>
      <w:r>
        <w:separator/>
      </w:r>
    </w:p>
  </w:endnote>
  <w:endnote w:type="continuationSeparator" w:id="0">
    <w:p w:rsidR="00E416BA" w:rsidRDefault="00E416BA" w:rsidP="00CA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BA" w:rsidRDefault="00E416BA" w:rsidP="00CA238E">
      <w:pPr>
        <w:spacing w:after="0" w:line="240" w:lineRule="auto"/>
      </w:pPr>
      <w:r>
        <w:separator/>
      </w:r>
    </w:p>
  </w:footnote>
  <w:footnote w:type="continuationSeparator" w:id="0">
    <w:p w:rsidR="00E416BA" w:rsidRDefault="00E416BA" w:rsidP="00CA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695894"/>
      <w:docPartObj>
        <w:docPartGallery w:val="Page Numbers (Top of Page)"/>
        <w:docPartUnique/>
      </w:docPartObj>
    </w:sdtPr>
    <w:sdtEndPr>
      <w:rPr>
        <w:rFonts w:ascii="Times New Roman" w:hAnsi="Times New Roman" w:cs="Times New Roman"/>
      </w:rPr>
    </w:sdtEndPr>
    <w:sdtContent>
      <w:p w:rsidR="0028737E" w:rsidRPr="007366C9" w:rsidRDefault="0028737E" w:rsidP="007366C9">
        <w:pPr>
          <w:pStyle w:val="a8"/>
          <w:jc w:val="center"/>
          <w:rPr>
            <w:rFonts w:ascii="Times New Roman" w:hAnsi="Times New Roman" w:cs="Times New Roman"/>
          </w:rPr>
        </w:pPr>
        <w:r w:rsidRPr="003661C8">
          <w:rPr>
            <w:rFonts w:ascii="Times New Roman" w:hAnsi="Times New Roman" w:cs="Times New Roman"/>
          </w:rPr>
          <w:fldChar w:fldCharType="begin"/>
        </w:r>
        <w:r w:rsidRPr="003661C8">
          <w:rPr>
            <w:rFonts w:ascii="Times New Roman" w:hAnsi="Times New Roman" w:cs="Times New Roman"/>
          </w:rPr>
          <w:instrText>PAGE   \* MERGEFORMAT</w:instrText>
        </w:r>
        <w:r w:rsidRPr="003661C8">
          <w:rPr>
            <w:rFonts w:ascii="Times New Roman" w:hAnsi="Times New Roman" w:cs="Times New Roman"/>
          </w:rPr>
          <w:fldChar w:fldCharType="separate"/>
        </w:r>
        <w:r w:rsidR="009079B3">
          <w:rPr>
            <w:rFonts w:ascii="Times New Roman" w:hAnsi="Times New Roman" w:cs="Times New Roman"/>
            <w:noProof/>
          </w:rPr>
          <w:t>4</w:t>
        </w:r>
        <w:r w:rsidRPr="003661C8">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96565"/>
      <w:docPartObj>
        <w:docPartGallery w:val="Page Numbers (Top of Page)"/>
        <w:docPartUnique/>
      </w:docPartObj>
    </w:sdtPr>
    <w:sdtEndPr>
      <w:rPr>
        <w:sz w:val="24"/>
      </w:rPr>
    </w:sdtEndPr>
    <w:sdtContent>
      <w:p w:rsidR="00331DDA" w:rsidRPr="007B6644" w:rsidRDefault="002B6134">
        <w:pPr>
          <w:pStyle w:val="a8"/>
          <w:jc w:val="center"/>
          <w:rPr>
            <w:sz w:val="24"/>
          </w:rPr>
        </w:pPr>
        <w:r w:rsidRPr="007B6644">
          <w:rPr>
            <w:sz w:val="24"/>
          </w:rPr>
          <w:fldChar w:fldCharType="begin"/>
        </w:r>
        <w:r w:rsidRPr="007B6644">
          <w:rPr>
            <w:sz w:val="24"/>
          </w:rPr>
          <w:instrText>PAGE   \* MERGEFORMAT</w:instrText>
        </w:r>
        <w:r w:rsidRPr="007B6644">
          <w:rPr>
            <w:sz w:val="24"/>
          </w:rPr>
          <w:fldChar w:fldCharType="separate"/>
        </w:r>
        <w:r w:rsidR="009079B3">
          <w:rPr>
            <w:noProof/>
            <w:sz w:val="24"/>
          </w:rPr>
          <w:t>3</w:t>
        </w:r>
        <w:r w:rsidRPr="007B664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864"/>
    <w:multiLevelType w:val="hybridMultilevel"/>
    <w:tmpl w:val="8BCEE4F4"/>
    <w:lvl w:ilvl="0" w:tplc="8F900D46">
      <w:start w:val="1"/>
      <w:numFmt w:val="bullet"/>
      <w:lvlText w:val=""/>
      <w:lvlJc w:val="left"/>
      <w:pPr>
        <w:ind w:left="844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BE18F4"/>
    <w:multiLevelType w:val="multilevel"/>
    <w:tmpl w:val="2A58D57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4301AD9"/>
    <w:multiLevelType w:val="hybridMultilevel"/>
    <w:tmpl w:val="694C084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D4396C"/>
    <w:multiLevelType w:val="hybridMultilevel"/>
    <w:tmpl w:val="25C43E1A"/>
    <w:lvl w:ilvl="0" w:tplc="FB24298C">
      <w:start w:val="1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A717EE"/>
    <w:multiLevelType w:val="hybridMultilevel"/>
    <w:tmpl w:val="5B985B50"/>
    <w:lvl w:ilvl="0" w:tplc="A0BCF2F8">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C15AED"/>
    <w:multiLevelType w:val="hybridMultilevel"/>
    <w:tmpl w:val="15C68F00"/>
    <w:lvl w:ilvl="0" w:tplc="A0BCF2F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10C26AE"/>
    <w:multiLevelType w:val="hybridMultilevel"/>
    <w:tmpl w:val="29D42114"/>
    <w:lvl w:ilvl="0" w:tplc="A0BCF2F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047C70"/>
    <w:multiLevelType w:val="hybridMultilevel"/>
    <w:tmpl w:val="4BC89E08"/>
    <w:lvl w:ilvl="0" w:tplc="A0BCF2F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5562BA"/>
    <w:multiLevelType w:val="hybridMultilevel"/>
    <w:tmpl w:val="7B7CD78E"/>
    <w:lvl w:ilvl="0" w:tplc="A0BCF2F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3830889"/>
    <w:multiLevelType w:val="hybridMultilevel"/>
    <w:tmpl w:val="496E6A9E"/>
    <w:lvl w:ilvl="0" w:tplc="A0BCF2F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3E94AEB"/>
    <w:multiLevelType w:val="multilevel"/>
    <w:tmpl w:val="97B815F2"/>
    <w:lvl w:ilvl="0">
      <w:start w:val="1"/>
      <w:numFmt w:val="decimal"/>
      <w:lvlText w:val="%1."/>
      <w:lvlJc w:val="left"/>
      <w:pPr>
        <w:ind w:left="786" w:hanging="360"/>
      </w:pPr>
      <w:rPr>
        <w:rFonts w:ascii="Times New Roman" w:eastAsia="Times New Roman" w:hAnsi="Times New Roman" w:cs="Times New Roman"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1" w15:restartNumberingAfterBreak="0">
    <w:nsid w:val="5B813615"/>
    <w:multiLevelType w:val="hybridMultilevel"/>
    <w:tmpl w:val="0794F57E"/>
    <w:lvl w:ilvl="0" w:tplc="8F900D46">
      <w:start w:val="1"/>
      <w:numFmt w:val="bullet"/>
      <w:lvlText w:val=""/>
      <w:lvlJc w:val="left"/>
      <w:pPr>
        <w:ind w:left="6173"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12" w15:restartNumberingAfterBreak="0">
    <w:nsid w:val="63394D37"/>
    <w:multiLevelType w:val="hybridMultilevel"/>
    <w:tmpl w:val="D8283A18"/>
    <w:lvl w:ilvl="0" w:tplc="8F900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352FDE"/>
    <w:multiLevelType w:val="hybridMultilevel"/>
    <w:tmpl w:val="E49CBB9A"/>
    <w:lvl w:ilvl="0" w:tplc="0566762E">
      <w:start w:val="20"/>
      <w:numFmt w:val="decimal"/>
      <w:lvlText w:val="%1."/>
      <w:lvlJc w:val="left"/>
      <w:pPr>
        <w:ind w:left="29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F2E7919"/>
    <w:multiLevelType w:val="hybridMultilevel"/>
    <w:tmpl w:val="04405E04"/>
    <w:lvl w:ilvl="0" w:tplc="73DC36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401967"/>
    <w:multiLevelType w:val="hybridMultilevel"/>
    <w:tmpl w:val="8AAEC31E"/>
    <w:lvl w:ilvl="0" w:tplc="8F900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B452A9"/>
    <w:multiLevelType w:val="hybridMultilevel"/>
    <w:tmpl w:val="EFDA4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09459C"/>
    <w:multiLevelType w:val="hybridMultilevel"/>
    <w:tmpl w:val="81D2B6F2"/>
    <w:lvl w:ilvl="0" w:tplc="8F900D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11"/>
  </w:num>
  <w:num w:numId="5">
    <w:abstractNumId w:val="16"/>
  </w:num>
  <w:num w:numId="6">
    <w:abstractNumId w:val="0"/>
  </w:num>
  <w:num w:numId="7">
    <w:abstractNumId w:val="15"/>
  </w:num>
  <w:num w:numId="8">
    <w:abstractNumId w:val="4"/>
  </w:num>
  <w:num w:numId="9">
    <w:abstractNumId w:val="7"/>
  </w:num>
  <w:num w:numId="10">
    <w:abstractNumId w:val="2"/>
  </w:num>
  <w:num w:numId="11">
    <w:abstractNumId w:val="6"/>
  </w:num>
  <w:num w:numId="12">
    <w:abstractNumId w:val="5"/>
  </w:num>
  <w:num w:numId="13">
    <w:abstractNumId w:val="9"/>
  </w:num>
  <w:num w:numId="14">
    <w:abstractNumId w:val="13"/>
  </w:num>
  <w:num w:numId="15">
    <w:abstractNumId w:val="8"/>
  </w:num>
  <w:num w:numId="16">
    <w:abstractNumId w:val="17"/>
  </w:num>
  <w:num w:numId="17">
    <w:abstractNumId w:val="12"/>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0F"/>
    <w:rsid w:val="00001D3A"/>
    <w:rsid w:val="00003B96"/>
    <w:rsid w:val="00014334"/>
    <w:rsid w:val="00014B70"/>
    <w:rsid w:val="000166B7"/>
    <w:rsid w:val="00024BFA"/>
    <w:rsid w:val="00035232"/>
    <w:rsid w:val="0003557A"/>
    <w:rsid w:val="00035EEB"/>
    <w:rsid w:val="00036D1F"/>
    <w:rsid w:val="0004435F"/>
    <w:rsid w:val="00046855"/>
    <w:rsid w:val="00047FAF"/>
    <w:rsid w:val="00055B54"/>
    <w:rsid w:val="000576BA"/>
    <w:rsid w:val="00060F3A"/>
    <w:rsid w:val="000700F1"/>
    <w:rsid w:val="0007215F"/>
    <w:rsid w:val="000850A6"/>
    <w:rsid w:val="00086EF5"/>
    <w:rsid w:val="000A260F"/>
    <w:rsid w:val="000A532E"/>
    <w:rsid w:val="000A6E9E"/>
    <w:rsid w:val="000B2F0C"/>
    <w:rsid w:val="000B473B"/>
    <w:rsid w:val="000B56EA"/>
    <w:rsid w:val="000C0355"/>
    <w:rsid w:val="000C3C50"/>
    <w:rsid w:val="000D0BB1"/>
    <w:rsid w:val="000D1668"/>
    <w:rsid w:val="000D22F6"/>
    <w:rsid w:val="000D3C2A"/>
    <w:rsid w:val="000D7F28"/>
    <w:rsid w:val="000E2B88"/>
    <w:rsid w:val="000E4282"/>
    <w:rsid w:val="000E46BE"/>
    <w:rsid w:val="000E6D98"/>
    <w:rsid w:val="000F45E5"/>
    <w:rsid w:val="000F5D78"/>
    <w:rsid w:val="00104A2D"/>
    <w:rsid w:val="0011037B"/>
    <w:rsid w:val="00111EB8"/>
    <w:rsid w:val="00121F4C"/>
    <w:rsid w:val="001255EE"/>
    <w:rsid w:val="001256D5"/>
    <w:rsid w:val="00132528"/>
    <w:rsid w:val="00134200"/>
    <w:rsid w:val="0013671B"/>
    <w:rsid w:val="001375B7"/>
    <w:rsid w:val="001475ED"/>
    <w:rsid w:val="001628F5"/>
    <w:rsid w:val="0016791B"/>
    <w:rsid w:val="00175DE7"/>
    <w:rsid w:val="00186E2A"/>
    <w:rsid w:val="00194456"/>
    <w:rsid w:val="00195E62"/>
    <w:rsid w:val="001B5372"/>
    <w:rsid w:val="001B5E3B"/>
    <w:rsid w:val="001B6029"/>
    <w:rsid w:val="001B7CB1"/>
    <w:rsid w:val="001C72C3"/>
    <w:rsid w:val="001C73AF"/>
    <w:rsid w:val="001C7534"/>
    <w:rsid w:val="001D0D30"/>
    <w:rsid w:val="001E1933"/>
    <w:rsid w:val="001E2043"/>
    <w:rsid w:val="001E49A5"/>
    <w:rsid w:val="001F4600"/>
    <w:rsid w:val="001F506E"/>
    <w:rsid w:val="001F53D3"/>
    <w:rsid w:val="00200F49"/>
    <w:rsid w:val="0020259B"/>
    <w:rsid w:val="002040CD"/>
    <w:rsid w:val="002052BF"/>
    <w:rsid w:val="00206F77"/>
    <w:rsid w:val="0020755D"/>
    <w:rsid w:val="00211023"/>
    <w:rsid w:val="00214C5D"/>
    <w:rsid w:val="002151A2"/>
    <w:rsid w:val="00221600"/>
    <w:rsid w:val="002254BE"/>
    <w:rsid w:val="00226A00"/>
    <w:rsid w:val="00233BDA"/>
    <w:rsid w:val="00237617"/>
    <w:rsid w:val="00243893"/>
    <w:rsid w:val="00244A0D"/>
    <w:rsid w:val="00251C81"/>
    <w:rsid w:val="00251CEC"/>
    <w:rsid w:val="00262CED"/>
    <w:rsid w:val="00267B0C"/>
    <w:rsid w:val="002712F6"/>
    <w:rsid w:val="0027564B"/>
    <w:rsid w:val="002773FB"/>
    <w:rsid w:val="002806F7"/>
    <w:rsid w:val="0028737E"/>
    <w:rsid w:val="00292867"/>
    <w:rsid w:val="00294E4F"/>
    <w:rsid w:val="00295CA1"/>
    <w:rsid w:val="002A020E"/>
    <w:rsid w:val="002A234D"/>
    <w:rsid w:val="002A2C21"/>
    <w:rsid w:val="002A46A0"/>
    <w:rsid w:val="002B419D"/>
    <w:rsid w:val="002B50DF"/>
    <w:rsid w:val="002B6134"/>
    <w:rsid w:val="002B797C"/>
    <w:rsid w:val="002C19C5"/>
    <w:rsid w:val="002C1E1C"/>
    <w:rsid w:val="002C3B41"/>
    <w:rsid w:val="002C7C98"/>
    <w:rsid w:val="002D0D33"/>
    <w:rsid w:val="002D5322"/>
    <w:rsid w:val="002E06C4"/>
    <w:rsid w:val="002E0FB5"/>
    <w:rsid w:val="002E2CAF"/>
    <w:rsid w:val="002E2CD5"/>
    <w:rsid w:val="002E2E48"/>
    <w:rsid w:val="002E69E9"/>
    <w:rsid w:val="002F0354"/>
    <w:rsid w:val="002F2D58"/>
    <w:rsid w:val="002F57AA"/>
    <w:rsid w:val="00306915"/>
    <w:rsid w:val="00307DA1"/>
    <w:rsid w:val="00310603"/>
    <w:rsid w:val="00311A5E"/>
    <w:rsid w:val="003124B4"/>
    <w:rsid w:val="00314078"/>
    <w:rsid w:val="003326BD"/>
    <w:rsid w:val="00340E00"/>
    <w:rsid w:val="003447FF"/>
    <w:rsid w:val="00346176"/>
    <w:rsid w:val="00354519"/>
    <w:rsid w:val="00355CC1"/>
    <w:rsid w:val="0036372A"/>
    <w:rsid w:val="003661C8"/>
    <w:rsid w:val="0036622C"/>
    <w:rsid w:val="00370C6E"/>
    <w:rsid w:val="00371B40"/>
    <w:rsid w:val="0038095A"/>
    <w:rsid w:val="003815E1"/>
    <w:rsid w:val="00384D9C"/>
    <w:rsid w:val="00385A22"/>
    <w:rsid w:val="003927F3"/>
    <w:rsid w:val="0039361E"/>
    <w:rsid w:val="00394099"/>
    <w:rsid w:val="003A1EB3"/>
    <w:rsid w:val="003A26D4"/>
    <w:rsid w:val="003A4FC9"/>
    <w:rsid w:val="003B0215"/>
    <w:rsid w:val="003B1523"/>
    <w:rsid w:val="003B2B8C"/>
    <w:rsid w:val="003C670A"/>
    <w:rsid w:val="003D1F6B"/>
    <w:rsid w:val="003D3170"/>
    <w:rsid w:val="003D7A95"/>
    <w:rsid w:val="003E47BE"/>
    <w:rsid w:val="003E53C6"/>
    <w:rsid w:val="003F3DC1"/>
    <w:rsid w:val="0040009F"/>
    <w:rsid w:val="0040430D"/>
    <w:rsid w:val="0040689F"/>
    <w:rsid w:val="00415807"/>
    <w:rsid w:val="00417011"/>
    <w:rsid w:val="0042061F"/>
    <w:rsid w:val="00424F45"/>
    <w:rsid w:val="004324BC"/>
    <w:rsid w:val="00433ABB"/>
    <w:rsid w:val="004360EC"/>
    <w:rsid w:val="004362D7"/>
    <w:rsid w:val="00437BAE"/>
    <w:rsid w:val="00441F5E"/>
    <w:rsid w:val="00442D8E"/>
    <w:rsid w:val="00444881"/>
    <w:rsid w:val="0044559B"/>
    <w:rsid w:val="004476FB"/>
    <w:rsid w:val="0045167A"/>
    <w:rsid w:val="00453C09"/>
    <w:rsid w:val="00457950"/>
    <w:rsid w:val="00460361"/>
    <w:rsid w:val="004614FB"/>
    <w:rsid w:val="00466060"/>
    <w:rsid w:val="004665E9"/>
    <w:rsid w:val="00467999"/>
    <w:rsid w:val="00467EFC"/>
    <w:rsid w:val="00470C1C"/>
    <w:rsid w:val="0047488B"/>
    <w:rsid w:val="00475AB0"/>
    <w:rsid w:val="00476591"/>
    <w:rsid w:val="00477B1E"/>
    <w:rsid w:val="00481A79"/>
    <w:rsid w:val="004825C3"/>
    <w:rsid w:val="00484048"/>
    <w:rsid w:val="00487F0D"/>
    <w:rsid w:val="00497385"/>
    <w:rsid w:val="004A1A91"/>
    <w:rsid w:val="004B63F0"/>
    <w:rsid w:val="004B71E7"/>
    <w:rsid w:val="004C476C"/>
    <w:rsid w:val="004C49A4"/>
    <w:rsid w:val="004C5224"/>
    <w:rsid w:val="004D12BB"/>
    <w:rsid w:val="004E316E"/>
    <w:rsid w:val="004F0124"/>
    <w:rsid w:val="004F24FA"/>
    <w:rsid w:val="004F25CA"/>
    <w:rsid w:val="004F398E"/>
    <w:rsid w:val="004F4E9C"/>
    <w:rsid w:val="004F4FC8"/>
    <w:rsid w:val="005003EC"/>
    <w:rsid w:val="00517E26"/>
    <w:rsid w:val="00523652"/>
    <w:rsid w:val="0052703B"/>
    <w:rsid w:val="00527E46"/>
    <w:rsid w:val="005311C8"/>
    <w:rsid w:val="00532684"/>
    <w:rsid w:val="0054063B"/>
    <w:rsid w:val="005422A9"/>
    <w:rsid w:val="00542C5E"/>
    <w:rsid w:val="00543E07"/>
    <w:rsid w:val="00543EB9"/>
    <w:rsid w:val="00543FEC"/>
    <w:rsid w:val="00556885"/>
    <w:rsid w:val="0055768D"/>
    <w:rsid w:val="00557F19"/>
    <w:rsid w:val="0056025B"/>
    <w:rsid w:val="005606B9"/>
    <w:rsid w:val="00567D78"/>
    <w:rsid w:val="0057151C"/>
    <w:rsid w:val="005726CF"/>
    <w:rsid w:val="005753B1"/>
    <w:rsid w:val="00575A0F"/>
    <w:rsid w:val="00577595"/>
    <w:rsid w:val="00580977"/>
    <w:rsid w:val="00584B02"/>
    <w:rsid w:val="00585347"/>
    <w:rsid w:val="00587281"/>
    <w:rsid w:val="0058767C"/>
    <w:rsid w:val="005877E0"/>
    <w:rsid w:val="005970D7"/>
    <w:rsid w:val="005A0DBC"/>
    <w:rsid w:val="005A31C4"/>
    <w:rsid w:val="005B68D5"/>
    <w:rsid w:val="005C183C"/>
    <w:rsid w:val="005C208E"/>
    <w:rsid w:val="005C387D"/>
    <w:rsid w:val="005C4D9F"/>
    <w:rsid w:val="005E1A3B"/>
    <w:rsid w:val="005E59B4"/>
    <w:rsid w:val="005E6F6A"/>
    <w:rsid w:val="005F02F7"/>
    <w:rsid w:val="005F092F"/>
    <w:rsid w:val="005F14BA"/>
    <w:rsid w:val="005F3748"/>
    <w:rsid w:val="0060188C"/>
    <w:rsid w:val="00602ED5"/>
    <w:rsid w:val="00605D62"/>
    <w:rsid w:val="0060678C"/>
    <w:rsid w:val="006077EB"/>
    <w:rsid w:val="00612127"/>
    <w:rsid w:val="006160CF"/>
    <w:rsid w:val="00616E28"/>
    <w:rsid w:val="00633DE4"/>
    <w:rsid w:val="00636B61"/>
    <w:rsid w:val="0064004D"/>
    <w:rsid w:val="00641112"/>
    <w:rsid w:val="00645292"/>
    <w:rsid w:val="00645C18"/>
    <w:rsid w:val="00646C4C"/>
    <w:rsid w:val="006529C1"/>
    <w:rsid w:val="00655FA3"/>
    <w:rsid w:val="006619BA"/>
    <w:rsid w:val="00665545"/>
    <w:rsid w:val="0066605B"/>
    <w:rsid w:val="006667CD"/>
    <w:rsid w:val="00667A77"/>
    <w:rsid w:val="006717F4"/>
    <w:rsid w:val="00671DEF"/>
    <w:rsid w:val="00681653"/>
    <w:rsid w:val="0068192C"/>
    <w:rsid w:val="006A1F98"/>
    <w:rsid w:val="006A2170"/>
    <w:rsid w:val="006A31E1"/>
    <w:rsid w:val="006B1B90"/>
    <w:rsid w:val="006B4E0C"/>
    <w:rsid w:val="006C0970"/>
    <w:rsid w:val="006D2A2B"/>
    <w:rsid w:val="006E6E30"/>
    <w:rsid w:val="006E7DD4"/>
    <w:rsid w:val="006F762F"/>
    <w:rsid w:val="0070603F"/>
    <w:rsid w:val="00707B5D"/>
    <w:rsid w:val="00711A4D"/>
    <w:rsid w:val="0071221E"/>
    <w:rsid w:val="00713C55"/>
    <w:rsid w:val="0071715D"/>
    <w:rsid w:val="0072059F"/>
    <w:rsid w:val="00734A5F"/>
    <w:rsid w:val="007366C9"/>
    <w:rsid w:val="00742121"/>
    <w:rsid w:val="007435D2"/>
    <w:rsid w:val="00751CD5"/>
    <w:rsid w:val="0075377B"/>
    <w:rsid w:val="00754972"/>
    <w:rsid w:val="0076058E"/>
    <w:rsid w:val="00765DC0"/>
    <w:rsid w:val="00770CD8"/>
    <w:rsid w:val="00772F2C"/>
    <w:rsid w:val="00777A86"/>
    <w:rsid w:val="00784401"/>
    <w:rsid w:val="00785D6A"/>
    <w:rsid w:val="00792B68"/>
    <w:rsid w:val="0079552A"/>
    <w:rsid w:val="00797263"/>
    <w:rsid w:val="007A235B"/>
    <w:rsid w:val="007A351F"/>
    <w:rsid w:val="007A569A"/>
    <w:rsid w:val="007A6E55"/>
    <w:rsid w:val="007A6EBA"/>
    <w:rsid w:val="007A72CF"/>
    <w:rsid w:val="007A79CE"/>
    <w:rsid w:val="007B08CA"/>
    <w:rsid w:val="007B27E1"/>
    <w:rsid w:val="007C0EBE"/>
    <w:rsid w:val="007C660A"/>
    <w:rsid w:val="007C67EE"/>
    <w:rsid w:val="007C7167"/>
    <w:rsid w:val="007D22E3"/>
    <w:rsid w:val="007D244B"/>
    <w:rsid w:val="007D3E26"/>
    <w:rsid w:val="007E0C93"/>
    <w:rsid w:val="007E40E1"/>
    <w:rsid w:val="007F4599"/>
    <w:rsid w:val="007F5343"/>
    <w:rsid w:val="00802F61"/>
    <w:rsid w:val="00814271"/>
    <w:rsid w:val="00830DD7"/>
    <w:rsid w:val="0083125B"/>
    <w:rsid w:val="008339FA"/>
    <w:rsid w:val="00836857"/>
    <w:rsid w:val="008415EA"/>
    <w:rsid w:val="008508B8"/>
    <w:rsid w:val="00851245"/>
    <w:rsid w:val="0087027F"/>
    <w:rsid w:val="00876FA8"/>
    <w:rsid w:val="008A13E0"/>
    <w:rsid w:val="008A2F71"/>
    <w:rsid w:val="008A3330"/>
    <w:rsid w:val="008B3C68"/>
    <w:rsid w:val="008C0944"/>
    <w:rsid w:val="008C3D22"/>
    <w:rsid w:val="008D0558"/>
    <w:rsid w:val="008D1975"/>
    <w:rsid w:val="008D1F0D"/>
    <w:rsid w:val="008D2D67"/>
    <w:rsid w:val="008E029E"/>
    <w:rsid w:val="008E1468"/>
    <w:rsid w:val="008E6D77"/>
    <w:rsid w:val="008E71A5"/>
    <w:rsid w:val="008F4A6E"/>
    <w:rsid w:val="00900646"/>
    <w:rsid w:val="009079B3"/>
    <w:rsid w:val="00910CF9"/>
    <w:rsid w:val="00921440"/>
    <w:rsid w:val="00921EE0"/>
    <w:rsid w:val="00921F32"/>
    <w:rsid w:val="009245F2"/>
    <w:rsid w:val="009269A0"/>
    <w:rsid w:val="009279E4"/>
    <w:rsid w:val="00927D9F"/>
    <w:rsid w:val="00933CA7"/>
    <w:rsid w:val="00937621"/>
    <w:rsid w:val="00950456"/>
    <w:rsid w:val="00954E92"/>
    <w:rsid w:val="00955C9C"/>
    <w:rsid w:val="00960C96"/>
    <w:rsid w:val="00961F84"/>
    <w:rsid w:val="00964AA5"/>
    <w:rsid w:val="009677BC"/>
    <w:rsid w:val="00967E5B"/>
    <w:rsid w:val="00970104"/>
    <w:rsid w:val="00972865"/>
    <w:rsid w:val="009732F8"/>
    <w:rsid w:val="009743BF"/>
    <w:rsid w:val="00974718"/>
    <w:rsid w:val="00984FE0"/>
    <w:rsid w:val="009868E6"/>
    <w:rsid w:val="00994AEA"/>
    <w:rsid w:val="00994F7B"/>
    <w:rsid w:val="009A152F"/>
    <w:rsid w:val="009A2A7E"/>
    <w:rsid w:val="009A2C4C"/>
    <w:rsid w:val="009A5399"/>
    <w:rsid w:val="009B0B12"/>
    <w:rsid w:val="009B1C56"/>
    <w:rsid w:val="009B4285"/>
    <w:rsid w:val="009B7D2D"/>
    <w:rsid w:val="009C04D1"/>
    <w:rsid w:val="009C0D4D"/>
    <w:rsid w:val="009C1FFA"/>
    <w:rsid w:val="009D0114"/>
    <w:rsid w:val="009D3930"/>
    <w:rsid w:val="009F060C"/>
    <w:rsid w:val="009F4181"/>
    <w:rsid w:val="00A02178"/>
    <w:rsid w:val="00A12385"/>
    <w:rsid w:val="00A24C58"/>
    <w:rsid w:val="00A24E7D"/>
    <w:rsid w:val="00A255A6"/>
    <w:rsid w:val="00A323BD"/>
    <w:rsid w:val="00A34D07"/>
    <w:rsid w:val="00A34FD2"/>
    <w:rsid w:val="00A353D5"/>
    <w:rsid w:val="00A4170E"/>
    <w:rsid w:val="00A56875"/>
    <w:rsid w:val="00A62415"/>
    <w:rsid w:val="00A65C33"/>
    <w:rsid w:val="00A66170"/>
    <w:rsid w:val="00A709A8"/>
    <w:rsid w:val="00A72E7D"/>
    <w:rsid w:val="00A76912"/>
    <w:rsid w:val="00A90A7D"/>
    <w:rsid w:val="00A9356D"/>
    <w:rsid w:val="00A967DF"/>
    <w:rsid w:val="00A9792B"/>
    <w:rsid w:val="00AA23E1"/>
    <w:rsid w:val="00AA5F37"/>
    <w:rsid w:val="00AA6FF0"/>
    <w:rsid w:val="00AA7C7C"/>
    <w:rsid w:val="00AB1F0F"/>
    <w:rsid w:val="00AB5D2F"/>
    <w:rsid w:val="00AC3955"/>
    <w:rsid w:val="00AC4F40"/>
    <w:rsid w:val="00AC77A2"/>
    <w:rsid w:val="00AD0539"/>
    <w:rsid w:val="00AD774F"/>
    <w:rsid w:val="00AE03E5"/>
    <w:rsid w:val="00AE0D57"/>
    <w:rsid w:val="00AE0EBA"/>
    <w:rsid w:val="00AF4C44"/>
    <w:rsid w:val="00AF7751"/>
    <w:rsid w:val="00B01138"/>
    <w:rsid w:val="00B02AA5"/>
    <w:rsid w:val="00B06D19"/>
    <w:rsid w:val="00B07772"/>
    <w:rsid w:val="00B101CD"/>
    <w:rsid w:val="00B11AC6"/>
    <w:rsid w:val="00B12F2A"/>
    <w:rsid w:val="00B16476"/>
    <w:rsid w:val="00B217AD"/>
    <w:rsid w:val="00B21D73"/>
    <w:rsid w:val="00B23465"/>
    <w:rsid w:val="00B2397C"/>
    <w:rsid w:val="00B23A7C"/>
    <w:rsid w:val="00B25944"/>
    <w:rsid w:val="00B2627E"/>
    <w:rsid w:val="00B31021"/>
    <w:rsid w:val="00B34E1D"/>
    <w:rsid w:val="00B464D6"/>
    <w:rsid w:val="00B56A99"/>
    <w:rsid w:val="00B60A2E"/>
    <w:rsid w:val="00B61D5A"/>
    <w:rsid w:val="00B61DE0"/>
    <w:rsid w:val="00B6547D"/>
    <w:rsid w:val="00B74538"/>
    <w:rsid w:val="00B854F5"/>
    <w:rsid w:val="00B96915"/>
    <w:rsid w:val="00BA2020"/>
    <w:rsid w:val="00BA5D92"/>
    <w:rsid w:val="00BA6992"/>
    <w:rsid w:val="00BC006C"/>
    <w:rsid w:val="00BC0DDA"/>
    <w:rsid w:val="00BC4D58"/>
    <w:rsid w:val="00BC53DE"/>
    <w:rsid w:val="00BD27C5"/>
    <w:rsid w:val="00BE01C1"/>
    <w:rsid w:val="00BE457E"/>
    <w:rsid w:val="00BE6334"/>
    <w:rsid w:val="00BE7D69"/>
    <w:rsid w:val="00BF0CAA"/>
    <w:rsid w:val="00BF1303"/>
    <w:rsid w:val="00BF6384"/>
    <w:rsid w:val="00BF718C"/>
    <w:rsid w:val="00BF7A8F"/>
    <w:rsid w:val="00BF7BFB"/>
    <w:rsid w:val="00C0520C"/>
    <w:rsid w:val="00C14DCD"/>
    <w:rsid w:val="00C2008B"/>
    <w:rsid w:val="00C203D4"/>
    <w:rsid w:val="00C22526"/>
    <w:rsid w:val="00C265D9"/>
    <w:rsid w:val="00C307F1"/>
    <w:rsid w:val="00C3293D"/>
    <w:rsid w:val="00C35DC5"/>
    <w:rsid w:val="00C5431E"/>
    <w:rsid w:val="00C544F5"/>
    <w:rsid w:val="00C54EB4"/>
    <w:rsid w:val="00C55C64"/>
    <w:rsid w:val="00C61250"/>
    <w:rsid w:val="00C716D8"/>
    <w:rsid w:val="00C738BE"/>
    <w:rsid w:val="00C7390B"/>
    <w:rsid w:val="00C818A2"/>
    <w:rsid w:val="00C92670"/>
    <w:rsid w:val="00C979F1"/>
    <w:rsid w:val="00CA1F7A"/>
    <w:rsid w:val="00CA238E"/>
    <w:rsid w:val="00CA34F8"/>
    <w:rsid w:val="00CA5B61"/>
    <w:rsid w:val="00CA755F"/>
    <w:rsid w:val="00CC1703"/>
    <w:rsid w:val="00CC232E"/>
    <w:rsid w:val="00CD6099"/>
    <w:rsid w:val="00CD7D49"/>
    <w:rsid w:val="00CE0545"/>
    <w:rsid w:val="00CE16C7"/>
    <w:rsid w:val="00CE57E1"/>
    <w:rsid w:val="00CF20C1"/>
    <w:rsid w:val="00CF522B"/>
    <w:rsid w:val="00D010DB"/>
    <w:rsid w:val="00D04024"/>
    <w:rsid w:val="00D04EE8"/>
    <w:rsid w:val="00D10502"/>
    <w:rsid w:val="00D11BE7"/>
    <w:rsid w:val="00D13663"/>
    <w:rsid w:val="00D14A0E"/>
    <w:rsid w:val="00D17082"/>
    <w:rsid w:val="00D21BC4"/>
    <w:rsid w:val="00D235A6"/>
    <w:rsid w:val="00D240E5"/>
    <w:rsid w:val="00D335D1"/>
    <w:rsid w:val="00D34800"/>
    <w:rsid w:val="00D36274"/>
    <w:rsid w:val="00D363BC"/>
    <w:rsid w:val="00D41551"/>
    <w:rsid w:val="00D45816"/>
    <w:rsid w:val="00D4688B"/>
    <w:rsid w:val="00D547F9"/>
    <w:rsid w:val="00D54C99"/>
    <w:rsid w:val="00D57479"/>
    <w:rsid w:val="00D67DCC"/>
    <w:rsid w:val="00D73E07"/>
    <w:rsid w:val="00D74BAD"/>
    <w:rsid w:val="00D75211"/>
    <w:rsid w:val="00D776A3"/>
    <w:rsid w:val="00D82B0B"/>
    <w:rsid w:val="00D9004C"/>
    <w:rsid w:val="00D979B8"/>
    <w:rsid w:val="00DB3514"/>
    <w:rsid w:val="00DC4162"/>
    <w:rsid w:val="00DD04C6"/>
    <w:rsid w:val="00DD1D48"/>
    <w:rsid w:val="00DE0BCD"/>
    <w:rsid w:val="00DE1BC0"/>
    <w:rsid w:val="00DF093D"/>
    <w:rsid w:val="00DF0DD5"/>
    <w:rsid w:val="00E000A0"/>
    <w:rsid w:val="00E01CC8"/>
    <w:rsid w:val="00E05F6B"/>
    <w:rsid w:val="00E15A27"/>
    <w:rsid w:val="00E161F8"/>
    <w:rsid w:val="00E214D1"/>
    <w:rsid w:val="00E31EBA"/>
    <w:rsid w:val="00E3222A"/>
    <w:rsid w:val="00E32ECD"/>
    <w:rsid w:val="00E351EC"/>
    <w:rsid w:val="00E377AE"/>
    <w:rsid w:val="00E40ACC"/>
    <w:rsid w:val="00E416BA"/>
    <w:rsid w:val="00E47661"/>
    <w:rsid w:val="00E5221A"/>
    <w:rsid w:val="00E52401"/>
    <w:rsid w:val="00E5479C"/>
    <w:rsid w:val="00E760EA"/>
    <w:rsid w:val="00E80D47"/>
    <w:rsid w:val="00E8120D"/>
    <w:rsid w:val="00E814F7"/>
    <w:rsid w:val="00E83B14"/>
    <w:rsid w:val="00E85CF9"/>
    <w:rsid w:val="00E9094B"/>
    <w:rsid w:val="00E932AD"/>
    <w:rsid w:val="00E943EE"/>
    <w:rsid w:val="00EB10AC"/>
    <w:rsid w:val="00EB404A"/>
    <w:rsid w:val="00EB6FF5"/>
    <w:rsid w:val="00EB718C"/>
    <w:rsid w:val="00EC15EA"/>
    <w:rsid w:val="00ED0E20"/>
    <w:rsid w:val="00ED2514"/>
    <w:rsid w:val="00ED47BF"/>
    <w:rsid w:val="00ED5C96"/>
    <w:rsid w:val="00EE140F"/>
    <w:rsid w:val="00EE1A48"/>
    <w:rsid w:val="00EE7509"/>
    <w:rsid w:val="00EF5744"/>
    <w:rsid w:val="00EF5CDE"/>
    <w:rsid w:val="00EF7132"/>
    <w:rsid w:val="00F02503"/>
    <w:rsid w:val="00F0376B"/>
    <w:rsid w:val="00F04B05"/>
    <w:rsid w:val="00F06EEF"/>
    <w:rsid w:val="00F13342"/>
    <w:rsid w:val="00F17123"/>
    <w:rsid w:val="00F27240"/>
    <w:rsid w:val="00F323CD"/>
    <w:rsid w:val="00F34AFD"/>
    <w:rsid w:val="00F36B4F"/>
    <w:rsid w:val="00F36DE8"/>
    <w:rsid w:val="00F4559B"/>
    <w:rsid w:val="00F46488"/>
    <w:rsid w:val="00F472E3"/>
    <w:rsid w:val="00F50B4A"/>
    <w:rsid w:val="00F52890"/>
    <w:rsid w:val="00F60201"/>
    <w:rsid w:val="00F633A5"/>
    <w:rsid w:val="00F6496E"/>
    <w:rsid w:val="00F66679"/>
    <w:rsid w:val="00F8045A"/>
    <w:rsid w:val="00F96FEC"/>
    <w:rsid w:val="00FA6698"/>
    <w:rsid w:val="00FB36C8"/>
    <w:rsid w:val="00FB4AEC"/>
    <w:rsid w:val="00FC5FE5"/>
    <w:rsid w:val="00FD11ED"/>
    <w:rsid w:val="00FD26BF"/>
    <w:rsid w:val="00FD3556"/>
    <w:rsid w:val="00FD4BB6"/>
    <w:rsid w:val="00FE6F8C"/>
    <w:rsid w:val="00FF07BF"/>
    <w:rsid w:val="00FF0844"/>
    <w:rsid w:val="00FF3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EE25"/>
  <w15:docId w15:val="{E22E506F-5374-4E85-8AC9-DDFE81F4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B0B"/>
  </w:style>
  <w:style w:type="paragraph" w:styleId="1">
    <w:name w:val="heading 1"/>
    <w:basedOn w:val="a"/>
    <w:next w:val="a"/>
    <w:link w:val="10"/>
    <w:uiPriority w:val="9"/>
    <w:qFormat/>
    <w:rsid w:val="00CD6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unhideWhenUsed/>
    <w:qFormat/>
    <w:rsid w:val="00AB1F0F"/>
    <w:pPr>
      <w:keepNext/>
      <w:keepLines/>
      <w:spacing w:after="95" w:line="259" w:lineRule="auto"/>
      <w:ind w:left="774" w:hanging="10"/>
      <w:outlineLvl w:val="1"/>
    </w:pPr>
    <w:rPr>
      <w:rFonts w:ascii="Times New Roman" w:eastAsia="Times New Roman" w:hAnsi="Times New Roman" w:cs="Times New Roman"/>
      <w:color w:val="000000"/>
      <w:sz w:val="36"/>
      <w:lang w:val="en-US"/>
    </w:rPr>
  </w:style>
  <w:style w:type="paragraph" w:styleId="3">
    <w:name w:val="heading 3"/>
    <w:next w:val="a"/>
    <w:link w:val="30"/>
    <w:uiPriority w:val="9"/>
    <w:unhideWhenUsed/>
    <w:qFormat/>
    <w:rsid w:val="00AB1F0F"/>
    <w:pPr>
      <w:keepNext/>
      <w:keepLines/>
      <w:spacing w:after="241" w:line="259" w:lineRule="auto"/>
      <w:ind w:left="1066"/>
      <w:outlineLvl w:val="2"/>
    </w:pPr>
    <w:rPr>
      <w:rFonts w:ascii="Times New Roman" w:eastAsia="Times New Roman" w:hAnsi="Times New Roman" w:cs="Times New Roman"/>
      <w:color w:val="000000"/>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1F0F"/>
    <w:rPr>
      <w:rFonts w:ascii="Times New Roman" w:eastAsia="Times New Roman" w:hAnsi="Times New Roman" w:cs="Times New Roman"/>
      <w:color w:val="000000"/>
      <w:sz w:val="36"/>
      <w:lang w:val="en-US"/>
    </w:rPr>
  </w:style>
  <w:style w:type="character" w:customStyle="1" w:styleId="30">
    <w:name w:val="Заголовок 3 Знак"/>
    <w:basedOn w:val="a0"/>
    <w:link w:val="3"/>
    <w:uiPriority w:val="9"/>
    <w:rsid w:val="00AB1F0F"/>
    <w:rPr>
      <w:rFonts w:ascii="Times New Roman" w:eastAsia="Times New Roman" w:hAnsi="Times New Roman" w:cs="Times New Roman"/>
      <w:color w:val="000000"/>
      <w:sz w:val="32"/>
      <w:lang w:val="en-US"/>
    </w:rPr>
  </w:style>
  <w:style w:type="paragraph" w:styleId="a3">
    <w:name w:val="Balloon Text"/>
    <w:basedOn w:val="a"/>
    <w:link w:val="a4"/>
    <w:uiPriority w:val="99"/>
    <w:semiHidden/>
    <w:unhideWhenUsed/>
    <w:rsid w:val="00AB1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1F0F"/>
    <w:rPr>
      <w:rFonts w:ascii="Tahoma" w:hAnsi="Tahoma" w:cs="Tahoma"/>
      <w:sz w:val="16"/>
      <w:szCs w:val="16"/>
    </w:rPr>
  </w:style>
  <w:style w:type="paragraph" w:styleId="a5">
    <w:name w:val="List Paragraph"/>
    <w:basedOn w:val="a"/>
    <w:uiPriority w:val="34"/>
    <w:qFormat/>
    <w:rsid w:val="00612127"/>
    <w:pPr>
      <w:ind w:left="720"/>
      <w:contextualSpacing/>
    </w:pPr>
  </w:style>
  <w:style w:type="character" w:customStyle="1" w:styleId="10">
    <w:name w:val="Заголовок 1 Знак"/>
    <w:basedOn w:val="a0"/>
    <w:link w:val="1"/>
    <w:uiPriority w:val="9"/>
    <w:rsid w:val="00CD6099"/>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rsid w:val="00CD6099"/>
    <w:pPr>
      <w:spacing w:after="120" w:line="480" w:lineRule="auto"/>
      <w:ind w:left="283"/>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CD6099"/>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CD6099"/>
  </w:style>
  <w:style w:type="paragraph" w:customStyle="1" w:styleId="a6">
    <w:name w:val="Прижатый влево"/>
    <w:basedOn w:val="a"/>
    <w:next w:val="a"/>
    <w:rsid w:val="00CD6099"/>
    <w:pPr>
      <w:autoSpaceDE w:val="0"/>
      <w:autoSpaceDN w:val="0"/>
      <w:adjustRightInd w:val="0"/>
      <w:spacing w:after="0" w:line="240" w:lineRule="auto"/>
    </w:pPr>
    <w:rPr>
      <w:rFonts w:ascii="Arial" w:eastAsia="Times New Roman" w:hAnsi="Arial" w:cs="Times New Roman"/>
      <w:sz w:val="24"/>
      <w:szCs w:val="24"/>
      <w:lang w:eastAsia="ru-RU"/>
    </w:rPr>
  </w:style>
  <w:style w:type="character" w:styleId="a7">
    <w:name w:val="Hyperlink"/>
    <w:rsid w:val="00CD6099"/>
    <w:rPr>
      <w:color w:val="0000FF"/>
      <w:u w:val="single"/>
    </w:rPr>
  </w:style>
  <w:style w:type="paragraph" w:customStyle="1" w:styleId="ConsPlusNormal">
    <w:name w:val="ConsPlusNormal"/>
    <w:rsid w:val="00532684"/>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CA23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238E"/>
  </w:style>
  <w:style w:type="paragraph" w:styleId="aa">
    <w:name w:val="footer"/>
    <w:basedOn w:val="a"/>
    <w:link w:val="ab"/>
    <w:uiPriority w:val="99"/>
    <w:unhideWhenUsed/>
    <w:rsid w:val="00CA23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238E"/>
  </w:style>
  <w:style w:type="table" w:styleId="ac">
    <w:name w:val="Table Grid"/>
    <w:basedOn w:val="a1"/>
    <w:uiPriority w:val="59"/>
    <w:rsid w:val="0029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95CA1"/>
    <w:pPr>
      <w:widowControl w:val="0"/>
      <w:autoSpaceDE w:val="0"/>
      <w:autoSpaceDN w:val="0"/>
      <w:spacing w:after="0" w:line="240" w:lineRule="auto"/>
    </w:pPr>
    <w:rPr>
      <w:rFonts w:ascii="Arial" w:eastAsiaTheme="minorEastAsia" w:hAnsi="Arial" w:cs="Arial"/>
      <w:b/>
      <w:sz w:val="20"/>
      <w:lang w:eastAsia="ru-RU"/>
    </w:rPr>
  </w:style>
  <w:style w:type="paragraph" w:styleId="ad">
    <w:name w:val="Normal (Web)"/>
    <w:basedOn w:val="a"/>
    <w:uiPriority w:val="99"/>
    <w:unhideWhenUsed/>
    <w:rsid w:val="003140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614">
      <w:bodyDiv w:val="1"/>
      <w:marLeft w:val="0"/>
      <w:marRight w:val="0"/>
      <w:marTop w:val="0"/>
      <w:marBottom w:val="0"/>
      <w:divBdr>
        <w:top w:val="none" w:sz="0" w:space="0" w:color="auto"/>
        <w:left w:val="none" w:sz="0" w:space="0" w:color="auto"/>
        <w:bottom w:val="none" w:sz="0" w:space="0" w:color="auto"/>
        <w:right w:val="none" w:sz="0" w:space="0" w:color="auto"/>
      </w:divBdr>
    </w:div>
    <w:div w:id="305547987">
      <w:bodyDiv w:val="1"/>
      <w:marLeft w:val="0"/>
      <w:marRight w:val="0"/>
      <w:marTop w:val="0"/>
      <w:marBottom w:val="0"/>
      <w:divBdr>
        <w:top w:val="none" w:sz="0" w:space="0" w:color="auto"/>
        <w:left w:val="none" w:sz="0" w:space="0" w:color="auto"/>
        <w:bottom w:val="none" w:sz="0" w:space="0" w:color="auto"/>
        <w:right w:val="none" w:sz="0" w:space="0" w:color="auto"/>
      </w:divBdr>
    </w:div>
    <w:div w:id="393823069">
      <w:bodyDiv w:val="1"/>
      <w:marLeft w:val="0"/>
      <w:marRight w:val="0"/>
      <w:marTop w:val="0"/>
      <w:marBottom w:val="0"/>
      <w:divBdr>
        <w:top w:val="none" w:sz="0" w:space="0" w:color="auto"/>
        <w:left w:val="none" w:sz="0" w:space="0" w:color="auto"/>
        <w:bottom w:val="none" w:sz="0" w:space="0" w:color="auto"/>
        <w:right w:val="none" w:sz="0" w:space="0" w:color="auto"/>
      </w:divBdr>
    </w:div>
    <w:div w:id="770662692">
      <w:bodyDiv w:val="1"/>
      <w:marLeft w:val="0"/>
      <w:marRight w:val="0"/>
      <w:marTop w:val="0"/>
      <w:marBottom w:val="0"/>
      <w:divBdr>
        <w:top w:val="none" w:sz="0" w:space="0" w:color="auto"/>
        <w:left w:val="none" w:sz="0" w:space="0" w:color="auto"/>
        <w:bottom w:val="none" w:sz="0" w:space="0" w:color="auto"/>
        <w:right w:val="none" w:sz="0" w:space="0" w:color="auto"/>
      </w:divBdr>
      <w:divsChild>
        <w:div w:id="1380393607">
          <w:marLeft w:val="0"/>
          <w:marRight w:val="0"/>
          <w:marTop w:val="0"/>
          <w:marBottom w:val="0"/>
          <w:divBdr>
            <w:top w:val="none" w:sz="0" w:space="0" w:color="auto"/>
            <w:left w:val="none" w:sz="0" w:space="0" w:color="auto"/>
            <w:bottom w:val="none" w:sz="0" w:space="0" w:color="auto"/>
            <w:right w:val="none" w:sz="0" w:space="0" w:color="auto"/>
          </w:divBdr>
        </w:div>
        <w:div w:id="732889771">
          <w:marLeft w:val="0"/>
          <w:marRight w:val="0"/>
          <w:marTop w:val="0"/>
          <w:marBottom w:val="0"/>
          <w:divBdr>
            <w:top w:val="none" w:sz="0" w:space="0" w:color="auto"/>
            <w:left w:val="none" w:sz="0" w:space="0" w:color="auto"/>
            <w:bottom w:val="none" w:sz="0" w:space="0" w:color="auto"/>
            <w:right w:val="none" w:sz="0" w:space="0" w:color="auto"/>
          </w:divBdr>
        </w:div>
        <w:div w:id="1457288246">
          <w:marLeft w:val="0"/>
          <w:marRight w:val="0"/>
          <w:marTop w:val="0"/>
          <w:marBottom w:val="0"/>
          <w:divBdr>
            <w:top w:val="none" w:sz="0" w:space="0" w:color="auto"/>
            <w:left w:val="none" w:sz="0" w:space="0" w:color="auto"/>
            <w:bottom w:val="none" w:sz="0" w:space="0" w:color="auto"/>
            <w:right w:val="none" w:sz="0" w:space="0" w:color="auto"/>
          </w:divBdr>
        </w:div>
        <w:div w:id="1535188196">
          <w:marLeft w:val="0"/>
          <w:marRight w:val="0"/>
          <w:marTop w:val="0"/>
          <w:marBottom w:val="0"/>
          <w:divBdr>
            <w:top w:val="none" w:sz="0" w:space="0" w:color="auto"/>
            <w:left w:val="none" w:sz="0" w:space="0" w:color="auto"/>
            <w:bottom w:val="none" w:sz="0" w:space="0" w:color="auto"/>
            <w:right w:val="none" w:sz="0" w:space="0" w:color="auto"/>
          </w:divBdr>
        </w:div>
        <w:div w:id="1416510854">
          <w:marLeft w:val="0"/>
          <w:marRight w:val="0"/>
          <w:marTop w:val="0"/>
          <w:marBottom w:val="0"/>
          <w:divBdr>
            <w:top w:val="none" w:sz="0" w:space="0" w:color="auto"/>
            <w:left w:val="none" w:sz="0" w:space="0" w:color="auto"/>
            <w:bottom w:val="none" w:sz="0" w:space="0" w:color="auto"/>
            <w:right w:val="none" w:sz="0" w:space="0" w:color="auto"/>
          </w:divBdr>
        </w:div>
        <w:div w:id="1626230466">
          <w:marLeft w:val="0"/>
          <w:marRight w:val="0"/>
          <w:marTop w:val="0"/>
          <w:marBottom w:val="0"/>
          <w:divBdr>
            <w:top w:val="none" w:sz="0" w:space="0" w:color="auto"/>
            <w:left w:val="none" w:sz="0" w:space="0" w:color="auto"/>
            <w:bottom w:val="none" w:sz="0" w:space="0" w:color="auto"/>
            <w:right w:val="none" w:sz="0" w:space="0" w:color="auto"/>
          </w:divBdr>
        </w:div>
        <w:div w:id="392508159">
          <w:marLeft w:val="0"/>
          <w:marRight w:val="0"/>
          <w:marTop w:val="0"/>
          <w:marBottom w:val="0"/>
          <w:divBdr>
            <w:top w:val="none" w:sz="0" w:space="0" w:color="auto"/>
            <w:left w:val="none" w:sz="0" w:space="0" w:color="auto"/>
            <w:bottom w:val="none" w:sz="0" w:space="0" w:color="auto"/>
            <w:right w:val="none" w:sz="0" w:space="0" w:color="auto"/>
          </w:divBdr>
        </w:div>
        <w:div w:id="181483011">
          <w:marLeft w:val="0"/>
          <w:marRight w:val="0"/>
          <w:marTop w:val="0"/>
          <w:marBottom w:val="0"/>
          <w:divBdr>
            <w:top w:val="none" w:sz="0" w:space="0" w:color="auto"/>
            <w:left w:val="none" w:sz="0" w:space="0" w:color="auto"/>
            <w:bottom w:val="none" w:sz="0" w:space="0" w:color="auto"/>
            <w:right w:val="none" w:sz="0" w:space="0" w:color="auto"/>
          </w:divBdr>
        </w:div>
        <w:div w:id="870412921">
          <w:marLeft w:val="0"/>
          <w:marRight w:val="0"/>
          <w:marTop w:val="0"/>
          <w:marBottom w:val="0"/>
          <w:divBdr>
            <w:top w:val="none" w:sz="0" w:space="0" w:color="auto"/>
            <w:left w:val="none" w:sz="0" w:space="0" w:color="auto"/>
            <w:bottom w:val="none" w:sz="0" w:space="0" w:color="auto"/>
            <w:right w:val="none" w:sz="0" w:space="0" w:color="auto"/>
          </w:divBdr>
        </w:div>
      </w:divsChild>
    </w:div>
    <w:div w:id="886599954">
      <w:bodyDiv w:val="1"/>
      <w:marLeft w:val="0"/>
      <w:marRight w:val="0"/>
      <w:marTop w:val="0"/>
      <w:marBottom w:val="0"/>
      <w:divBdr>
        <w:top w:val="none" w:sz="0" w:space="0" w:color="auto"/>
        <w:left w:val="none" w:sz="0" w:space="0" w:color="auto"/>
        <w:bottom w:val="none" w:sz="0" w:space="0" w:color="auto"/>
        <w:right w:val="none" w:sz="0" w:space="0" w:color="auto"/>
      </w:divBdr>
      <w:divsChild>
        <w:div w:id="1998027662">
          <w:marLeft w:val="0"/>
          <w:marRight w:val="0"/>
          <w:marTop w:val="0"/>
          <w:marBottom w:val="0"/>
          <w:divBdr>
            <w:top w:val="none" w:sz="0" w:space="0" w:color="auto"/>
            <w:left w:val="none" w:sz="0" w:space="0" w:color="auto"/>
            <w:bottom w:val="none" w:sz="0" w:space="0" w:color="auto"/>
            <w:right w:val="none" w:sz="0" w:space="0" w:color="auto"/>
          </w:divBdr>
        </w:div>
        <w:div w:id="295450953">
          <w:marLeft w:val="0"/>
          <w:marRight w:val="0"/>
          <w:marTop w:val="0"/>
          <w:marBottom w:val="0"/>
          <w:divBdr>
            <w:top w:val="none" w:sz="0" w:space="0" w:color="auto"/>
            <w:left w:val="none" w:sz="0" w:space="0" w:color="auto"/>
            <w:bottom w:val="none" w:sz="0" w:space="0" w:color="auto"/>
            <w:right w:val="none" w:sz="0" w:space="0" w:color="auto"/>
          </w:divBdr>
        </w:div>
        <w:div w:id="729377055">
          <w:marLeft w:val="0"/>
          <w:marRight w:val="0"/>
          <w:marTop w:val="0"/>
          <w:marBottom w:val="0"/>
          <w:divBdr>
            <w:top w:val="none" w:sz="0" w:space="0" w:color="auto"/>
            <w:left w:val="none" w:sz="0" w:space="0" w:color="auto"/>
            <w:bottom w:val="none" w:sz="0" w:space="0" w:color="auto"/>
            <w:right w:val="none" w:sz="0" w:space="0" w:color="auto"/>
          </w:divBdr>
        </w:div>
        <w:div w:id="33971696">
          <w:marLeft w:val="0"/>
          <w:marRight w:val="0"/>
          <w:marTop w:val="0"/>
          <w:marBottom w:val="0"/>
          <w:divBdr>
            <w:top w:val="none" w:sz="0" w:space="0" w:color="auto"/>
            <w:left w:val="none" w:sz="0" w:space="0" w:color="auto"/>
            <w:bottom w:val="none" w:sz="0" w:space="0" w:color="auto"/>
            <w:right w:val="none" w:sz="0" w:space="0" w:color="auto"/>
          </w:divBdr>
        </w:div>
        <w:div w:id="1762869288">
          <w:marLeft w:val="0"/>
          <w:marRight w:val="0"/>
          <w:marTop w:val="0"/>
          <w:marBottom w:val="0"/>
          <w:divBdr>
            <w:top w:val="none" w:sz="0" w:space="0" w:color="auto"/>
            <w:left w:val="none" w:sz="0" w:space="0" w:color="auto"/>
            <w:bottom w:val="none" w:sz="0" w:space="0" w:color="auto"/>
            <w:right w:val="none" w:sz="0" w:space="0" w:color="auto"/>
          </w:divBdr>
        </w:div>
        <w:div w:id="1238129843">
          <w:marLeft w:val="0"/>
          <w:marRight w:val="0"/>
          <w:marTop w:val="0"/>
          <w:marBottom w:val="0"/>
          <w:divBdr>
            <w:top w:val="none" w:sz="0" w:space="0" w:color="auto"/>
            <w:left w:val="none" w:sz="0" w:space="0" w:color="auto"/>
            <w:bottom w:val="none" w:sz="0" w:space="0" w:color="auto"/>
            <w:right w:val="none" w:sz="0" w:space="0" w:color="auto"/>
          </w:divBdr>
        </w:div>
        <w:div w:id="1798257160">
          <w:marLeft w:val="0"/>
          <w:marRight w:val="0"/>
          <w:marTop w:val="0"/>
          <w:marBottom w:val="0"/>
          <w:divBdr>
            <w:top w:val="none" w:sz="0" w:space="0" w:color="auto"/>
            <w:left w:val="none" w:sz="0" w:space="0" w:color="auto"/>
            <w:bottom w:val="none" w:sz="0" w:space="0" w:color="auto"/>
            <w:right w:val="none" w:sz="0" w:space="0" w:color="auto"/>
          </w:divBdr>
        </w:div>
        <w:div w:id="1512721607">
          <w:marLeft w:val="0"/>
          <w:marRight w:val="0"/>
          <w:marTop w:val="0"/>
          <w:marBottom w:val="0"/>
          <w:divBdr>
            <w:top w:val="none" w:sz="0" w:space="0" w:color="auto"/>
            <w:left w:val="none" w:sz="0" w:space="0" w:color="auto"/>
            <w:bottom w:val="none" w:sz="0" w:space="0" w:color="auto"/>
            <w:right w:val="none" w:sz="0" w:space="0" w:color="auto"/>
          </w:divBdr>
        </w:div>
        <w:div w:id="416288960">
          <w:marLeft w:val="0"/>
          <w:marRight w:val="0"/>
          <w:marTop w:val="0"/>
          <w:marBottom w:val="0"/>
          <w:divBdr>
            <w:top w:val="none" w:sz="0" w:space="0" w:color="auto"/>
            <w:left w:val="none" w:sz="0" w:space="0" w:color="auto"/>
            <w:bottom w:val="none" w:sz="0" w:space="0" w:color="auto"/>
            <w:right w:val="none" w:sz="0" w:space="0" w:color="auto"/>
          </w:divBdr>
        </w:div>
      </w:divsChild>
    </w:div>
    <w:div w:id="1150095413">
      <w:bodyDiv w:val="1"/>
      <w:marLeft w:val="0"/>
      <w:marRight w:val="0"/>
      <w:marTop w:val="0"/>
      <w:marBottom w:val="0"/>
      <w:divBdr>
        <w:top w:val="none" w:sz="0" w:space="0" w:color="auto"/>
        <w:left w:val="none" w:sz="0" w:space="0" w:color="auto"/>
        <w:bottom w:val="none" w:sz="0" w:space="0" w:color="auto"/>
        <w:right w:val="none" w:sz="0" w:space="0" w:color="auto"/>
      </w:divBdr>
    </w:div>
    <w:div w:id="1153136763">
      <w:bodyDiv w:val="1"/>
      <w:marLeft w:val="0"/>
      <w:marRight w:val="0"/>
      <w:marTop w:val="0"/>
      <w:marBottom w:val="0"/>
      <w:divBdr>
        <w:top w:val="none" w:sz="0" w:space="0" w:color="auto"/>
        <w:left w:val="none" w:sz="0" w:space="0" w:color="auto"/>
        <w:bottom w:val="none" w:sz="0" w:space="0" w:color="auto"/>
        <w:right w:val="none" w:sz="0" w:space="0" w:color="auto"/>
      </w:divBdr>
    </w:div>
    <w:div w:id="1166478004">
      <w:bodyDiv w:val="1"/>
      <w:marLeft w:val="0"/>
      <w:marRight w:val="0"/>
      <w:marTop w:val="0"/>
      <w:marBottom w:val="0"/>
      <w:divBdr>
        <w:top w:val="none" w:sz="0" w:space="0" w:color="auto"/>
        <w:left w:val="none" w:sz="0" w:space="0" w:color="auto"/>
        <w:bottom w:val="none" w:sz="0" w:space="0" w:color="auto"/>
        <w:right w:val="none" w:sz="0" w:space="0" w:color="auto"/>
      </w:divBdr>
    </w:div>
    <w:div w:id="1201819612">
      <w:bodyDiv w:val="1"/>
      <w:marLeft w:val="0"/>
      <w:marRight w:val="0"/>
      <w:marTop w:val="0"/>
      <w:marBottom w:val="0"/>
      <w:divBdr>
        <w:top w:val="none" w:sz="0" w:space="0" w:color="auto"/>
        <w:left w:val="none" w:sz="0" w:space="0" w:color="auto"/>
        <w:bottom w:val="none" w:sz="0" w:space="0" w:color="auto"/>
        <w:right w:val="none" w:sz="0" w:space="0" w:color="auto"/>
      </w:divBdr>
      <w:divsChild>
        <w:div w:id="835413348">
          <w:marLeft w:val="60"/>
          <w:marRight w:val="60"/>
          <w:marTop w:val="100"/>
          <w:marBottom w:val="100"/>
          <w:divBdr>
            <w:top w:val="none" w:sz="0" w:space="0" w:color="auto"/>
            <w:left w:val="none" w:sz="0" w:space="0" w:color="auto"/>
            <w:bottom w:val="none" w:sz="0" w:space="0" w:color="auto"/>
            <w:right w:val="none" w:sz="0" w:space="0" w:color="auto"/>
          </w:divBdr>
        </w:div>
        <w:div w:id="1399940393">
          <w:marLeft w:val="60"/>
          <w:marRight w:val="60"/>
          <w:marTop w:val="100"/>
          <w:marBottom w:val="100"/>
          <w:divBdr>
            <w:top w:val="none" w:sz="0" w:space="0" w:color="auto"/>
            <w:left w:val="none" w:sz="0" w:space="0" w:color="auto"/>
            <w:bottom w:val="none" w:sz="0" w:space="0" w:color="auto"/>
            <w:right w:val="none" w:sz="0" w:space="0" w:color="auto"/>
          </w:divBdr>
        </w:div>
        <w:div w:id="70467174">
          <w:marLeft w:val="60"/>
          <w:marRight w:val="60"/>
          <w:marTop w:val="100"/>
          <w:marBottom w:val="100"/>
          <w:divBdr>
            <w:top w:val="none" w:sz="0" w:space="0" w:color="auto"/>
            <w:left w:val="none" w:sz="0" w:space="0" w:color="auto"/>
            <w:bottom w:val="none" w:sz="0" w:space="0" w:color="auto"/>
            <w:right w:val="none" w:sz="0" w:space="0" w:color="auto"/>
          </w:divBdr>
        </w:div>
        <w:div w:id="1583946300">
          <w:marLeft w:val="60"/>
          <w:marRight w:val="60"/>
          <w:marTop w:val="100"/>
          <w:marBottom w:val="100"/>
          <w:divBdr>
            <w:top w:val="none" w:sz="0" w:space="0" w:color="auto"/>
            <w:left w:val="none" w:sz="0" w:space="0" w:color="auto"/>
            <w:bottom w:val="none" w:sz="0" w:space="0" w:color="auto"/>
            <w:right w:val="none" w:sz="0" w:space="0" w:color="auto"/>
          </w:divBdr>
        </w:div>
        <w:div w:id="2127578467">
          <w:marLeft w:val="60"/>
          <w:marRight w:val="60"/>
          <w:marTop w:val="100"/>
          <w:marBottom w:val="100"/>
          <w:divBdr>
            <w:top w:val="none" w:sz="0" w:space="0" w:color="auto"/>
            <w:left w:val="none" w:sz="0" w:space="0" w:color="auto"/>
            <w:bottom w:val="none" w:sz="0" w:space="0" w:color="auto"/>
            <w:right w:val="none" w:sz="0" w:space="0" w:color="auto"/>
          </w:divBdr>
        </w:div>
        <w:div w:id="259143513">
          <w:marLeft w:val="60"/>
          <w:marRight w:val="60"/>
          <w:marTop w:val="100"/>
          <w:marBottom w:val="100"/>
          <w:divBdr>
            <w:top w:val="none" w:sz="0" w:space="0" w:color="auto"/>
            <w:left w:val="none" w:sz="0" w:space="0" w:color="auto"/>
            <w:bottom w:val="none" w:sz="0" w:space="0" w:color="auto"/>
            <w:right w:val="none" w:sz="0" w:space="0" w:color="auto"/>
          </w:divBdr>
        </w:div>
        <w:div w:id="1655140317">
          <w:marLeft w:val="60"/>
          <w:marRight w:val="60"/>
          <w:marTop w:val="100"/>
          <w:marBottom w:val="100"/>
          <w:divBdr>
            <w:top w:val="none" w:sz="0" w:space="0" w:color="auto"/>
            <w:left w:val="none" w:sz="0" w:space="0" w:color="auto"/>
            <w:bottom w:val="none" w:sz="0" w:space="0" w:color="auto"/>
            <w:right w:val="none" w:sz="0" w:space="0" w:color="auto"/>
          </w:divBdr>
        </w:div>
        <w:div w:id="114177195">
          <w:marLeft w:val="60"/>
          <w:marRight w:val="60"/>
          <w:marTop w:val="100"/>
          <w:marBottom w:val="100"/>
          <w:divBdr>
            <w:top w:val="none" w:sz="0" w:space="0" w:color="auto"/>
            <w:left w:val="none" w:sz="0" w:space="0" w:color="auto"/>
            <w:bottom w:val="none" w:sz="0" w:space="0" w:color="auto"/>
            <w:right w:val="none" w:sz="0" w:space="0" w:color="auto"/>
          </w:divBdr>
          <w:divsChild>
            <w:div w:id="510146547">
              <w:marLeft w:val="0"/>
              <w:marRight w:val="0"/>
              <w:marTop w:val="0"/>
              <w:marBottom w:val="0"/>
              <w:divBdr>
                <w:top w:val="none" w:sz="0" w:space="0" w:color="auto"/>
                <w:left w:val="none" w:sz="0" w:space="0" w:color="auto"/>
                <w:bottom w:val="none" w:sz="0" w:space="0" w:color="auto"/>
                <w:right w:val="none" w:sz="0" w:space="0" w:color="auto"/>
              </w:divBdr>
            </w:div>
          </w:divsChild>
        </w:div>
        <w:div w:id="686323111">
          <w:marLeft w:val="60"/>
          <w:marRight w:val="60"/>
          <w:marTop w:val="100"/>
          <w:marBottom w:val="100"/>
          <w:divBdr>
            <w:top w:val="none" w:sz="0" w:space="0" w:color="auto"/>
            <w:left w:val="none" w:sz="0" w:space="0" w:color="auto"/>
            <w:bottom w:val="none" w:sz="0" w:space="0" w:color="auto"/>
            <w:right w:val="none" w:sz="0" w:space="0" w:color="auto"/>
          </w:divBdr>
          <w:divsChild>
            <w:div w:id="498890134">
              <w:marLeft w:val="0"/>
              <w:marRight w:val="0"/>
              <w:marTop w:val="0"/>
              <w:marBottom w:val="0"/>
              <w:divBdr>
                <w:top w:val="none" w:sz="0" w:space="0" w:color="auto"/>
                <w:left w:val="none" w:sz="0" w:space="0" w:color="auto"/>
                <w:bottom w:val="none" w:sz="0" w:space="0" w:color="auto"/>
                <w:right w:val="none" w:sz="0" w:space="0" w:color="auto"/>
              </w:divBdr>
            </w:div>
          </w:divsChild>
        </w:div>
        <w:div w:id="704867913">
          <w:marLeft w:val="60"/>
          <w:marRight w:val="60"/>
          <w:marTop w:val="100"/>
          <w:marBottom w:val="100"/>
          <w:divBdr>
            <w:top w:val="none" w:sz="0" w:space="0" w:color="auto"/>
            <w:left w:val="none" w:sz="0" w:space="0" w:color="auto"/>
            <w:bottom w:val="none" w:sz="0" w:space="0" w:color="auto"/>
            <w:right w:val="none" w:sz="0" w:space="0" w:color="auto"/>
          </w:divBdr>
        </w:div>
        <w:div w:id="182405342">
          <w:marLeft w:val="60"/>
          <w:marRight w:val="60"/>
          <w:marTop w:val="100"/>
          <w:marBottom w:val="100"/>
          <w:divBdr>
            <w:top w:val="none" w:sz="0" w:space="0" w:color="auto"/>
            <w:left w:val="none" w:sz="0" w:space="0" w:color="auto"/>
            <w:bottom w:val="none" w:sz="0" w:space="0" w:color="auto"/>
            <w:right w:val="none" w:sz="0" w:space="0" w:color="auto"/>
          </w:divBdr>
          <w:divsChild>
            <w:div w:id="315230813">
              <w:marLeft w:val="0"/>
              <w:marRight w:val="0"/>
              <w:marTop w:val="0"/>
              <w:marBottom w:val="0"/>
              <w:divBdr>
                <w:top w:val="none" w:sz="0" w:space="0" w:color="auto"/>
                <w:left w:val="none" w:sz="0" w:space="0" w:color="auto"/>
                <w:bottom w:val="none" w:sz="0" w:space="0" w:color="auto"/>
                <w:right w:val="none" w:sz="0" w:space="0" w:color="auto"/>
              </w:divBdr>
            </w:div>
          </w:divsChild>
        </w:div>
        <w:div w:id="316542517">
          <w:marLeft w:val="60"/>
          <w:marRight w:val="60"/>
          <w:marTop w:val="100"/>
          <w:marBottom w:val="100"/>
          <w:divBdr>
            <w:top w:val="none" w:sz="0" w:space="0" w:color="auto"/>
            <w:left w:val="none" w:sz="0" w:space="0" w:color="auto"/>
            <w:bottom w:val="none" w:sz="0" w:space="0" w:color="auto"/>
            <w:right w:val="none" w:sz="0" w:space="0" w:color="auto"/>
          </w:divBdr>
        </w:div>
        <w:div w:id="398403111">
          <w:marLeft w:val="60"/>
          <w:marRight w:val="60"/>
          <w:marTop w:val="100"/>
          <w:marBottom w:val="100"/>
          <w:divBdr>
            <w:top w:val="none" w:sz="0" w:space="0" w:color="auto"/>
            <w:left w:val="none" w:sz="0" w:space="0" w:color="auto"/>
            <w:bottom w:val="none" w:sz="0" w:space="0" w:color="auto"/>
            <w:right w:val="none" w:sz="0" w:space="0" w:color="auto"/>
          </w:divBdr>
        </w:div>
        <w:div w:id="1743259103">
          <w:marLeft w:val="60"/>
          <w:marRight w:val="60"/>
          <w:marTop w:val="100"/>
          <w:marBottom w:val="100"/>
          <w:divBdr>
            <w:top w:val="none" w:sz="0" w:space="0" w:color="auto"/>
            <w:left w:val="none" w:sz="0" w:space="0" w:color="auto"/>
            <w:bottom w:val="none" w:sz="0" w:space="0" w:color="auto"/>
            <w:right w:val="none" w:sz="0" w:space="0" w:color="auto"/>
          </w:divBdr>
          <w:divsChild>
            <w:div w:id="676688163">
              <w:marLeft w:val="0"/>
              <w:marRight w:val="0"/>
              <w:marTop w:val="0"/>
              <w:marBottom w:val="0"/>
              <w:divBdr>
                <w:top w:val="none" w:sz="0" w:space="0" w:color="auto"/>
                <w:left w:val="none" w:sz="0" w:space="0" w:color="auto"/>
                <w:bottom w:val="none" w:sz="0" w:space="0" w:color="auto"/>
                <w:right w:val="none" w:sz="0" w:space="0" w:color="auto"/>
              </w:divBdr>
            </w:div>
          </w:divsChild>
        </w:div>
        <w:div w:id="1183324638">
          <w:marLeft w:val="60"/>
          <w:marRight w:val="60"/>
          <w:marTop w:val="100"/>
          <w:marBottom w:val="100"/>
          <w:divBdr>
            <w:top w:val="none" w:sz="0" w:space="0" w:color="auto"/>
            <w:left w:val="none" w:sz="0" w:space="0" w:color="auto"/>
            <w:bottom w:val="none" w:sz="0" w:space="0" w:color="auto"/>
            <w:right w:val="none" w:sz="0" w:space="0" w:color="auto"/>
          </w:divBdr>
        </w:div>
        <w:div w:id="1968777518">
          <w:marLeft w:val="60"/>
          <w:marRight w:val="60"/>
          <w:marTop w:val="100"/>
          <w:marBottom w:val="100"/>
          <w:divBdr>
            <w:top w:val="none" w:sz="0" w:space="0" w:color="auto"/>
            <w:left w:val="none" w:sz="0" w:space="0" w:color="auto"/>
            <w:bottom w:val="none" w:sz="0" w:space="0" w:color="auto"/>
            <w:right w:val="none" w:sz="0" w:space="0" w:color="auto"/>
          </w:divBdr>
        </w:div>
        <w:div w:id="1221399875">
          <w:marLeft w:val="60"/>
          <w:marRight w:val="60"/>
          <w:marTop w:val="100"/>
          <w:marBottom w:val="100"/>
          <w:divBdr>
            <w:top w:val="none" w:sz="0" w:space="0" w:color="auto"/>
            <w:left w:val="none" w:sz="0" w:space="0" w:color="auto"/>
            <w:bottom w:val="none" w:sz="0" w:space="0" w:color="auto"/>
            <w:right w:val="none" w:sz="0" w:space="0" w:color="auto"/>
          </w:divBdr>
          <w:divsChild>
            <w:div w:id="1373384205">
              <w:marLeft w:val="0"/>
              <w:marRight w:val="0"/>
              <w:marTop w:val="0"/>
              <w:marBottom w:val="0"/>
              <w:divBdr>
                <w:top w:val="none" w:sz="0" w:space="0" w:color="auto"/>
                <w:left w:val="none" w:sz="0" w:space="0" w:color="auto"/>
                <w:bottom w:val="none" w:sz="0" w:space="0" w:color="auto"/>
                <w:right w:val="none" w:sz="0" w:space="0" w:color="auto"/>
              </w:divBdr>
            </w:div>
          </w:divsChild>
        </w:div>
        <w:div w:id="761953793">
          <w:marLeft w:val="60"/>
          <w:marRight w:val="60"/>
          <w:marTop w:val="100"/>
          <w:marBottom w:val="100"/>
          <w:divBdr>
            <w:top w:val="none" w:sz="0" w:space="0" w:color="auto"/>
            <w:left w:val="none" w:sz="0" w:space="0" w:color="auto"/>
            <w:bottom w:val="none" w:sz="0" w:space="0" w:color="auto"/>
            <w:right w:val="none" w:sz="0" w:space="0" w:color="auto"/>
          </w:divBdr>
        </w:div>
        <w:div w:id="672801296">
          <w:marLeft w:val="60"/>
          <w:marRight w:val="60"/>
          <w:marTop w:val="100"/>
          <w:marBottom w:val="100"/>
          <w:divBdr>
            <w:top w:val="none" w:sz="0" w:space="0" w:color="auto"/>
            <w:left w:val="none" w:sz="0" w:space="0" w:color="auto"/>
            <w:bottom w:val="none" w:sz="0" w:space="0" w:color="auto"/>
            <w:right w:val="none" w:sz="0" w:space="0" w:color="auto"/>
          </w:divBdr>
        </w:div>
        <w:div w:id="256712115">
          <w:marLeft w:val="60"/>
          <w:marRight w:val="60"/>
          <w:marTop w:val="100"/>
          <w:marBottom w:val="100"/>
          <w:divBdr>
            <w:top w:val="none" w:sz="0" w:space="0" w:color="auto"/>
            <w:left w:val="none" w:sz="0" w:space="0" w:color="auto"/>
            <w:bottom w:val="none" w:sz="0" w:space="0" w:color="auto"/>
            <w:right w:val="none" w:sz="0" w:space="0" w:color="auto"/>
          </w:divBdr>
          <w:divsChild>
            <w:div w:id="1578514026">
              <w:marLeft w:val="0"/>
              <w:marRight w:val="0"/>
              <w:marTop w:val="0"/>
              <w:marBottom w:val="0"/>
              <w:divBdr>
                <w:top w:val="none" w:sz="0" w:space="0" w:color="auto"/>
                <w:left w:val="none" w:sz="0" w:space="0" w:color="auto"/>
                <w:bottom w:val="none" w:sz="0" w:space="0" w:color="auto"/>
                <w:right w:val="none" w:sz="0" w:space="0" w:color="auto"/>
              </w:divBdr>
            </w:div>
          </w:divsChild>
        </w:div>
        <w:div w:id="2098013615">
          <w:marLeft w:val="60"/>
          <w:marRight w:val="60"/>
          <w:marTop w:val="100"/>
          <w:marBottom w:val="100"/>
          <w:divBdr>
            <w:top w:val="none" w:sz="0" w:space="0" w:color="auto"/>
            <w:left w:val="none" w:sz="0" w:space="0" w:color="auto"/>
            <w:bottom w:val="none" w:sz="0" w:space="0" w:color="auto"/>
            <w:right w:val="none" w:sz="0" w:space="0" w:color="auto"/>
          </w:divBdr>
        </w:div>
        <w:div w:id="1059014377">
          <w:marLeft w:val="60"/>
          <w:marRight w:val="60"/>
          <w:marTop w:val="100"/>
          <w:marBottom w:val="100"/>
          <w:divBdr>
            <w:top w:val="none" w:sz="0" w:space="0" w:color="auto"/>
            <w:left w:val="none" w:sz="0" w:space="0" w:color="auto"/>
            <w:bottom w:val="none" w:sz="0" w:space="0" w:color="auto"/>
            <w:right w:val="none" w:sz="0" w:space="0" w:color="auto"/>
          </w:divBdr>
        </w:div>
        <w:div w:id="277488734">
          <w:marLeft w:val="60"/>
          <w:marRight w:val="60"/>
          <w:marTop w:val="100"/>
          <w:marBottom w:val="100"/>
          <w:divBdr>
            <w:top w:val="none" w:sz="0" w:space="0" w:color="auto"/>
            <w:left w:val="none" w:sz="0" w:space="0" w:color="auto"/>
            <w:bottom w:val="none" w:sz="0" w:space="0" w:color="auto"/>
            <w:right w:val="none" w:sz="0" w:space="0" w:color="auto"/>
          </w:divBdr>
          <w:divsChild>
            <w:div w:id="1808088309">
              <w:marLeft w:val="0"/>
              <w:marRight w:val="0"/>
              <w:marTop w:val="0"/>
              <w:marBottom w:val="0"/>
              <w:divBdr>
                <w:top w:val="none" w:sz="0" w:space="0" w:color="auto"/>
                <w:left w:val="none" w:sz="0" w:space="0" w:color="auto"/>
                <w:bottom w:val="none" w:sz="0" w:space="0" w:color="auto"/>
                <w:right w:val="none" w:sz="0" w:space="0" w:color="auto"/>
              </w:divBdr>
            </w:div>
          </w:divsChild>
        </w:div>
        <w:div w:id="873617236">
          <w:marLeft w:val="60"/>
          <w:marRight w:val="60"/>
          <w:marTop w:val="100"/>
          <w:marBottom w:val="100"/>
          <w:divBdr>
            <w:top w:val="none" w:sz="0" w:space="0" w:color="auto"/>
            <w:left w:val="none" w:sz="0" w:space="0" w:color="auto"/>
            <w:bottom w:val="none" w:sz="0" w:space="0" w:color="auto"/>
            <w:right w:val="none" w:sz="0" w:space="0" w:color="auto"/>
          </w:divBdr>
        </w:div>
        <w:div w:id="1705639945">
          <w:marLeft w:val="60"/>
          <w:marRight w:val="60"/>
          <w:marTop w:val="100"/>
          <w:marBottom w:val="100"/>
          <w:divBdr>
            <w:top w:val="none" w:sz="0" w:space="0" w:color="auto"/>
            <w:left w:val="none" w:sz="0" w:space="0" w:color="auto"/>
            <w:bottom w:val="none" w:sz="0" w:space="0" w:color="auto"/>
            <w:right w:val="none" w:sz="0" w:space="0" w:color="auto"/>
          </w:divBdr>
        </w:div>
        <w:div w:id="1466200462">
          <w:marLeft w:val="60"/>
          <w:marRight w:val="60"/>
          <w:marTop w:val="100"/>
          <w:marBottom w:val="100"/>
          <w:divBdr>
            <w:top w:val="none" w:sz="0" w:space="0" w:color="auto"/>
            <w:left w:val="none" w:sz="0" w:space="0" w:color="auto"/>
            <w:bottom w:val="none" w:sz="0" w:space="0" w:color="auto"/>
            <w:right w:val="none" w:sz="0" w:space="0" w:color="auto"/>
          </w:divBdr>
          <w:divsChild>
            <w:div w:id="1612516255">
              <w:marLeft w:val="0"/>
              <w:marRight w:val="0"/>
              <w:marTop w:val="0"/>
              <w:marBottom w:val="0"/>
              <w:divBdr>
                <w:top w:val="none" w:sz="0" w:space="0" w:color="auto"/>
                <w:left w:val="none" w:sz="0" w:space="0" w:color="auto"/>
                <w:bottom w:val="none" w:sz="0" w:space="0" w:color="auto"/>
                <w:right w:val="none" w:sz="0" w:space="0" w:color="auto"/>
              </w:divBdr>
            </w:div>
          </w:divsChild>
        </w:div>
        <w:div w:id="197620735">
          <w:marLeft w:val="60"/>
          <w:marRight w:val="60"/>
          <w:marTop w:val="100"/>
          <w:marBottom w:val="100"/>
          <w:divBdr>
            <w:top w:val="none" w:sz="0" w:space="0" w:color="auto"/>
            <w:left w:val="none" w:sz="0" w:space="0" w:color="auto"/>
            <w:bottom w:val="none" w:sz="0" w:space="0" w:color="auto"/>
            <w:right w:val="none" w:sz="0" w:space="0" w:color="auto"/>
          </w:divBdr>
        </w:div>
        <w:div w:id="863714841">
          <w:marLeft w:val="60"/>
          <w:marRight w:val="60"/>
          <w:marTop w:val="100"/>
          <w:marBottom w:val="100"/>
          <w:divBdr>
            <w:top w:val="none" w:sz="0" w:space="0" w:color="auto"/>
            <w:left w:val="none" w:sz="0" w:space="0" w:color="auto"/>
            <w:bottom w:val="none" w:sz="0" w:space="0" w:color="auto"/>
            <w:right w:val="none" w:sz="0" w:space="0" w:color="auto"/>
          </w:divBdr>
        </w:div>
        <w:div w:id="944653983">
          <w:marLeft w:val="60"/>
          <w:marRight w:val="60"/>
          <w:marTop w:val="100"/>
          <w:marBottom w:val="100"/>
          <w:divBdr>
            <w:top w:val="none" w:sz="0" w:space="0" w:color="auto"/>
            <w:left w:val="none" w:sz="0" w:space="0" w:color="auto"/>
            <w:bottom w:val="none" w:sz="0" w:space="0" w:color="auto"/>
            <w:right w:val="none" w:sz="0" w:space="0" w:color="auto"/>
          </w:divBdr>
          <w:divsChild>
            <w:div w:id="1352605322">
              <w:marLeft w:val="0"/>
              <w:marRight w:val="0"/>
              <w:marTop w:val="0"/>
              <w:marBottom w:val="0"/>
              <w:divBdr>
                <w:top w:val="none" w:sz="0" w:space="0" w:color="auto"/>
                <w:left w:val="none" w:sz="0" w:space="0" w:color="auto"/>
                <w:bottom w:val="none" w:sz="0" w:space="0" w:color="auto"/>
                <w:right w:val="none" w:sz="0" w:space="0" w:color="auto"/>
              </w:divBdr>
            </w:div>
          </w:divsChild>
        </w:div>
        <w:div w:id="1366364137">
          <w:marLeft w:val="60"/>
          <w:marRight w:val="60"/>
          <w:marTop w:val="100"/>
          <w:marBottom w:val="100"/>
          <w:divBdr>
            <w:top w:val="none" w:sz="0" w:space="0" w:color="auto"/>
            <w:left w:val="none" w:sz="0" w:space="0" w:color="auto"/>
            <w:bottom w:val="none" w:sz="0" w:space="0" w:color="auto"/>
            <w:right w:val="none" w:sz="0" w:space="0" w:color="auto"/>
          </w:divBdr>
        </w:div>
        <w:div w:id="1699312589">
          <w:marLeft w:val="60"/>
          <w:marRight w:val="60"/>
          <w:marTop w:val="100"/>
          <w:marBottom w:val="100"/>
          <w:divBdr>
            <w:top w:val="none" w:sz="0" w:space="0" w:color="auto"/>
            <w:left w:val="none" w:sz="0" w:space="0" w:color="auto"/>
            <w:bottom w:val="none" w:sz="0" w:space="0" w:color="auto"/>
            <w:right w:val="none" w:sz="0" w:space="0" w:color="auto"/>
          </w:divBdr>
        </w:div>
        <w:div w:id="809324986">
          <w:marLeft w:val="60"/>
          <w:marRight w:val="60"/>
          <w:marTop w:val="100"/>
          <w:marBottom w:val="100"/>
          <w:divBdr>
            <w:top w:val="none" w:sz="0" w:space="0" w:color="auto"/>
            <w:left w:val="none" w:sz="0" w:space="0" w:color="auto"/>
            <w:bottom w:val="none" w:sz="0" w:space="0" w:color="auto"/>
            <w:right w:val="none" w:sz="0" w:space="0" w:color="auto"/>
          </w:divBdr>
          <w:divsChild>
            <w:div w:id="428082154">
              <w:marLeft w:val="0"/>
              <w:marRight w:val="0"/>
              <w:marTop w:val="0"/>
              <w:marBottom w:val="0"/>
              <w:divBdr>
                <w:top w:val="none" w:sz="0" w:space="0" w:color="auto"/>
                <w:left w:val="none" w:sz="0" w:space="0" w:color="auto"/>
                <w:bottom w:val="none" w:sz="0" w:space="0" w:color="auto"/>
                <w:right w:val="none" w:sz="0" w:space="0" w:color="auto"/>
              </w:divBdr>
            </w:div>
          </w:divsChild>
        </w:div>
        <w:div w:id="1195191214">
          <w:marLeft w:val="60"/>
          <w:marRight w:val="60"/>
          <w:marTop w:val="100"/>
          <w:marBottom w:val="100"/>
          <w:divBdr>
            <w:top w:val="none" w:sz="0" w:space="0" w:color="auto"/>
            <w:left w:val="none" w:sz="0" w:space="0" w:color="auto"/>
            <w:bottom w:val="none" w:sz="0" w:space="0" w:color="auto"/>
            <w:right w:val="none" w:sz="0" w:space="0" w:color="auto"/>
          </w:divBdr>
          <w:divsChild>
            <w:div w:id="2079744766">
              <w:marLeft w:val="0"/>
              <w:marRight w:val="0"/>
              <w:marTop w:val="0"/>
              <w:marBottom w:val="0"/>
              <w:divBdr>
                <w:top w:val="none" w:sz="0" w:space="0" w:color="auto"/>
                <w:left w:val="none" w:sz="0" w:space="0" w:color="auto"/>
                <w:bottom w:val="none" w:sz="0" w:space="0" w:color="auto"/>
                <w:right w:val="none" w:sz="0" w:space="0" w:color="auto"/>
              </w:divBdr>
            </w:div>
          </w:divsChild>
        </w:div>
        <w:div w:id="890385635">
          <w:marLeft w:val="60"/>
          <w:marRight w:val="60"/>
          <w:marTop w:val="100"/>
          <w:marBottom w:val="100"/>
          <w:divBdr>
            <w:top w:val="none" w:sz="0" w:space="0" w:color="auto"/>
            <w:left w:val="none" w:sz="0" w:space="0" w:color="auto"/>
            <w:bottom w:val="none" w:sz="0" w:space="0" w:color="auto"/>
            <w:right w:val="none" w:sz="0" w:space="0" w:color="auto"/>
          </w:divBdr>
        </w:div>
        <w:div w:id="1507402326">
          <w:marLeft w:val="60"/>
          <w:marRight w:val="60"/>
          <w:marTop w:val="100"/>
          <w:marBottom w:val="100"/>
          <w:divBdr>
            <w:top w:val="none" w:sz="0" w:space="0" w:color="auto"/>
            <w:left w:val="none" w:sz="0" w:space="0" w:color="auto"/>
            <w:bottom w:val="none" w:sz="0" w:space="0" w:color="auto"/>
            <w:right w:val="none" w:sz="0" w:space="0" w:color="auto"/>
          </w:divBdr>
          <w:divsChild>
            <w:div w:id="2031879985">
              <w:marLeft w:val="0"/>
              <w:marRight w:val="0"/>
              <w:marTop w:val="0"/>
              <w:marBottom w:val="0"/>
              <w:divBdr>
                <w:top w:val="none" w:sz="0" w:space="0" w:color="auto"/>
                <w:left w:val="none" w:sz="0" w:space="0" w:color="auto"/>
                <w:bottom w:val="none" w:sz="0" w:space="0" w:color="auto"/>
                <w:right w:val="none" w:sz="0" w:space="0" w:color="auto"/>
              </w:divBdr>
            </w:div>
          </w:divsChild>
        </w:div>
        <w:div w:id="1524173101">
          <w:marLeft w:val="60"/>
          <w:marRight w:val="60"/>
          <w:marTop w:val="100"/>
          <w:marBottom w:val="100"/>
          <w:divBdr>
            <w:top w:val="none" w:sz="0" w:space="0" w:color="auto"/>
            <w:left w:val="none" w:sz="0" w:space="0" w:color="auto"/>
            <w:bottom w:val="none" w:sz="0" w:space="0" w:color="auto"/>
            <w:right w:val="none" w:sz="0" w:space="0" w:color="auto"/>
          </w:divBdr>
        </w:div>
        <w:div w:id="2061704332">
          <w:marLeft w:val="60"/>
          <w:marRight w:val="60"/>
          <w:marTop w:val="100"/>
          <w:marBottom w:val="100"/>
          <w:divBdr>
            <w:top w:val="none" w:sz="0" w:space="0" w:color="auto"/>
            <w:left w:val="none" w:sz="0" w:space="0" w:color="auto"/>
            <w:bottom w:val="none" w:sz="0" w:space="0" w:color="auto"/>
            <w:right w:val="none" w:sz="0" w:space="0" w:color="auto"/>
          </w:divBdr>
        </w:div>
        <w:div w:id="1446844959">
          <w:marLeft w:val="60"/>
          <w:marRight w:val="60"/>
          <w:marTop w:val="100"/>
          <w:marBottom w:val="100"/>
          <w:divBdr>
            <w:top w:val="none" w:sz="0" w:space="0" w:color="auto"/>
            <w:left w:val="none" w:sz="0" w:space="0" w:color="auto"/>
            <w:bottom w:val="none" w:sz="0" w:space="0" w:color="auto"/>
            <w:right w:val="none" w:sz="0" w:space="0" w:color="auto"/>
          </w:divBdr>
          <w:divsChild>
            <w:div w:id="1234657456">
              <w:marLeft w:val="0"/>
              <w:marRight w:val="0"/>
              <w:marTop w:val="0"/>
              <w:marBottom w:val="0"/>
              <w:divBdr>
                <w:top w:val="none" w:sz="0" w:space="0" w:color="auto"/>
                <w:left w:val="none" w:sz="0" w:space="0" w:color="auto"/>
                <w:bottom w:val="none" w:sz="0" w:space="0" w:color="auto"/>
                <w:right w:val="none" w:sz="0" w:space="0" w:color="auto"/>
              </w:divBdr>
            </w:div>
          </w:divsChild>
        </w:div>
        <w:div w:id="761997250">
          <w:marLeft w:val="60"/>
          <w:marRight w:val="60"/>
          <w:marTop w:val="100"/>
          <w:marBottom w:val="100"/>
          <w:divBdr>
            <w:top w:val="none" w:sz="0" w:space="0" w:color="auto"/>
            <w:left w:val="none" w:sz="0" w:space="0" w:color="auto"/>
            <w:bottom w:val="none" w:sz="0" w:space="0" w:color="auto"/>
            <w:right w:val="none" w:sz="0" w:space="0" w:color="auto"/>
          </w:divBdr>
        </w:div>
        <w:div w:id="1393692713">
          <w:marLeft w:val="60"/>
          <w:marRight w:val="60"/>
          <w:marTop w:val="100"/>
          <w:marBottom w:val="100"/>
          <w:divBdr>
            <w:top w:val="none" w:sz="0" w:space="0" w:color="auto"/>
            <w:left w:val="none" w:sz="0" w:space="0" w:color="auto"/>
            <w:bottom w:val="none" w:sz="0" w:space="0" w:color="auto"/>
            <w:right w:val="none" w:sz="0" w:space="0" w:color="auto"/>
          </w:divBdr>
        </w:div>
        <w:div w:id="748232270">
          <w:marLeft w:val="60"/>
          <w:marRight w:val="60"/>
          <w:marTop w:val="100"/>
          <w:marBottom w:val="100"/>
          <w:divBdr>
            <w:top w:val="none" w:sz="0" w:space="0" w:color="auto"/>
            <w:left w:val="none" w:sz="0" w:space="0" w:color="auto"/>
            <w:bottom w:val="none" w:sz="0" w:space="0" w:color="auto"/>
            <w:right w:val="none" w:sz="0" w:space="0" w:color="auto"/>
          </w:divBdr>
          <w:divsChild>
            <w:div w:id="163207729">
              <w:marLeft w:val="0"/>
              <w:marRight w:val="0"/>
              <w:marTop w:val="0"/>
              <w:marBottom w:val="0"/>
              <w:divBdr>
                <w:top w:val="none" w:sz="0" w:space="0" w:color="auto"/>
                <w:left w:val="none" w:sz="0" w:space="0" w:color="auto"/>
                <w:bottom w:val="none" w:sz="0" w:space="0" w:color="auto"/>
                <w:right w:val="none" w:sz="0" w:space="0" w:color="auto"/>
              </w:divBdr>
            </w:div>
          </w:divsChild>
        </w:div>
        <w:div w:id="544872150">
          <w:marLeft w:val="60"/>
          <w:marRight w:val="60"/>
          <w:marTop w:val="100"/>
          <w:marBottom w:val="100"/>
          <w:divBdr>
            <w:top w:val="none" w:sz="0" w:space="0" w:color="auto"/>
            <w:left w:val="none" w:sz="0" w:space="0" w:color="auto"/>
            <w:bottom w:val="none" w:sz="0" w:space="0" w:color="auto"/>
            <w:right w:val="none" w:sz="0" w:space="0" w:color="auto"/>
          </w:divBdr>
        </w:div>
        <w:div w:id="763499753">
          <w:marLeft w:val="60"/>
          <w:marRight w:val="60"/>
          <w:marTop w:val="100"/>
          <w:marBottom w:val="100"/>
          <w:divBdr>
            <w:top w:val="none" w:sz="0" w:space="0" w:color="auto"/>
            <w:left w:val="none" w:sz="0" w:space="0" w:color="auto"/>
            <w:bottom w:val="none" w:sz="0" w:space="0" w:color="auto"/>
            <w:right w:val="none" w:sz="0" w:space="0" w:color="auto"/>
          </w:divBdr>
        </w:div>
        <w:div w:id="1522745690">
          <w:marLeft w:val="60"/>
          <w:marRight w:val="60"/>
          <w:marTop w:val="100"/>
          <w:marBottom w:val="100"/>
          <w:divBdr>
            <w:top w:val="none" w:sz="0" w:space="0" w:color="auto"/>
            <w:left w:val="none" w:sz="0" w:space="0" w:color="auto"/>
            <w:bottom w:val="none" w:sz="0" w:space="0" w:color="auto"/>
            <w:right w:val="none" w:sz="0" w:space="0" w:color="auto"/>
          </w:divBdr>
          <w:divsChild>
            <w:div w:id="980887070">
              <w:marLeft w:val="0"/>
              <w:marRight w:val="0"/>
              <w:marTop w:val="0"/>
              <w:marBottom w:val="0"/>
              <w:divBdr>
                <w:top w:val="none" w:sz="0" w:space="0" w:color="auto"/>
                <w:left w:val="none" w:sz="0" w:space="0" w:color="auto"/>
                <w:bottom w:val="none" w:sz="0" w:space="0" w:color="auto"/>
                <w:right w:val="none" w:sz="0" w:space="0" w:color="auto"/>
              </w:divBdr>
            </w:div>
          </w:divsChild>
        </w:div>
        <w:div w:id="658341169">
          <w:marLeft w:val="60"/>
          <w:marRight w:val="60"/>
          <w:marTop w:val="100"/>
          <w:marBottom w:val="100"/>
          <w:divBdr>
            <w:top w:val="none" w:sz="0" w:space="0" w:color="auto"/>
            <w:left w:val="none" w:sz="0" w:space="0" w:color="auto"/>
            <w:bottom w:val="none" w:sz="0" w:space="0" w:color="auto"/>
            <w:right w:val="none" w:sz="0" w:space="0" w:color="auto"/>
          </w:divBdr>
        </w:div>
        <w:div w:id="2024017121">
          <w:marLeft w:val="60"/>
          <w:marRight w:val="60"/>
          <w:marTop w:val="100"/>
          <w:marBottom w:val="100"/>
          <w:divBdr>
            <w:top w:val="none" w:sz="0" w:space="0" w:color="auto"/>
            <w:left w:val="none" w:sz="0" w:space="0" w:color="auto"/>
            <w:bottom w:val="none" w:sz="0" w:space="0" w:color="auto"/>
            <w:right w:val="none" w:sz="0" w:space="0" w:color="auto"/>
          </w:divBdr>
        </w:div>
        <w:div w:id="858543621">
          <w:marLeft w:val="60"/>
          <w:marRight w:val="60"/>
          <w:marTop w:val="100"/>
          <w:marBottom w:val="100"/>
          <w:divBdr>
            <w:top w:val="none" w:sz="0" w:space="0" w:color="auto"/>
            <w:left w:val="none" w:sz="0" w:space="0" w:color="auto"/>
            <w:bottom w:val="none" w:sz="0" w:space="0" w:color="auto"/>
            <w:right w:val="none" w:sz="0" w:space="0" w:color="auto"/>
          </w:divBdr>
          <w:divsChild>
            <w:div w:id="216820558">
              <w:marLeft w:val="0"/>
              <w:marRight w:val="0"/>
              <w:marTop w:val="0"/>
              <w:marBottom w:val="0"/>
              <w:divBdr>
                <w:top w:val="none" w:sz="0" w:space="0" w:color="auto"/>
                <w:left w:val="none" w:sz="0" w:space="0" w:color="auto"/>
                <w:bottom w:val="none" w:sz="0" w:space="0" w:color="auto"/>
                <w:right w:val="none" w:sz="0" w:space="0" w:color="auto"/>
              </w:divBdr>
            </w:div>
          </w:divsChild>
        </w:div>
        <w:div w:id="797263143">
          <w:marLeft w:val="60"/>
          <w:marRight w:val="60"/>
          <w:marTop w:val="100"/>
          <w:marBottom w:val="100"/>
          <w:divBdr>
            <w:top w:val="none" w:sz="0" w:space="0" w:color="auto"/>
            <w:left w:val="none" w:sz="0" w:space="0" w:color="auto"/>
            <w:bottom w:val="none" w:sz="0" w:space="0" w:color="auto"/>
            <w:right w:val="none" w:sz="0" w:space="0" w:color="auto"/>
          </w:divBdr>
        </w:div>
      </w:divsChild>
    </w:div>
    <w:div w:id="1209218388">
      <w:bodyDiv w:val="1"/>
      <w:marLeft w:val="0"/>
      <w:marRight w:val="0"/>
      <w:marTop w:val="0"/>
      <w:marBottom w:val="0"/>
      <w:divBdr>
        <w:top w:val="none" w:sz="0" w:space="0" w:color="auto"/>
        <w:left w:val="none" w:sz="0" w:space="0" w:color="auto"/>
        <w:bottom w:val="none" w:sz="0" w:space="0" w:color="auto"/>
        <w:right w:val="none" w:sz="0" w:space="0" w:color="auto"/>
      </w:divBdr>
    </w:div>
    <w:div w:id="1361738060">
      <w:bodyDiv w:val="1"/>
      <w:marLeft w:val="0"/>
      <w:marRight w:val="0"/>
      <w:marTop w:val="0"/>
      <w:marBottom w:val="0"/>
      <w:divBdr>
        <w:top w:val="none" w:sz="0" w:space="0" w:color="auto"/>
        <w:left w:val="none" w:sz="0" w:space="0" w:color="auto"/>
        <w:bottom w:val="none" w:sz="0" w:space="0" w:color="auto"/>
        <w:right w:val="none" w:sz="0" w:space="0" w:color="auto"/>
      </w:divBdr>
    </w:div>
    <w:div w:id="14967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4EBB0-66BC-434F-A465-EAD500D0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5442</TotalTime>
  <Pages>17</Pages>
  <Words>4941</Words>
  <Characters>28169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Сычевский Андрей Викторович</dc:creator>
  <cp:lastModifiedBy>Степанов Роман Львович</cp:lastModifiedBy>
  <cp:revision>204</cp:revision>
  <cp:lastPrinted>2025-09-01T01:24:00Z</cp:lastPrinted>
  <dcterms:created xsi:type="dcterms:W3CDTF">2022-01-31T04:35:00Z</dcterms:created>
  <dcterms:modified xsi:type="dcterms:W3CDTF">2026-01-13T07:51:00Z</dcterms:modified>
</cp:coreProperties>
</file>