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0"/>
        <w:spacing w:line="240" w:lineRule="auto"/>
        <w:ind/>
        <w:jc w:val="center"/>
        <w:rPr>
          <w:rFonts w:ascii="PT Astra Serif" w:hAnsi="PT Astra Serif"/>
          <w:sz w:val="28"/>
        </w:rPr>
      </w:pPr>
      <w:bookmarkStart w:id="1" w:name="P263"/>
      <w:bookmarkEnd w:id="1"/>
      <w:r>
        <w:rPr>
          <w:rFonts w:ascii="PT Astra Serif" w:hAnsi="PT Astra Serif"/>
          <w:sz w:val="28"/>
        </w:rPr>
        <w:t>СВОДНЫЙ ОТЧЕТ</w:t>
      </w:r>
    </w:p>
    <w:p w14:paraId="05000000">
      <w:pPr>
        <w:pStyle w:val="Style_2"/>
        <w:widowControl w:val="0"/>
        <w:spacing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результатах проведения оценки регулирующего</w:t>
      </w:r>
    </w:p>
    <w:p w14:paraId="06000000">
      <w:pPr>
        <w:pStyle w:val="Style_2"/>
        <w:widowControl w:val="0"/>
        <w:spacing w:line="240" w:lineRule="auto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8"/>
        </w:rPr>
        <w:t>воздействия проекта нормативного правового акта</w:t>
      </w:r>
    </w:p>
    <w:p w14:paraId="07000000">
      <w:pPr>
        <w:pStyle w:val="Style_2"/>
        <w:widowControl w:val="0"/>
        <w:ind/>
        <w:jc w:val="both"/>
        <w:rPr>
          <w:rFonts w:ascii="PT Astra Serif" w:hAnsi="PT Astra Serif"/>
          <w:sz w:val="24"/>
        </w:rPr>
      </w:pPr>
    </w:p>
    <w:p w14:paraId="08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1.</w:t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>Общая информация</w:t>
      </w:r>
    </w:p>
    <w:p w14:paraId="09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  <w:u w:val="single"/>
        </w:rPr>
        <w:t>1.1.</w:t>
      </w:r>
      <w:r>
        <w:rPr>
          <w:rFonts w:ascii="PT Astra Serif" w:hAnsi="PT Astra Serif"/>
          <w:b w:val="0"/>
          <w:sz w:val="28"/>
          <w:u w:val="single"/>
        </w:rPr>
        <w:tab/>
      </w:r>
      <w:r>
        <w:rPr>
          <w:rFonts w:ascii="PT Astra Serif" w:hAnsi="PT Astra Serif"/>
          <w:b w:val="0"/>
          <w:sz w:val="28"/>
          <w:u w:val="single"/>
        </w:rPr>
        <w:t>Орган-разработчик:</w:t>
      </w:r>
      <w:r>
        <w:rPr>
          <w:rFonts w:ascii="PT Astra Serif" w:hAnsi="PT Astra Serif"/>
          <w:b w:val="0"/>
          <w:sz w:val="28"/>
        </w:rPr>
        <w:t xml:space="preserve"> Министерство предпринимательства, торговли и туризма Республики Саха (Якутия) (далее - Министерство)</w:t>
      </w:r>
    </w:p>
    <w:p w14:paraId="0A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sz w:val="28"/>
          <w:u w:val="single"/>
        </w:rPr>
        <w:t>1.2.</w:t>
      </w:r>
      <w:r>
        <w:rPr>
          <w:rFonts w:ascii="PT Astra Serif" w:hAnsi="PT Astra Serif"/>
          <w:b w:val="0"/>
          <w:sz w:val="28"/>
          <w:u w:val="single"/>
        </w:rPr>
        <w:tab/>
      </w:r>
      <w:r>
        <w:rPr>
          <w:rFonts w:ascii="PT Astra Serif" w:hAnsi="PT Astra Serif"/>
          <w:b w:val="0"/>
          <w:sz w:val="28"/>
          <w:u w:val="single"/>
        </w:rPr>
        <w:t>Вид и наименование проекта нормативного правового акта: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Приказ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Министерства предпринимательства, торговли и туризма Республики Саха (Якутия) </w:t>
      </w:r>
      <w:r>
        <w:rPr>
          <w:rFonts w:ascii="PT Astra Serif" w:hAnsi="PT Astra Serif"/>
          <w:b w:val="0"/>
          <w:sz w:val="28"/>
        </w:rPr>
        <w:t>Об утверждении административных регламентов Министерства  предпринимательства, торговли и туризма Республики Саха (Якутия) по предоставлению государственных услуг «Внесение сведений в торговый реестр Республики Саха (Якутия) по заявлениям хозяйствующих субъектов» и «Предоставление информации, содержащейся в торговом реестре Республики Саха (Якутия)».</w:t>
      </w:r>
    </w:p>
    <w:p w14:paraId="0B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  <w:u w:val="single"/>
        </w:rPr>
        <w:t>1.3.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Краткое описание проблемы, на решение которой направлено предлагаемое правовое регулирование: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 xml:space="preserve">Постановлением Правительства Республики Саха (Якутия) от 27.10.2025 № 441 “О внесении изменений в порядок разработки и утверждения административного регламента предоставления государственной услуги, утвержденный постановлением Правительства Республики Саха (Якутия) от 26 августа 2021 г. № 296” внесены изменения в порядок разработки и утверждения административных регламентов предоставления государственных услуг, в частности, установлены требования к содержанию разделов и подразделов административного регламента, описанию выполнения административных процедур, способов информирования заявителя о ходе и результатах предоставления государственной услуги и др. </w:t>
      </w:r>
    </w:p>
    <w:p w14:paraId="0C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>Исполнительным органам государственной власти Республики Саха (Якутия) необходимо привести свои нормативные правовые акты в соответствие с внесенными изменениями в течение трех месяцев со дня официального опубликования.</w:t>
      </w:r>
    </w:p>
    <w:p w14:paraId="0D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b w:val="0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1.4.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Краткое описание целей предлагаемого правового регулирования: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>Проект приказа Министерства предпринимательства, торговли и туризма Республики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>Саха (Якутия) разработан в целях приведения в соответствие региональных нормативных</w:t>
      </w:r>
      <w:r>
        <w:rPr>
          <w:rFonts w:ascii="PT Astra Serif" w:hAnsi="PT Astra Serif"/>
          <w:b w:val="0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 xml:space="preserve">актов регулирующих предоставление государственных услуг 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b w:val="0"/>
          <w:sz w:val="28"/>
        </w:rPr>
        <w:t>«Внесение сведений в торговый реестр Республики Саха (Якутия) по заявлениям хозяйствующих субъектов» и «Предоставление информации, содержащейся в торговом реестре Республики Саха (Якутия)».</w:t>
      </w:r>
    </w:p>
    <w:p w14:paraId="0E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/>
        <w:ind w:firstLine="567" w:left="0"/>
        <w:jc w:val="both"/>
        <w:rPr>
          <w:rFonts w:ascii="PT Astra Serif" w:hAnsi="PT Astra Serif"/>
          <w:b w:val="0"/>
          <w:color w:val="000000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1.5.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Краткое описание содержания предлагаемого правового регулирования: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>Распоряжением Правительства Республики Саха (Якутия) от 30.07.2025 № 590-р «О внесении изменений в распоряжение Правительства Республики Саха (Якутия) от 26.06.2024 № 712-р «Об утверждении плана мероприятий по переводу очных обращений граждан за предоставлением государственных услуг, предоставляемых исполнительными органами государственной власти Республики Саха (Якутия), в государственное автономное учреждение «Многофункциональный центр предоставления государственных и муниципальных услуг в Республике Саха (Якутия)» в новой редакции утверждён план мероприятий, а также перечень государственных услуг, по которым установлен очный приём обращений исключительно в ГАУ «МФЦ РС(Я)»</w:t>
      </w:r>
      <w:r>
        <w:rPr>
          <w:rFonts w:ascii="PT Astra Serif" w:hAnsi="PT Astra Serif"/>
          <w:sz w:val="28"/>
        </w:rPr>
        <w:t>.</w:t>
      </w:r>
    </w:p>
    <w:p w14:paraId="0F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1.6.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Контактная информация исполнителя в органе-разработчике:</w:t>
      </w:r>
    </w:p>
    <w:p w14:paraId="10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Ф.И.О: Васильев Михаил Степанович</w:t>
      </w:r>
    </w:p>
    <w:p w14:paraId="11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Должность: Ведущий специалист отдела торговли, общественного питания и конкуренции Министерства предпринимательства, торговли и туризма Республики Саха (Якутия). </w:t>
      </w:r>
    </w:p>
    <w:p w14:paraId="12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Телефон, адрес электронной почты: </w:t>
      </w:r>
      <w:r>
        <w:rPr>
          <w:rFonts w:ascii="PT Astra Serif" w:hAnsi="PT Astra Serif"/>
          <w:sz w:val="28"/>
        </w:rPr>
        <w:t xml:space="preserve">8(4112) 506-580, IP 6, e-mail: </w:t>
      </w:r>
      <w:r>
        <w:rPr>
          <w:rStyle w:val="Style_3_ch"/>
          <w:rFonts w:ascii="PT Astra Serif" w:hAnsi="PT Astra Serif"/>
          <w:sz w:val="28"/>
        </w:rPr>
        <w:fldChar w:fldCharType="begin"/>
      </w:r>
      <w:r>
        <w:rPr>
          <w:rStyle w:val="Style_3_ch"/>
          <w:rFonts w:ascii="PT Astra Serif" w:hAnsi="PT Astra Serif"/>
          <w:sz w:val="28"/>
        </w:rPr>
        <w:instrText>HYPERLINK "mailto:Minpred@sakha.gov.ru"</w:instrText>
      </w:r>
      <w:r>
        <w:rPr>
          <w:rStyle w:val="Style_3_ch"/>
          <w:rFonts w:ascii="PT Astra Serif" w:hAnsi="PT Astra Serif"/>
          <w:sz w:val="28"/>
        </w:rPr>
        <w:fldChar w:fldCharType="separate"/>
      </w:r>
      <w:r>
        <w:rPr>
          <w:rStyle w:val="Style_3_ch"/>
          <w:rFonts w:ascii="PT Astra Serif" w:hAnsi="PT Astra Serif"/>
          <w:sz w:val="28"/>
        </w:rPr>
        <w:t>Minpred</w:t>
      </w:r>
      <w:r>
        <w:rPr>
          <w:rStyle w:val="Style_3_ch"/>
          <w:rFonts w:ascii="PT Astra Serif" w:hAnsi="PT Astra Serif"/>
          <w:sz w:val="28"/>
        </w:rPr>
        <w:t>@sakha.gov.ru</w:t>
      </w:r>
      <w:r>
        <w:rPr>
          <w:rStyle w:val="Style_3_ch"/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, </w:t>
      </w:r>
      <w:r>
        <w:rPr>
          <w:rStyle w:val="Style_3_ch"/>
          <w:rFonts w:ascii="PT Astra Serif" w:hAnsi="PT Astra Serif"/>
          <w:sz w:val="28"/>
        </w:rPr>
        <w:fldChar w:fldCharType="begin"/>
      </w:r>
      <w:r>
        <w:rPr>
          <w:rStyle w:val="Style_3_ch"/>
          <w:rFonts w:ascii="PT Astra Serif" w:hAnsi="PT Astra Serif"/>
          <w:sz w:val="28"/>
        </w:rPr>
        <w:instrText>HYPERLINK "mailto:Minpred.torg@mail.ru"</w:instrText>
      </w:r>
      <w:r>
        <w:rPr>
          <w:rStyle w:val="Style_3_ch"/>
          <w:rFonts w:ascii="PT Astra Serif" w:hAnsi="PT Astra Serif"/>
          <w:sz w:val="28"/>
        </w:rPr>
        <w:fldChar w:fldCharType="separate"/>
      </w:r>
      <w:r>
        <w:rPr>
          <w:rStyle w:val="Style_3_ch"/>
          <w:rFonts w:ascii="PT Astra Serif" w:hAnsi="PT Astra Serif"/>
          <w:sz w:val="28"/>
        </w:rPr>
        <w:t>Minpred.torg@mail.ru</w:t>
      </w:r>
      <w:r>
        <w:rPr>
          <w:rStyle w:val="Style_3_ch"/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. </w:t>
      </w:r>
    </w:p>
    <w:p w14:paraId="13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1.7.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Степень регулирующего воздействия проекта нормативного правового акта:</w:t>
      </w:r>
      <w:r>
        <w:rPr>
          <w:rFonts w:ascii="PT Astra Serif" w:hAnsi="PT Astra Serif"/>
          <w:sz w:val="28"/>
          <w:u w:val="none"/>
        </w:rPr>
        <w:t xml:space="preserve"> Средняя</w:t>
      </w:r>
      <w:r>
        <w:rPr>
          <w:rFonts w:ascii="PT Astra Serif" w:hAnsi="PT Astra Serif"/>
          <w:sz w:val="28"/>
          <w:u w:val="none"/>
        </w:rPr>
        <w:t xml:space="preserve"> степень регулирующего воздействия.</w:t>
      </w:r>
    </w:p>
    <w:p w14:paraId="14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1.8.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Обоснование отнесения проекта нормативного правового акта к определенной степени регулирующего воздействия: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>Проект НПА содержит положения, изменяющие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 xml:space="preserve">ранее установленные обязательные требования, связанные с осуществлением </w:t>
      </w:r>
      <w:r>
        <w:rPr>
          <w:rFonts w:ascii="PT Astra Serif" w:hAnsi="PT Astra Serif"/>
          <w:sz w:val="28"/>
        </w:rPr>
        <w:t>предпринимательской, инвестиционной и иной экономической деятельности.</w:t>
      </w:r>
    </w:p>
    <w:p w14:paraId="15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</w:p>
    <w:p w14:paraId="16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single"/>
        </w:rPr>
      </w:pPr>
      <w:r>
        <w:rPr>
          <w:rFonts w:ascii="PT Astra Serif" w:hAnsi="PT Astra Serif"/>
          <w:b w:val="1"/>
          <w:sz w:val="28"/>
        </w:rPr>
        <w:t>2.</w:t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>Описание проблемы, на решение которой направлено предлагаемое правовое регулирование</w:t>
      </w:r>
    </w:p>
    <w:p w14:paraId="17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2.1.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Формулировка проблемы:</w:t>
      </w:r>
    </w:p>
    <w:p w14:paraId="18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Необходимость приведения в соответствие с требованиями.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>Не соответствие региональных нормативных документов по предоставлению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</w:rPr>
        <w:t>государственных услуг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>«Внесение сведений в торговый реестр Республики Саха (Якутия) по заявлениям хозяйствующих субъектов» и «Предоставление информации, содержащейся в торговом реестре Республики Саха (Якутия)».</w:t>
      </w:r>
    </w:p>
    <w:p w14:paraId="19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2.2.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Fonts w:ascii="PT Astra Serif" w:hAnsi="PT Astra Serif"/>
          <w:sz w:val="28"/>
          <w:u w:val="none"/>
        </w:rPr>
        <w:t xml:space="preserve"> отсутствует</w:t>
      </w:r>
    </w:p>
    <w:p w14:paraId="1A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2.3.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Социальные группы, заинтересованные в устранении проблемы, их количественная оценка: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  <w:u w:val="none"/>
        </w:rPr>
        <w:t>Хозяйствующие субъекты Республики Саха (Якутия).</w:t>
      </w:r>
    </w:p>
    <w:p w14:paraId="1B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2.4.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Характеристика негативных эффектов, возникающих в связи с наличием проблемы, их количественная оценка:</w:t>
      </w:r>
      <w:r>
        <w:rPr>
          <w:rFonts w:ascii="PT Astra Serif" w:hAnsi="PT Astra Serif"/>
          <w:sz w:val="28"/>
          <w:u w:val="none"/>
        </w:rPr>
        <w:t xml:space="preserve"> отсутствуют</w:t>
      </w:r>
    </w:p>
    <w:p w14:paraId="1C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2.5.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 xml:space="preserve">Причины возникновения проблемы и факторы, поддерживающие ее существование: </w:t>
      </w:r>
      <w:r>
        <w:rPr>
          <w:rFonts w:ascii="PT Astra Serif" w:hAnsi="PT Astra Serif"/>
          <w:sz w:val="28"/>
        </w:rPr>
        <w:t>Федеральный закон от 27.07.2010 № 210-ФЗ «Об организации предоставления государственных и муниципальных услуг» и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1D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  <w:u w:val="single"/>
        </w:rPr>
        <w:t>2.6.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Согласно подпункта 30 пункта 3. Положения об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Министерстве предпринимательства, торговли и туризма Республики Саха (Якутия), </w:t>
      </w:r>
      <w:r>
        <w:rPr>
          <w:rFonts w:ascii="PT Astra Serif" w:hAnsi="PT Astra Serif"/>
          <w:sz w:val="28"/>
        </w:rPr>
        <w:t xml:space="preserve">утвержденного постановлением Правительства Республики Саха (Якутия) от 11.03.2022 No </w:t>
      </w:r>
      <w:r>
        <w:rPr>
          <w:rFonts w:ascii="PT Astra Serif" w:hAnsi="PT Astra Serif"/>
          <w:sz w:val="28"/>
        </w:rPr>
        <w:t>137 Министерство предпринимательства, торговли и туризма Республики Саха (Якутия) для реализации возложенных задач исполняет следующие полномочия:</w:t>
      </w:r>
    </w:p>
    <w:p w14:paraId="1E000000">
      <w:pPr>
        <w:spacing w:after="0" w:before="0"/>
        <w:ind w:firstLine="54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30) в целях реализации государственной политики в области торговой деятельности и общественного питания в пределах своей компетенции на территории Республики Саха (Якутия):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- </w:t>
      </w:r>
      <w:r>
        <w:rPr>
          <w:rFonts w:ascii="PT Astra Serif" w:hAnsi="PT Astra Serif"/>
          <w:b w:val="0"/>
          <w:sz w:val="28"/>
        </w:rPr>
        <w:t xml:space="preserve">е) формирует и ведет торговый реестр Республики Саха (Якутия), предоставляет информацию, содержащуюся в торговом реестре, в соответствии с порядком и формой,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внутренней торговли. </w:t>
      </w:r>
    </w:p>
    <w:p w14:paraId="1F000000">
      <w:pPr>
        <w:spacing w:after="0" w:before="0"/>
        <w:ind w:firstLine="54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 том числе :</w:t>
      </w:r>
    </w:p>
    <w:p w14:paraId="20000000">
      <w:pPr>
        <w:spacing w:after="0" w:before="0"/>
        <w:ind w:firstLine="54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108) Министерство предоставляет следующие государственные услуги:</w:t>
      </w:r>
    </w:p>
    <w:p w14:paraId="21000000">
      <w:pPr>
        <w:spacing w:after="0" w:before="0"/>
        <w:ind w:firstLine="54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а) по формированию и ведению Торгового реестра Республики Саха (Якутия);</w:t>
      </w:r>
    </w:p>
    <w:p w14:paraId="22000000">
      <w:pPr>
        <w:spacing w:after="0" w:before="0"/>
        <w:ind w:firstLine="540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б) по предоставлению информации, содержащейся в Торговом реестре Республики Саха (Якутия).</w:t>
      </w:r>
    </w:p>
    <w:p w14:paraId="23000000">
      <w:pPr>
        <w:spacing w:after="0" w:before="0"/>
        <w:ind w:firstLine="540" w:left="0"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2.7.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Опыт решения аналогичных проблем в других субъектах Российской Федерации, иностранных государствах:</w:t>
      </w:r>
      <w:r>
        <w:rPr>
          <w:rFonts w:ascii="PT Astra Serif" w:hAnsi="PT Astra Serif"/>
          <w:sz w:val="28"/>
        </w:rPr>
        <w:t xml:space="preserve"> принятие нормативно-правовых актов. </w:t>
      </w:r>
    </w:p>
    <w:p w14:paraId="25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2.8.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Источники данных:</w:t>
      </w:r>
      <w:r>
        <w:rPr>
          <w:rFonts w:ascii="PT Astra Serif" w:hAnsi="PT Astra Serif"/>
          <w:sz w:val="28"/>
          <w:u w:val="none"/>
        </w:rPr>
        <w:t xml:space="preserve"> - отсутствуют.</w:t>
      </w:r>
    </w:p>
    <w:p w14:paraId="26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2.9.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Иная информация о проблеме</w:t>
      </w:r>
      <w:r>
        <w:rPr>
          <w:rFonts w:ascii="PT Astra Serif" w:hAnsi="PT Astra Serif"/>
          <w:sz w:val="28"/>
        </w:rPr>
        <w:t>: - отсутствует.</w:t>
      </w:r>
    </w:p>
    <w:p w14:paraId="27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</w:p>
    <w:p w14:paraId="28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</w:p>
    <w:p w14:paraId="29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3.</w:t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>Определение целей предлагаемого правового регулирования и индикаторов для оценки их достижения</w:t>
      </w:r>
      <w:r>
        <w:rPr>
          <w:rFonts w:ascii="PT Astra Serif" w:hAnsi="PT Astra Serif"/>
          <w:sz w:val="28"/>
        </w:rPr>
        <w:t>:</w:t>
      </w:r>
    </w:p>
    <w:p w14:paraId="2A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</w:p>
    <w:tbl>
      <w:tblPr>
        <w:tblW w:type="auto" w:w="0"/>
        <w:tblInd w:type="dxa" w:w="-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537"/>
        <w:gridCol w:w="3117"/>
        <w:gridCol w:w="2701"/>
      </w:tblGrid>
      <w:t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3.1. Цели предлагаемого правового регулирования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>
          <w:trHeight w:hRule="atLeast" w:val="4380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Предоставление </w:t>
            </w:r>
            <w:r>
              <w:rPr>
                <w:rFonts w:ascii="PT Astra Serif" w:hAnsi="PT Astra Serif"/>
                <w:sz w:val="28"/>
              </w:rPr>
              <w:t>государственных услуг:</w:t>
            </w:r>
          </w:p>
          <w:p w14:paraId="2F000000">
            <w:pPr>
              <w:numPr>
                <w:numId w:val="1"/>
              </w:numPr>
              <w:ind w:firstLine="0" w:left="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0"/>
                <w:sz w:val="28"/>
              </w:rPr>
              <w:t>«Внесение сведений в торговый реестр Республики Саха (Якутия) по заявлениям хозяйствующих субъектов»;  «Предоставление информации, содержащейся в торговом реестре Республики Саха (Якутия)».</w:t>
            </w:r>
          </w:p>
          <w:p w14:paraId="30000000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</w:tbl>
    <w:p w14:paraId="33000000">
      <w:pPr>
        <w:pStyle w:val="Style_5"/>
        <w:widowControl w:val="0"/>
        <w:spacing w:after="0" w:before="0"/>
        <w:ind w:firstLine="567" w:left="0"/>
        <w:rPr>
          <w:rFonts w:ascii="PT Astra Serif" w:hAnsi="PT Astra Serif"/>
          <w:color w:val="00B0F0"/>
          <w:sz w:val="28"/>
        </w:rPr>
      </w:pPr>
    </w:p>
    <w:p w14:paraId="34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3.4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Методы расчета индикаторов достижения целей предлагаемого правового регулирования, источники информации для расчетов:</w:t>
      </w:r>
      <w:r>
        <w:rPr>
          <w:rFonts w:ascii="PT Astra Serif" w:hAnsi="PT Astra Serif"/>
          <w:sz w:val="28"/>
        </w:rPr>
        <w:t xml:space="preserve"> - отсутствуют.</w:t>
      </w:r>
    </w:p>
    <w:p w14:paraId="35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3.5.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Проведение мониторинга и иные способы (методы) оценки достижения целей предлагаемого правового регулирования:</w:t>
      </w:r>
      <w:r>
        <w:rPr>
          <w:rFonts w:ascii="PT Astra Serif" w:hAnsi="PT Astra Serif"/>
          <w:sz w:val="28"/>
          <w:u w:val="none"/>
        </w:rPr>
        <w:t xml:space="preserve"> - отсутствуют.</w:t>
      </w:r>
    </w:p>
    <w:p w14:paraId="36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3.6.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Оценка затрат на проведение мониторинга достижения целей предлагаемого правового регулирования</w:t>
      </w:r>
      <w:r>
        <w:rPr>
          <w:rFonts w:ascii="PT Astra Serif" w:hAnsi="PT Astra Serif"/>
          <w:sz w:val="28"/>
        </w:rPr>
        <w:t>: - отсутствуют.</w:t>
      </w:r>
    </w:p>
    <w:p w14:paraId="37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3.7.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Источники информации для расчета индикаторов:</w:t>
      </w:r>
      <w:r>
        <w:rPr>
          <w:rFonts w:ascii="PT Astra Serif" w:hAnsi="PT Astra Serif"/>
          <w:sz w:val="28"/>
          <w:u w:val="none"/>
        </w:rPr>
        <w:t xml:space="preserve"> - отсутствуют.</w:t>
      </w:r>
    </w:p>
    <w:p w14:paraId="38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</w:p>
    <w:p w14:paraId="39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4.</w:t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>Качественная характеристика и оценка численности потенциальных адресатов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предлагаемого правового регулирования (их групп)</w:t>
      </w: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569"/>
        <w:gridCol w:w="2225"/>
        <w:gridCol w:w="3561"/>
      </w:tblGrid>
      <w:tr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3A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type="dxa" w:w="2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4.2. Количество участников группы</w:t>
            </w:r>
          </w:p>
        </w:tc>
        <w:tc>
          <w:tcPr>
            <w:tcW w:type="dxa" w:w="3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4.3. Источники данных</w:t>
            </w:r>
          </w:p>
        </w:tc>
      </w:tr>
      <w:tr>
        <w:tc>
          <w:tcPr>
            <w:tcW w:type="dxa" w:w="3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Физические лица, юридические лица, хозяйствующие субъекты</w:t>
            </w:r>
          </w:p>
        </w:tc>
        <w:tc>
          <w:tcPr>
            <w:tcW w:type="dxa" w:w="22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3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</w:tbl>
    <w:p w14:paraId="40000000">
      <w:pPr>
        <w:pStyle w:val="Style_4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</w:p>
    <w:p w14:paraId="41000000">
      <w:pPr>
        <w:pStyle w:val="Style_4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5.</w:t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 xml:space="preserve">Изменение функций (полномочий, обязанностей, прав) органов государственной власти Республики Саха (Якутия) (органов местного самоуправления), а также порядка их реализации в связи с введением предлагаемого правового регулирования </w:t>
      </w: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33"/>
        <w:gridCol w:w="1834"/>
        <w:gridCol w:w="1835"/>
        <w:gridCol w:w="1977"/>
        <w:gridCol w:w="1575"/>
      </w:tblGrid>
      <w:tr>
        <w:tc>
          <w:tcPr>
            <w:tcW w:type="dxa" w:w="2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5.1. Наименование функции (полномочия, обязанности или права)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5.2. Характер функции (новая / изменяемая / отменяемая)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5.3. Предполагаемый порядок реализации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5.5. Оценка изменения потребностей в других ресурсах</w:t>
            </w:r>
          </w:p>
        </w:tc>
      </w:tr>
      <w:tr>
        <w:tc>
          <w:tcPr>
            <w:tcW w:type="dxa" w:w="2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ind/>
              <w:jc w:val="center"/>
            </w:pPr>
            <w:r>
              <w:t>-</w:t>
            </w:r>
          </w:p>
        </w:tc>
        <w:tc>
          <w:tcPr>
            <w:tcW w:type="dxa" w:w="1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ind/>
              <w:jc w:val="center"/>
            </w:pPr>
            <w:r>
              <w:t>-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ind/>
              <w:jc w:val="center"/>
            </w:pPr>
            <w:r>
              <w:t>-</w:t>
            </w:r>
          </w:p>
        </w:tc>
        <w:tc>
          <w:tcPr>
            <w:tcW w:type="dxa" w:w="1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ind/>
              <w:jc w:val="center"/>
            </w:pPr>
            <w:r>
              <w:t>-</w:t>
            </w:r>
          </w:p>
        </w:tc>
      </w:tr>
    </w:tbl>
    <w:p w14:paraId="4C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</w:p>
    <w:p w14:paraId="4D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8.</w:t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>Оценка рисков неблагоприятных последствий применения предлагаемого правового регулирования</w:t>
      </w:r>
    </w:p>
    <w:tbl>
      <w:tblPr>
        <w:tblW w:type="auto" w:w="0"/>
        <w:tblInd w:type="dxa" w:w="-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267"/>
        <w:gridCol w:w="3117"/>
        <w:gridCol w:w="1842"/>
        <w:gridCol w:w="2135"/>
      </w:tblGrid>
      <w:tr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8.1. Виды рисков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8.3. Методы контроля рисков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8.4. Степень контроля рисков (полный/частичный/отсутствует)</w:t>
            </w:r>
          </w:p>
        </w:tc>
      </w:tr>
      <w:tr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3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</w:tbl>
    <w:p w14:paraId="56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single"/>
        </w:rPr>
        <w:t>8.5.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Источники данных:</w:t>
      </w:r>
      <w:r>
        <w:rPr>
          <w:rFonts w:ascii="PT Astra Serif" w:hAnsi="PT Astra Serif"/>
          <w:sz w:val="28"/>
        </w:rPr>
        <w:t xml:space="preserve"> – не предусмотрены.</w:t>
      </w:r>
    </w:p>
    <w:p w14:paraId="57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b w:val="1"/>
          <w:sz w:val="24"/>
        </w:rPr>
      </w:pPr>
    </w:p>
    <w:p w14:paraId="58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9.</w:t>
      </w:r>
      <w:r>
        <w:rPr>
          <w:rFonts w:ascii="PT Astra Serif" w:hAnsi="PT Astra Serif"/>
          <w:b w:val="1"/>
          <w:sz w:val="28"/>
        </w:rPr>
        <w:tab/>
      </w:r>
      <w:r>
        <w:rPr>
          <w:rFonts w:ascii="PT Astra Serif" w:hAnsi="PT Astra Serif"/>
          <w:b w:val="1"/>
          <w:sz w:val="28"/>
        </w:rPr>
        <w:t xml:space="preserve">Сравнение возможных вариантов решения проблемы </w:t>
      </w:r>
    </w:p>
    <w:tbl>
      <w:tblPr>
        <w:tblW w:type="auto" w:w="0"/>
        <w:tblInd w:type="dxa" w:w="-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959"/>
        <w:gridCol w:w="2267"/>
        <w:gridCol w:w="2135"/>
      </w:tblGrid>
      <w:t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4"/>
              <w:widowControl w:val="0"/>
              <w:ind w:firstLine="567" w:left="0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Вариант 1 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Вариант 2 </w:t>
            </w:r>
          </w:p>
        </w:tc>
      </w:tr>
      <w:t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4"/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9.1. Содержание варианта решения проблемы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принятие проекта приказа Министерства предпринимательства, торговли и туризма РС(Я). Об утверждении административных регламентов </w:t>
            </w:r>
            <w:r>
              <w:rPr>
                <w:rFonts w:ascii="PT Astra Serif" w:hAnsi="PT Astra Serif"/>
                <w:b w:val="0"/>
                <w:sz w:val="28"/>
              </w:rPr>
              <w:t>Министерства  предпринимательства, торговли и туризма Республики Саха (Якутия) по предоставлению государственных услуг «Внесение сведений в торговый реестр Республики Саха (Якутия) по заявлениям хозяйствующих субъектов» и «Предоставление информации, содержащейся в торговом реестре Республики Саха (Якутия)».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отклонение проекта </w:t>
            </w:r>
            <w:r>
              <w:rPr>
                <w:rFonts w:ascii="PT Astra Serif" w:hAnsi="PT Astra Serif"/>
                <w:sz w:val="28"/>
              </w:rPr>
              <w:t xml:space="preserve">приказа Министерства предпринимательства, торговли и туризма РС(Я). Об утверждении административных регламентов </w:t>
            </w:r>
            <w:r>
              <w:rPr>
                <w:rFonts w:ascii="PT Astra Serif" w:hAnsi="PT Astra Serif"/>
                <w:b w:val="0"/>
                <w:sz w:val="28"/>
              </w:rPr>
              <w:t>Министерства  предпринимательства, торговли и туризма Республики Саха (Якутия) по предоставлению государственных услуг «Внесение сведений в торговый реестр Республики Саха (Якутия) по заявлениям хозяйствующих субъектов» и «Предоставление информации, содержащейся в торговом реестре Республики Саха (Якутия)».</w:t>
            </w:r>
          </w:p>
        </w:tc>
      </w:tr>
      <w:tr>
        <w:trPr>
          <w:trHeight w:hRule="atLeast" w:val="2778"/>
        </w:trP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4"/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года).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0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1000000">
            <w:pPr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  <w:t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4"/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9.3. Оценка рисков неблагоприятных последствий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63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Риски отсутствуют.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Риск оказания некачественных услуг.</w:t>
            </w:r>
          </w:p>
          <w:p w14:paraId="65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4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4"/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9.4. Необходимые для достижения заявленных целей регулирования организационно-технические, методологические, информационные и иные мероприятия, общий объем затрат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7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  <w:tc>
          <w:tcPr>
            <w:tcW w:type="dxa" w:w="2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8000000">
            <w:pPr>
              <w:pStyle w:val="Style_4"/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-</w:t>
            </w:r>
          </w:p>
        </w:tc>
      </w:tr>
    </w:tbl>
    <w:p w14:paraId="69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</w:p>
    <w:p w14:paraId="6A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  <w:u w:val="single"/>
        </w:rPr>
        <w:t>9.5</w:t>
      </w:r>
      <w:r>
        <w:rPr>
          <w:rFonts w:ascii="PT Astra Serif" w:hAnsi="PT Astra Serif"/>
          <w:sz w:val="28"/>
          <w:u w:val="single"/>
        </w:rPr>
        <w:tab/>
      </w:r>
      <w:r>
        <w:rPr>
          <w:rFonts w:ascii="PT Astra Serif" w:hAnsi="PT Astra Serif"/>
          <w:sz w:val="28"/>
          <w:u w:val="single"/>
        </w:rPr>
        <w:t>Детальное описание предлагаемого варианта решения проблемы:</w:t>
      </w:r>
      <w:r>
        <w:rPr>
          <w:rFonts w:ascii="PT Astra Serif" w:hAnsi="PT Astra Serif"/>
          <w:sz w:val="28"/>
          <w:u w:val="none"/>
        </w:rPr>
        <w:t xml:space="preserve"> отсутствует.</w:t>
      </w:r>
    </w:p>
    <w:p w14:paraId="6B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</w:p>
    <w:p w14:paraId="6C000000">
      <w:pPr>
        <w:pStyle w:val="Style_2"/>
        <w:widowControl w:val="0"/>
        <w:tabs>
          <w:tab w:leader="none" w:pos="708" w:val="clear"/>
          <w:tab w:leader="none" w:pos="1134" w:val="left"/>
        </w:tabs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b w:val="1"/>
          <w:sz w:val="28"/>
        </w:rPr>
        <w:t>Заполняется по итогам проведения публичных консультаций по проекту нормативного правового акта и сводного отчета</w:t>
      </w:r>
    </w:p>
    <w:p w14:paraId="6D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Информация о сроках проведения публичных консультаций по проекту нормативного правового акта и сводному отчету</w:t>
      </w:r>
    </w:p>
    <w:p w14:paraId="6E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 5 рабочих дней</w:t>
      </w:r>
    </w:p>
    <w:p w14:paraId="6F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начало: 05.12.2025</w:t>
      </w:r>
    </w:p>
    <w:p w14:paraId="70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окончание: 18.12.2025</w:t>
      </w:r>
    </w:p>
    <w:p w14:paraId="71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10.2. Сведения о количестве замечаний и предложений, полученных в ходе публичных консультаций по проекту нормативного правового акта: </w:t>
      </w:r>
    </w:p>
    <w:p w14:paraId="72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Всего замечаний и предложений:</w:t>
      </w:r>
    </w:p>
    <w:p w14:paraId="73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полностью: , </w:t>
      </w:r>
      <w:r>
        <w:rPr>
          <w:rFonts w:ascii="PT Astra Serif" w:hAnsi="PT Astra Serif"/>
          <w:sz w:val="28"/>
        </w:rPr>
        <w:t xml:space="preserve">учтено частично: </w:t>
      </w:r>
    </w:p>
    <w:p w14:paraId="74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  <w:u w:val="none"/>
        </w:rPr>
      </w:pPr>
      <w:r>
        <w:rPr>
          <w:rFonts w:ascii="PT Astra Serif" w:hAnsi="PT Astra Serif"/>
          <w:sz w:val="28"/>
        </w:rPr>
        <w:t xml:space="preserve">10.3. Полный электронный адрес размещения сводки предложений, поступивших по </w:t>
      </w:r>
      <w:r>
        <w:rPr>
          <w:rFonts w:ascii="PT Astra Serif" w:hAnsi="PT Astra Serif"/>
          <w:color w:val="000000"/>
          <w:sz w:val="28"/>
        </w:rPr>
        <w:t>итогам проведения публичных консультаций по проекту нормативного правового акта</w:t>
      </w:r>
      <w:r>
        <w:rPr>
          <w:rFonts w:ascii="PT Astra Serif" w:hAnsi="PT Astra Serif"/>
          <w:color w:val="000000"/>
          <w:sz w:val="28"/>
          <w:u w:val="none"/>
        </w:rPr>
        <w:t>: по итогам процедуры ОРВ.</w:t>
      </w:r>
    </w:p>
    <w:p w14:paraId="75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u w:val="none"/>
        </w:rPr>
        <w:br/>
      </w:r>
      <w:r>
        <w:rPr>
          <w:rFonts w:ascii="PT Astra Serif" w:hAnsi="PT Astra Serif"/>
          <w:sz w:val="28"/>
          <w:u w:val="none"/>
        </w:rPr>
        <w:br/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_______________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______________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___________</w:t>
      </w:r>
    </w:p>
    <w:p w14:paraId="76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</w:p>
    <w:p w14:paraId="77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(фамилия, инициалы).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(дата)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(подпись)</w:t>
      </w:r>
    </w:p>
    <w:p w14:paraId="78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8"/>
        </w:rPr>
      </w:pPr>
    </w:p>
    <w:p w14:paraId="79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4"/>
        </w:rPr>
      </w:pPr>
    </w:p>
    <w:p w14:paraId="7A000000">
      <w:pPr>
        <w:pStyle w:val="Style_2"/>
        <w:widowControl w:val="0"/>
        <w:ind w:firstLine="567" w:left="0"/>
        <w:jc w:val="both"/>
        <w:rPr>
          <w:rFonts w:ascii="PT Astra Serif" w:hAnsi="PT Astra Serif"/>
          <w:sz w:val="24"/>
        </w:rPr>
      </w:pPr>
    </w:p>
    <w:sectPr>
      <w:footerReference r:id="rId1" w:type="default"/>
      <w:type w:val="nextPage"/>
      <w:pgSz w:h="16838" w:orient="portrait" w:w="11906"/>
      <w:pgMar w:bottom="709" w:footer="0" w:gutter="0" w:header="0" w:left="1701" w:right="850" w:top="709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0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0"/>
      <w:ind/>
      <w:jc w:val="right"/>
    </w:pPr>
  </w:p>
  <w:p w14:paraId="03000000">
    <w:pPr>
      <w:pStyle w:val="Style_1"/>
      <w:widowControl w:val="0"/>
      <w:spacing w:after="200" w:before="0"/>
      <w:ind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before="0"/>
      <w:ind/>
      <w:jc w:val="both"/>
    </w:pPr>
    <w:rPr>
      <w:rFonts w:ascii="Calibri" w:hAnsi="Calibri"/>
      <w:color w:val="000000"/>
      <w:sz w:val="22"/>
    </w:rPr>
  </w:style>
  <w:style w:default="1" w:styleId="Style_5_ch" w:type="character">
    <w:name w:val="Normal"/>
    <w:link w:val="Style_5"/>
    <w:rPr>
      <w:rFonts w:ascii="Calibri" w:hAnsi="Calibri"/>
      <w:color w:val="000000"/>
      <w:sz w:val="22"/>
    </w:rPr>
  </w:style>
  <w:style w:styleId="Style_6" w:type="paragraph">
    <w:name w:val="ConsPlusTitlePage"/>
    <w:link w:val="Style_6_ch"/>
    <w:pPr>
      <w:widowControl w:val="0"/>
      <w:ind/>
    </w:pPr>
    <w:rPr>
      <w:rFonts w:ascii="Tahoma" w:hAnsi="Tahoma"/>
      <w:color w:val="000000"/>
      <w:sz w:val="20"/>
    </w:rPr>
  </w:style>
  <w:style w:styleId="Style_6_ch" w:type="character">
    <w:name w:val="ConsPlusTitlePage"/>
    <w:link w:val="Style_6"/>
    <w:rPr>
      <w:rFonts w:ascii="Tahoma" w:hAnsi="Tahoma"/>
      <w:color w:val="000000"/>
      <w:sz w:val="20"/>
    </w:rPr>
  </w:style>
  <w:style w:styleId="Style_7" w:type="paragraph">
    <w:name w:val="Схема документа Знак"/>
    <w:link w:val="Style_7_ch"/>
    <w:rPr>
      <w:rFonts w:ascii="Tahoma" w:hAnsi="Tahoma"/>
      <w:sz w:val="16"/>
    </w:rPr>
  </w:style>
  <w:style w:styleId="Style_7_ch" w:type="character">
    <w:name w:val="Схема документа Знак"/>
    <w:link w:val="Style_7"/>
    <w:rPr>
      <w:rFonts w:ascii="Tahoma" w:hAnsi="Tahoma"/>
      <w:sz w:val="16"/>
    </w:rPr>
  </w:style>
  <w:style w:styleId="Style_8" w:type="paragraph">
    <w:name w:val="ConsPlusTextList"/>
    <w:link w:val="Style_8_ch"/>
    <w:pPr>
      <w:widowControl w:val="0"/>
      <w:ind/>
    </w:pPr>
    <w:rPr>
      <w:rFonts w:ascii="Arial" w:hAnsi="Arial"/>
      <w:color w:val="000000"/>
      <w:sz w:val="20"/>
    </w:rPr>
  </w:style>
  <w:style w:styleId="Style_8_ch" w:type="character">
    <w:name w:val="ConsPlusTextList"/>
    <w:link w:val="Style_8"/>
    <w:rPr>
      <w:rFonts w:ascii="Arial" w:hAnsi="Arial"/>
      <w:color w:val="000000"/>
      <w:sz w:val="20"/>
    </w:rPr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Содержимое таблицы"/>
    <w:basedOn w:val="Style_5"/>
    <w:link w:val="Style_11_ch"/>
    <w:pPr>
      <w:widowControl w:val="0"/>
      <w:ind/>
    </w:pPr>
  </w:style>
  <w:style w:styleId="Style_11_ch" w:type="character">
    <w:name w:val="Содержимое таблицы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color w:val="000000"/>
      <w:sz w:val="20"/>
    </w:rPr>
  </w:style>
  <w:style w:styleId="Style_2_ch" w:type="character">
    <w:name w:val="ConsPlusNonformat"/>
    <w:link w:val="Style_2"/>
    <w:rPr>
      <w:rFonts w:ascii="Courier New" w:hAnsi="Courier New"/>
      <w:color w:val="000000"/>
      <w:sz w:val="20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5"/>
    <w:link w:val="Style_1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Текст выноски"/>
    <w:basedOn w:val="Style_5"/>
    <w:link w:val="Style_16_ch"/>
    <w:pPr>
      <w:widowControl w:val="0"/>
      <w:spacing w:after="0" w:before="0"/>
      <w:ind/>
    </w:pPr>
    <w:rPr>
      <w:rFonts w:ascii="Segoe UI" w:hAnsi="Segoe UI"/>
      <w:sz w:val="18"/>
    </w:rPr>
  </w:style>
  <w:style w:styleId="Style_16_ch" w:type="character">
    <w:name w:val="Текст выноски"/>
    <w:basedOn w:val="Style_5_ch"/>
    <w:link w:val="Style_16"/>
    <w:rPr>
      <w:rFonts w:ascii="Segoe UI" w:hAnsi="Segoe UI"/>
      <w:sz w:val="18"/>
    </w:rPr>
  </w:style>
  <w:style w:styleId="Style_17" w:type="paragraph">
    <w:name w:val="Схема документа"/>
    <w:basedOn w:val="Style_5"/>
    <w:link w:val="Style_17_ch"/>
    <w:pPr>
      <w:widowControl w:val="0"/>
      <w:spacing w:after="0" w:before="0"/>
      <w:ind/>
    </w:pPr>
    <w:rPr>
      <w:rFonts w:ascii="Tahoma" w:hAnsi="Tahoma"/>
      <w:sz w:val="16"/>
    </w:rPr>
  </w:style>
  <w:style w:styleId="Style_17_ch" w:type="character">
    <w:name w:val="Схема документа"/>
    <w:basedOn w:val="Style_5_ch"/>
    <w:link w:val="Style_17"/>
    <w:rPr>
      <w:rFonts w:ascii="Tahoma" w:hAnsi="Tahoma"/>
      <w:sz w:val="16"/>
    </w:rPr>
  </w:style>
  <w:style w:styleId="Style_18" w:type="paragraph">
    <w:name w:val="List"/>
    <w:basedOn w:val="Style_19"/>
    <w:link w:val="Style_18_ch"/>
    <w:rPr>
      <w:rFonts w:ascii="PT Astra Serif" w:hAnsi="PT Astra Serif"/>
    </w:rPr>
  </w:style>
  <w:style w:styleId="Style_18_ch" w:type="character">
    <w:name w:val="List"/>
    <w:basedOn w:val="Style_19_ch"/>
    <w:link w:val="Style_18"/>
    <w:rPr>
      <w:rFonts w:ascii="PT Astra Serif" w:hAnsi="PT Astra Serif"/>
    </w:rPr>
  </w:style>
  <w:style w:styleId="Style_20" w:type="paragraph">
    <w:name w:val="Верхний колонтитул Знак"/>
    <w:link w:val="Style_20_ch"/>
    <w:rPr>
      <w:sz w:val="22"/>
    </w:rPr>
  </w:style>
  <w:style w:styleId="Style_20_ch" w:type="character">
    <w:name w:val="Верхний колонтитул Знак"/>
    <w:link w:val="Style_20"/>
    <w:rPr>
      <w:sz w:val="22"/>
    </w:rPr>
  </w:style>
  <w:style w:styleId="Style_21" w:type="paragraph">
    <w:name w:val="Верхний и нижний колонтитулы"/>
    <w:basedOn w:val="Style_5"/>
    <w:link w:val="Style_21_ch"/>
    <w:pPr>
      <w:widowControl w:val="0"/>
      <w:tabs>
        <w:tab w:leader="none" w:pos="708" w:val="clear"/>
        <w:tab w:leader="none" w:pos="4819" w:val="center"/>
        <w:tab w:leader="none" w:pos="9638" w:val="right"/>
      </w:tabs>
      <w:ind/>
    </w:pPr>
  </w:style>
  <w:style w:styleId="Style_21_ch" w:type="character">
    <w:name w:val="Верхний и нижний колонтитулы"/>
    <w:basedOn w:val="Style_5_ch"/>
    <w:link w:val="Style_21"/>
  </w:style>
  <w:style w:styleId="Style_22" w:type="paragraph">
    <w:name w:val="consplusnormal"/>
    <w:basedOn w:val="Style_5"/>
    <w:link w:val="Style_22_ch"/>
    <w:pPr>
      <w:widowControl w:val="0"/>
      <w:spacing w:after="150" w:before="0"/>
      <w:ind/>
      <w:jc w:val="left"/>
    </w:pPr>
    <w:rPr>
      <w:rFonts w:ascii="Times New Roman" w:hAnsi="Times New Roman"/>
      <w:sz w:val="24"/>
    </w:rPr>
  </w:style>
  <w:style w:styleId="Style_22_ch" w:type="character">
    <w:name w:val="consplusnormal"/>
    <w:basedOn w:val="Style_5_ch"/>
    <w:link w:val="Style_22"/>
    <w:rPr>
      <w:rFonts w:ascii="Times New Roman" w:hAnsi="Times New Roman"/>
      <w:sz w:val="24"/>
    </w:rPr>
  </w:style>
  <w:style w:styleId="Style_23" w:type="paragraph">
    <w:name w:val="ConsPlusJurTerm"/>
    <w:link w:val="Style_23_ch"/>
    <w:pPr>
      <w:widowControl w:val="0"/>
      <w:ind/>
    </w:pPr>
    <w:rPr>
      <w:rFonts w:ascii="Tahoma" w:hAnsi="Tahoma"/>
      <w:color w:val="000000"/>
      <w:sz w:val="26"/>
    </w:rPr>
  </w:style>
  <w:style w:styleId="Style_23_ch" w:type="character">
    <w:name w:val="ConsPlusJurTerm"/>
    <w:link w:val="Style_23"/>
    <w:rPr>
      <w:rFonts w:ascii="Tahoma" w:hAnsi="Tahoma"/>
      <w:color w:val="000000"/>
      <w:sz w:val="26"/>
    </w:rPr>
  </w:style>
  <w:style w:styleId="Style_24" w:type="paragraph">
    <w:name w:val="Основной текст2"/>
    <w:basedOn w:val="Style_5"/>
    <w:link w:val="Style_24_ch"/>
    <w:pPr>
      <w:widowControl w:val="0"/>
      <w:spacing w:after="180" w:before="360" w:line="0" w:lineRule="atLeast"/>
      <w:ind/>
    </w:pPr>
    <w:rPr>
      <w:rFonts w:ascii="Times New Roman" w:hAnsi="Times New Roman"/>
      <w:sz w:val="26"/>
    </w:rPr>
  </w:style>
  <w:style w:styleId="Style_24_ch" w:type="character">
    <w:name w:val="Основной текст2"/>
    <w:basedOn w:val="Style_5_ch"/>
    <w:link w:val="Style_24"/>
    <w:rPr>
      <w:rFonts w:ascii="Times New Roman" w:hAnsi="Times New Roman"/>
      <w:sz w:val="26"/>
    </w:rPr>
  </w:style>
  <w:style w:styleId="Style_25" w:type="paragraph">
    <w:name w:val="toc 3"/>
    <w:next w:val="Style_5"/>
    <w:link w:val="Style_25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Указатель"/>
    <w:basedOn w:val="Style_5"/>
    <w:link w:val="Style_26_ch"/>
    <w:rPr>
      <w:rFonts w:ascii="PT Astra Serif" w:hAnsi="PT Astra Serif"/>
    </w:rPr>
  </w:style>
  <w:style w:styleId="Style_26_ch" w:type="character">
    <w:name w:val="Указатель"/>
    <w:basedOn w:val="Style_5_ch"/>
    <w:link w:val="Style_26"/>
    <w:rPr>
      <w:rFonts w:ascii="PT Astra Serif" w:hAnsi="PT Astra Serif"/>
    </w:rPr>
  </w:style>
  <w:style w:styleId="Style_19" w:type="paragraph">
    <w:name w:val="Body Text"/>
    <w:basedOn w:val="Style_5"/>
    <w:link w:val="Style_19_ch"/>
    <w:pPr>
      <w:widowControl w:val="0"/>
      <w:spacing w:after="140" w:before="0" w:line="276" w:lineRule="auto"/>
      <w:ind/>
    </w:pPr>
  </w:style>
  <w:style w:styleId="Style_19_ch" w:type="character">
    <w:name w:val="Body Text"/>
    <w:basedOn w:val="Style_5_ch"/>
    <w:link w:val="Style_19"/>
  </w:style>
  <w:style w:styleId="Style_27" w:type="paragraph">
    <w:name w:val="heading 5"/>
    <w:next w:val="Style_5"/>
    <w:link w:val="Style_2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Нижний колонтитул Знак"/>
    <w:link w:val="Style_28_ch"/>
    <w:rPr>
      <w:sz w:val="22"/>
    </w:rPr>
  </w:style>
  <w:style w:styleId="Style_28_ch" w:type="character">
    <w:name w:val="Нижний колонтитул Знак"/>
    <w:link w:val="Style_28"/>
    <w:rPr>
      <w:sz w:val="22"/>
    </w:rPr>
  </w:style>
  <w:style w:styleId="Style_29" w:type="paragraph">
    <w:name w:val="ConsPlusTitle"/>
    <w:link w:val="Style_29_ch"/>
    <w:pPr>
      <w:widowControl w:val="0"/>
      <w:ind/>
    </w:pPr>
    <w:rPr>
      <w:rFonts w:ascii="Calibri" w:hAnsi="Calibri"/>
      <w:b w:val="1"/>
      <w:color w:val="000000"/>
      <w:sz w:val="22"/>
    </w:rPr>
  </w:style>
  <w:style w:styleId="Style_29_ch" w:type="character">
    <w:name w:val="ConsPlusTitle"/>
    <w:link w:val="Style_29"/>
    <w:rPr>
      <w:rFonts w:ascii="Calibri" w:hAnsi="Calibri"/>
      <w:b w:val="1"/>
      <w:color w:val="000000"/>
      <w:sz w:val="22"/>
    </w:rPr>
  </w:style>
  <w:style w:styleId="Style_30" w:type="paragraph">
    <w:name w:val="Обычный (веб)"/>
    <w:basedOn w:val="Style_5"/>
    <w:link w:val="Style_30_ch"/>
    <w:pPr>
      <w:widowControl w:val="0"/>
      <w:spacing w:after="150" w:before="0"/>
      <w:ind/>
      <w:jc w:val="left"/>
    </w:pPr>
    <w:rPr>
      <w:rFonts w:ascii="Times New Roman" w:hAnsi="Times New Roman"/>
      <w:sz w:val="24"/>
    </w:rPr>
  </w:style>
  <w:style w:styleId="Style_30_ch" w:type="character">
    <w:name w:val="Обычный (веб)"/>
    <w:basedOn w:val="Style_5_ch"/>
    <w:link w:val="Style_30"/>
    <w:rPr>
      <w:rFonts w:ascii="Times New Roman" w:hAnsi="Times New Roman"/>
      <w:sz w:val="24"/>
    </w:rPr>
  </w:style>
  <w:style w:styleId="Style_31" w:type="paragraph">
    <w:name w:val="heading 1"/>
    <w:next w:val="Style_5"/>
    <w:link w:val="Style_3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34_ch" w:type="character">
    <w:name w:val="Header and Footer"/>
    <w:link w:val="Style_34"/>
    <w:rPr>
      <w:rFonts w:ascii="XO Thames" w:hAnsi="XO Thames"/>
      <w:sz w:val="20"/>
    </w:rPr>
  </w:style>
  <w:style w:styleId="Style_35" w:type="paragraph">
    <w:name w:val="Style5"/>
    <w:basedOn w:val="Style_5"/>
    <w:link w:val="Style_35_ch"/>
    <w:pPr>
      <w:widowControl w:val="0"/>
      <w:spacing w:after="0" w:before="0" w:line="482" w:lineRule="exact"/>
      <w:ind w:firstLine="566" w:left="0"/>
    </w:pPr>
    <w:rPr>
      <w:rFonts w:ascii="Times New Roman" w:hAnsi="Times New Roman"/>
      <w:sz w:val="24"/>
    </w:rPr>
  </w:style>
  <w:style w:styleId="Style_35_ch" w:type="character">
    <w:name w:val="Style5"/>
    <w:basedOn w:val="Style_5_ch"/>
    <w:link w:val="Style_35"/>
    <w:rPr>
      <w:rFonts w:ascii="Times New Roman" w:hAnsi="Times New Roman"/>
      <w:sz w:val="24"/>
    </w:rPr>
  </w:style>
  <w:style w:styleId="Style_1" w:type="paragraph">
    <w:name w:val="Footer"/>
    <w:basedOn w:val="Style_5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36" w:type="paragraph">
    <w:name w:val="Font Style16"/>
    <w:link w:val="Style_36_ch"/>
    <w:rPr>
      <w:rFonts w:ascii="Times New Roman" w:hAnsi="Times New Roman"/>
      <w:sz w:val="26"/>
    </w:rPr>
  </w:style>
  <w:style w:styleId="Style_36_ch" w:type="character">
    <w:name w:val="Font Style16"/>
    <w:link w:val="Style_36"/>
    <w:rPr>
      <w:rFonts w:ascii="Times New Roman" w:hAnsi="Times New Roman"/>
      <w:sz w:val="26"/>
    </w:rPr>
  </w:style>
  <w:style w:styleId="Style_37" w:type="paragraph">
    <w:name w:val="ConsPlusDocList"/>
    <w:link w:val="Style_37_ch"/>
    <w:pPr>
      <w:widowControl w:val="0"/>
      <w:ind/>
    </w:pPr>
    <w:rPr>
      <w:rFonts w:ascii="Courier New" w:hAnsi="Courier New"/>
      <w:color w:val="000000"/>
      <w:sz w:val="20"/>
    </w:rPr>
  </w:style>
  <w:style w:styleId="Style_37_ch" w:type="character">
    <w:name w:val="ConsPlusDocList"/>
    <w:link w:val="Style_37"/>
    <w:rPr>
      <w:rFonts w:ascii="Courier New" w:hAnsi="Courier New"/>
      <w:color w:val="000000"/>
      <w:sz w:val="20"/>
    </w:rPr>
  </w:style>
  <w:style w:styleId="Style_38" w:type="paragraph">
    <w:name w:val="ConsPlusCell"/>
    <w:link w:val="Style_38_ch"/>
    <w:pPr>
      <w:widowControl w:val="0"/>
      <w:ind/>
    </w:pPr>
    <w:rPr>
      <w:rFonts w:ascii="Courier New" w:hAnsi="Courier New"/>
      <w:color w:val="000000"/>
      <w:sz w:val="20"/>
    </w:rPr>
  </w:style>
  <w:style w:styleId="Style_38_ch" w:type="character">
    <w:name w:val="ConsPlusCell"/>
    <w:link w:val="Style_38"/>
    <w:rPr>
      <w:rFonts w:ascii="Courier New" w:hAnsi="Courier New"/>
      <w:color w:val="000000"/>
      <w:sz w:val="20"/>
    </w:rPr>
  </w:style>
  <w:style w:styleId="Style_39" w:type="paragraph">
    <w:name w:val="toc 9"/>
    <w:next w:val="Style_5"/>
    <w:link w:val="Style_3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Заголовок"/>
    <w:basedOn w:val="Style_5"/>
    <w:next w:val="Style_19"/>
    <w:link w:val="Style_40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0_ch" w:type="character">
    <w:name w:val="Заголовок"/>
    <w:basedOn w:val="Style_5_ch"/>
    <w:link w:val="Style_40"/>
    <w:rPr>
      <w:rFonts w:ascii="PT Astra Serif" w:hAnsi="PT Astra Serif"/>
      <w:sz w:val="28"/>
    </w:rPr>
  </w:style>
  <w:style w:styleId="Style_41" w:type="paragraph">
    <w:name w:val="toc 8"/>
    <w:next w:val="Style_5"/>
    <w:link w:val="Style_4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Заголовок таблицы"/>
    <w:basedOn w:val="Style_11"/>
    <w:link w:val="Style_42_ch"/>
    <w:pPr>
      <w:widowControl w:val="0"/>
      <w:ind/>
      <w:jc w:val="center"/>
    </w:pPr>
    <w:rPr>
      <w:b w:val="1"/>
    </w:rPr>
  </w:style>
  <w:style w:styleId="Style_42_ch" w:type="character">
    <w:name w:val="Заголовок таблицы"/>
    <w:basedOn w:val="Style_11_ch"/>
    <w:link w:val="Style_42"/>
    <w:rPr>
      <w:b w:val="1"/>
    </w:rPr>
  </w:style>
  <w:style w:styleId="Style_43" w:type="paragraph">
    <w:name w:val="Caption"/>
    <w:basedOn w:val="Style_5"/>
    <w:link w:val="Style_43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3_ch" w:type="character">
    <w:name w:val="Caption"/>
    <w:basedOn w:val="Style_5_ch"/>
    <w:link w:val="Style_43"/>
    <w:rPr>
      <w:rFonts w:ascii="PT Astra Serif" w:hAnsi="PT Astra Serif"/>
      <w:i w:val="1"/>
      <w:sz w:val="24"/>
    </w:rPr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Основной шрифт абзаца"/>
    <w:link w:val="Style_45_ch"/>
  </w:style>
  <w:style w:styleId="Style_45_ch" w:type="character">
    <w:name w:val="Основной шрифт абзаца"/>
    <w:link w:val="Style_45"/>
  </w:style>
  <w:style w:styleId="Style_46" w:type="paragraph">
    <w:name w:val="Header"/>
    <w:basedOn w:val="Style_5"/>
    <w:link w:val="Style_46_ch"/>
    <w:pPr>
      <w:widowControl w:val="0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46_ch" w:type="character">
    <w:name w:val="Header"/>
    <w:basedOn w:val="Style_5_ch"/>
    <w:link w:val="Style_46"/>
  </w:style>
  <w:style w:styleId="Style_47" w:type="paragraph">
    <w:name w:val="Интернет-ссылка"/>
    <w:link w:val="Style_47_ch"/>
    <w:rPr>
      <w:color w:val="0000FF"/>
      <w:u w:val="single"/>
    </w:rPr>
  </w:style>
  <w:style w:styleId="Style_47_ch" w:type="character">
    <w:name w:val="Интернет-ссылка"/>
    <w:link w:val="Style_47"/>
    <w:rPr>
      <w:color w:val="0000FF"/>
      <w:u w:val="single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color w:val="000000"/>
      <w:sz w:val="22"/>
    </w:rPr>
  </w:style>
  <w:style w:styleId="Style_4_ch" w:type="character">
    <w:name w:val="ConsPlusNormal"/>
    <w:link w:val="Style_4"/>
    <w:rPr>
      <w:rFonts w:ascii="Calibri" w:hAnsi="Calibri"/>
      <w:color w:val="000000"/>
      <w:sz w:val="22"/>
    </w:rPr>
  </w:style>
  <w:style w:styleId="Style_48" w:type="paragraph">
    <w:name w:val="Текст выноски Знак"/>
    <w:link w:val="Style_48_ch"/>
    <w:rPr>
      <w:rFonts w:ascii="Segoe UI" w:hAnsi="Segoe UI"/>
      <w:sz w:val="18"/>
    </w:rPr>
  </w:style>
  <w:style w:styleId="Style_48_ch" w:type="character">
    <w:name w:val="Текст выноски Знак"/>
    <w:link w:val="Style_48"/>
    <w:rPr>
      <w:rFonts w:ascii="Segoe UI" w:hAnsi="Segoe UI"/>
      <w:sz w:val="18"/>
    </w:rPr>
  </w:style>
  <w:style w:styleId="Style_49" w:type="paragraph">
    <w:name w:val="Subtitle"/>
    <w:next w:val="Style_5"/>
    <w:link w:val="Style_4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50" w:type="paragraph">
    <w:name w:val="Title"/>
    <w:next w:val="Style_5"/>
    <w:link w:val="Style_5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next w:val="Style_5"/>
    <w:link w:val="Style_5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Основной текст_"/>
    <w:link w:val="Style_52_ch"/>
    <w:rPr>
      <w:rFonts w:ascii="Times New Roman" w:hAnsi="Times New Roman"/>
      <w:sz w:val="26"/>
      <w:highlight w:val="white"/>
    </w:rPr>
  </w:style>
  <w:style w:styleId="Style_52_ch" w:type="character">
    <w:name w:val="Основной текст_"/>
    <w:link w:val="Style_52"/>
    <w:rPr>
      <w:rFonts w:ascii="Times New Roman" w:hAnsi="Times New Roman"/>
      <w:sz w:val="26"/>
      <w:highlight w:val="white"/>
    </w:rPr>
  </w:style>
  <w:style w:styleId="Style_53" w:type="paragraph">
    <w:name w:val="heading 2"/>
    <w:next w:val="Style_5"/>
    <w:link w:val="Style_5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3_ch" w:type="character">
    <w:name w:val="heading 2"/>
    <w:link w:val="Style_53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2025-12-05T06:54:50Z</dcterms:created>
  <dcterms:modified xsi:type="dcterms:W3CDTF">2025-12-05T07:11:46Z</dcterms:modified>
</cp:coreProperties>
</file>