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tbl>
      <w:tblPr>
        <w:tblStyle w:val="Style_1"/>
        <w:tblW w:type="auto" w:w="0"/>
        <w:tblInd w:type="dxa" w:w="108"/>
        <w:tblLayout w:type="fixed"/>
      </w:tblPr>
      <w:tblGrid>
        <w:gridCol w:w="4111"/>
        <w:gridCol w:w="449"/>
        <w:gridCol w:w="969"/>
        <w:gridCol w:w="4394"/>
      </w:tblGrid>
      <w:tr>
        <w:trPr>
          <w:trHeight w:hRule="atLeast" w:val="1151"/>
        </w:trPr>
        <w:tc>
          <w:tcPr>
            <w:tcW w:type="dxa" w:w="4111"/>
          </w:tcPr>
          <w:p w14:paraId="0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Государственный комитет</w:t>
            </w:r>
          </w:p>
          <w:p w14:paraId="0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Республики Саха (Якутия)</w:t>
            </w:r>
          </w:p>
          <w:p w14:paraId="04000000">
            <w:pPr>
              <w:ind/>
              <w:jc w:val="center"/>
              <w:rPr>
                <w:sz w:val="25"/>
              </w:rPr>
            </w:pPr>
            <w:r>
              <w:rPr>
                <w:b w:val="1"/>
              </w:rPr>
              <w:t>по занятости населения</w:t>
            </w:r>
            <w:r>
              <w:rPr>
                <w:b w:val="1"/>
                <w:sz w:val="25"/>
              </w:rPr>
              <w:t xml:space="preserve"> </w:t>
            </w:r>
          </w:p>
        </w:tc>
        <w:tc>
          <w:tcPr>
            <w:tcW w:type="dxa" w:w="1418"/>
            <w:gridSpan w:val="2"/>
          </w:tcPr>
          <w:p w14:paraId="05000000">
            <w:pPr>
              <w:ind/>
              <w:jc w:val="center"/>
              <w:rPr>
                <w:rFonts w:ascii="Times Sakha" w:hAnsi="Times Sakha"/>
              </w:rPr>
            </w:pPr>
            <w:r>
              <w:rPr>
                <w:rFonts w:ascii="Times Sakha" w:hAnsi="Times Sakha"/>
                <w:color w:val="0000FF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104238</wp:posOffset>
                  </wp:positionH>
                  <wp:positionV relativeFrom="paragraph">
                    <wp:posOffset>-130664</wp:posOffset>
                  </wp:positionV>
                  <wp:extent cx="678180" cy="678180"/>
                  <wp:effectExtent b="0" l="0" r="0" t="0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8180" cy="67818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4394"/>
          </w:tcPr>
          <w:p w14:paraId="0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Саха </w:t>
            </w:r>
            <w:r>
              <w:rPr>
                <w:b w:val="1"/>
              </w:rPr>
              <w:t>Өрөспүүбүлүкэтин</w:t>
            </w:r>
          </w:p>
          <w:p w14:paraId="07000000">
            <w:pPr>
              <w:ind/>
              <w:jc w:val="center"/>
              <w:rPr>
                <w:b w:val="1"/>
                <w:sz w:val="25"/>
              </w:rPr>
            </w:pPr>
            <w:r>
              <w:rPr>
                <w:b w:val="1"/>
              </w:rPr>
              <w:t>Нэһилиэнньэ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дьарыктаах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буолуутугар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судаарыстыбаннай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кэмитиэтэ</w:t>
            </w:r>
          </w:p>
          <w:p w14:paraId="08000000">
            <w:pPr>
              <w:ind/>
              <w:jc w:val="center"/>
              <w:rPr>
                <w:sz w:val="25"/>
              </w:rPr>
            </w:pPr>
          </w:p>
        </w:tc>
      </w:tr>
      <w:tr>
        <w:tc>
          <w:tcPr>
            <w:tcW w:type="dxa" w:w="9923"/>
            <w:gridSpan w:val="4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ПРИКАЗ</w:t>
            </w:r>
          </w:p>
          <w:p w14:paraId="0A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560"/>
            <w:gridSpan w:val="2"/>
          </w:tcPr>
          <w:p w14:paraId="0B000000">
            <w:pPr>
              <w:widowControl w:val="0"/>
              <w:spacing w:line="320" w:lineRule="exact"/>
              <w:ind/>
              <w:rPr>
                <w:rFonts w:ascii="Times Sakha" w:hAnsi="Times Sakha"/>
                <w:sz w:val="18"/>
              </w:rPr>
            </w:pPr>
            <w:bookmarkStart w:id="1" w:name="REGDATESTAMP"/>
            <w:r>
              <w:t>__________________</w:t>
            </w:r>
            <w:bookmarkEnd w:id="1"/>
            <w:r>
              <w:t xml:space="preserve"> </w:t>
            </w:r>
          </w:p>
        </w:tc>
        <w:tc>
          <w:tcPr>
            <w:tcW w:type="dxa" w:w="5363"/>
            <w:gridSpan w:val="2"/>
          </w:tcPr>
          <w:p w14:paraId="0C000000">
            <w:pPr>
              <w:ind/>
              <w:jc w:val="right"/>
              <w:rPr>
                <w:sz w:val="28"/>
              </w:rPr>
            </w:pPr>
            <w:r>
              <w:t xml:space="preserve">№ </w:t>
            </w:r>
            <w:bookmarkStart w:id="2" w:name="REGNUMSTAMP"/>
            <w:r>
              <w:t>___________</w:t>
            </w:r>
            <w:bookmarkEnd w:id="2"/>
          </w:p>
        </w:tc>
      </w:tr>
    </w:tbl>
    <w:p w14:paraId="0D000000">
      <w:pPr>
        <w:ind/>
        <w:jc w:val="center"/>
        <w:rPr>
          <w:sz w:val="28"/>
        </w:rPr>
      </w:pPr>
      <w:r>
        <w:rPr>
          <w:sz w:val="28"/>
        </w:rPr>
        <w:t>г. Якутск</w:t>
      </w:r>
    </w:p>
    <w:p w14:paraId="0E000000">
      <w:pPr>
        <w:ind/>
        <w:jc w:val="center"/>
      </w:pPr>
    </w:p>
    <w:p w14:paraId="0F000000">
      <w:pPr>
        <w:ind/>
        <w:jc w:val="center"/>
      </w:pPr>
    </w:p>
    <w:p w14:paraId="10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</w:t>
      </w:r>
      <w:r>
        <w:rPr>
          <w:b w:val="1"/>
          <w:sz w:val="28"/>
        </w:rPr>
        <w:t xml:space="preserve">Порядок принятия </w:t>
      </w:r>
    </w:p>
    <w:p w14:paraId="11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Государственным казенным учреждением Республики Саха (Якутия) </w:t>
      </w:r>
    </w:p>
    <w:p w14:paraId="12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«Центр занятости населения Республики Саха (Якутия)» решения о сохранении (отказе в сохранении) среднего месячного заработка (выплате компенсации) за работниками, уволенными из организации в связи с ликвидацией (упразднением) организации либо сокращением численности или штата работников организации, утвержденный </w:t>
      </w:r>
      <w:r>
        <w:rPr>
          <w:b w:val="1"/>
          <w:sz w:val="28"/>
        </w:rPr>
        <w:t>приказ</w:t>
      </w:r>
      <w:r>
        <w:rPr>
          <w:b w:val="1"/>
          <w:sz w:val="28"/>
        </w:rPr>
        <w:t>ом</w:t>
      </w:r>
      <w:r>
        <w:rPr>
          <w:b w:val="1"/>
          <w:sz w:val="28"/>
        </w:rPr>
        <w:t xml:space="preserve"> Г</w:t>
      </w:r>
      <w:r>
        <w:rPr>
          <w:b w:val="1"/>
          <w:sz w:val="28"/>
        </w:rPr>
        <w:t xml:space="preserve">осударственного комитета Республики Саха (Якутия) </w:t>
      </w:r>
      <w:r>
        <w:rPr>
          <w:b w:val="1"/>
          <w:sz w:val="28"/>
        </w:rPr>
        <w:t>по занятости населения от 1 августа 2025 года № ОД-222</w:t>
      </w:r>
    </w:p>
    <w:p w14:paraId="13000000">
      <w:pPr>
        <w:rPr>
          <w:sz w:val="28"/>
        </w:rPr>
      </w:pPr>
    </w:p>
    <w:p w14:paraId="14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В соответствии со статьями 178, 318 Трудового кодекса Российской Федерации, частью 3.2 статьи 37 Федерального закона от 27 июля 2004 года № 79-ФЗ «О государственной гражданской службе», руководствуясь постановлением Правительства Республики Саха (Якутия) от 25 февраля 2022 года № 103 «Об утверждении положений о Государственном комитете Республики Саха (Якутия) по занятости населения и его коллегии» приказываю:</w:t>
      </w:r>
    </w:p>
    <w:p w14:paraId="15000000">
      <w:pPr>
        <w:numPr>
          <w:numId w:val="1"/>
        </w:num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Внести в Порядок принятия Государственным казенным учреждением Республики Саха (Якутия) «Центр занятости населения Республики Саха (Якутия)» решения о сохранении (отказе в сохранении) среднего месячного заработка (выплате компенсации) за работниками, уволенными из организации в связи с ликвидацией (упразднением) организации либо сокращением численности или штата работников организации, утвержденный приказом Государственного комитета Республики Саха (Якутия) по занятости населения от 1 августа 2025 года № ОД-222, следующие изменения:</w:t>
      </w:r>
    </w:p>
    <w:p w14:paraId="16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1.1.</w:t>
      </w:r>
      <w:r>
        <w:rPr>
          <w:b w:val="0"/>
          <w:sz w:val="28"/>
        </w:rPr>
        <w:tab/>
      </w:r>
      <w:r>
        <w:rPr>
          <w:b w:val="0"/>
          <w:sz w:val="28"/>
        </w:rPr>
        <w:t>пункт 5 после слов «Федерального закона» дополнить словами «от 27.07.2004 № 79-ФЗ»;</w:t>
      </w:r>
    </w:p>
    <w:p w14:paraId="17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1.2.</w:t>
      </w:r>
      <w:r>
        <w:rPr>
          <w:b w:val="0"/>
          <w:sz w:val="28"/>
        </w:rPr>
        <w:tab/>
      </w:r>
      <w:r>
        <w:rPr>
          <w:b w:val="0"/>
          <w:sz w:val="28"/>
        </w:rPr>
        <w:t>в пункте 8 слова «Правительством РС(Я)» заменить словами «Правительством Республики Саха (Якутия)»;</w:t>
      </w:r>
    </w:p>
    <w:p w14:paraId="18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1.3.</w:t>
      </w:r>
      <w:r>
        <w:rPr>
          <w:b w:val="0"/>
          <w:sz w:val="28"/>
        </w:rPr>
        <w:tab/>
      </w:r>
      <w:r>
        <w:rPr>
          <w:b w:val="0"/>
          <w:sz w:val="28"/>
        </w:rPr>
        <w:t>пункт 9 изложить в следующей редакции:</w:t>
      </w:r>
    </w:p>
    <w:p w14:paraId="19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«9.</w:t>
      </w:r>
      <w:r>
        <w:rPr>
          <w:b w:val="0"/>
          <w:sz w:val="28"/>
        </w:rPr>
        <w:tab/>
      </w:r>
      <w:r>
        <w:rPr>
          <w:b w:val="0"/>
          <w:sz w:val="28"/>
        </w:rPr>
        <w:t>Решение о сохранении (отказе в сохранении) среднего месячного заработка (выплате компенсации) принимается комиссией по установлению исключительности случая. Порядок формирования состава и работы комиссии по установлению исключительности случая утверждается приказом Государственного комитета Республики Саха (Якутия) по занятости населения.»;</w:t>
      </w:r>
    </w:p>
    <w:p w14:paraId="1A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1.4.</w:t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в </w:t>
      </w:r>
      <w:r>
        <w:rPr>
          <w:b w:val="0"/>
          <w:sz w:val="28"/>
        </w:rPr>
        <w:t>приложении № 1 Перечень исключительных случаев:</w:t>
      </w:r>
    </w:p>
    <w:p w14:paraId="1B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1.4.1.</w:t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в пункте 1 слова </w:t>
      </w:r>
      <w:r>
        <w:rPr>
          <w:rFonts w:ascii="XO Thames" w:hAnsi="XO Thames"/>
          <w:b w:val="0"/>
          <w:spacing w:val="0"/>
          <w:sz w:val="28"/>
        </w:rPr>
        <w:t>“</w:t>
      </w:r>
      <w:r>
        <w:rPr>
          <w:b w:val="0"/>
          <w:sz w:val="28"/>
        </w:rPr>
        <w:t>Отнесение гражданина к категории «малоимущих»</w:t>
      </w:r>
      <w:r>
        <w:rPr>
          <w:rFonts w:ascii="XO Thames" w:hAnsi="XO Thames"/>
          <w:b w:val="0"/>
          <w:spacing w:val="0"/>
          <w:sz w:val="28"/>
        </w:rPr>
        <w:t xml:space="preserve">” заменить словами </w:t>
      </w:r>
      <w:r>
        <w:rPr>
          <w:rFonts w:ascii="XO Thames" w:hAnsi="XO Thames"/>
          <w:b w:val="0"/>
          <w:spacing w:val="0"/>
          <w:sz w:val="28"/>
        </w:rPr>
        <w:t>“</w:t>
      </w:r>
      <w:r>
        <w:rPr>
          <w:rFonts w:ascii="XO Thames" w:hAnsi="XO Thames"/>
          <w:b w:val="0"/>
          <w:spacing w:val="0"/>
          <w:sz w:val="28"/>
        </w:rPr>
        <w:t xml:space="preserve">Отнесение </w:t>
      </w:r>
      <w:r>
        <w:rPr>
          <w:b w:val="0"/>
          <w:sz w:val="28"/>
        </w:rPr>
        <w:t xml:space="preserve">гражданина к категории «малоимущих» в порядке, установленном </w:t>
      </w:r>
      <w:r>
        <w:rPr>
          <w:b w:val="0"/>
          <w:sz w:val="28"/>
        </w:rPr>
        <w:t>Федеральным законом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</w:t>
      </w:r>
      <w:r>
        <w:rPr>
          <w:rFonts w:ascii="XO Thames" w:hAnsi="XO Thames"/>
          <w:b w:val="0"/>
          <w:spacing w:val="0"/>
          <w:sz w:val="28"/>
        </w:rPr>
        <w:t>”</w:t>
      </w:r>
      <w:r>
        <w:rPr>
          <w:b w:val="0"/>
          <w:sz w:val="28"/>
        </w:rPr>
        <w:t>;</w:t>
      </w:r>
    </w:p>
    <w:p w14:paraId="1C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1.4.2.</w:t>
      </w:r>
      <w:r>
        <w:rPr>
          <w:b w:val="0"/>
          <w:sz w:val="28"/>
        </w:rPr>
        <w:tab/>
      </w:r>
      <w:r>
        <w:rPr>
          <w:b w:val="0"/>
          <w:sz w:val="28"/>
        </w:rPr>
        <w:t>дополнить пунктом 3 следующего содержания: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0"/>
        <w:gridCol w:w="3090"/>
        <w:gridCol w:w="2475"/>
        <w:gridCol w:w="3525"/>
      </w:tblGrid>
      <w:tr>
        <w:trPr>
          <w:trHeight w:hRule="atLeast" w:val="360"/>
        </w:trPr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 xml:space="preserve">Иные случаи, свидетельствующие о наличии юридически обоснованной исключительности жизненных обстоятельств </w:t>
            </w:r>
          </w:p>
        </w:tc>
        <w:tc>
          <w:tcPr>
            <w:tcW w:type="dxa" w:w="2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Справки, письма, решения уполномоченных должностных лиц, иные документы, подтверждающие исключительность случая</w:t>
            </w:r>
          </w:p>
        </w:tc>
        <w:tc>
          <w:tcPr>
            <w:tcW w:type="dxa" w:w="3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Отсутствие у заявителя средств к существованию; наличие у заявителя на иждивении нетрудоспособных членов семьи либо членов семьи, за которыми требуется присмотр и уход (в случае отсутствия у членов семьи иных доходов);</w:t>
            </w:r>
          </w:p>
          <w:p w14:paraId="21000000">
            <w:pPr>
              <w:rPr>
                <w:sz w:val="28"/>
              </w:rPr>
            </w:pPr>
            <w:r>
              <w:rPr>
                <w:sz w:val="28"/>
              </w:rPr>
              <w:t>наличие у заявителя инвалидности;</w:t>
            </w:r>
          </w:p>
          <w:p w14:paraId="22000000">
            <w:pPr>
              <w:rPr>
                <w:sz w:val="28"/>
              </w:rPr>
            </w:pPr>
            <w:r>
              <w:rPr>
                <w:sz w:val="28"/>
              </w:rPr>
              <w:t>наличие у заявителя либо членов его семьи болезни, требующей лечения в период поиска работы;</w:t>
            </w:r>
          </w:p>
          <w:p w14:paraId="23000000">
            <w:pPr>
              <w:rPr>
                <w:sz w:val="28"/>
              </w:rPr>
            </w:pPr>
            <w:r>
              <w:rPr>
                <w:sz w:val="28"/>
              </w:rPr>
              <w:t>наличие у заявителя на иждивении несовершеннолетних детей, а также детей, находящихся под его опекой и попечительством (в случае отсутствия у членов семьи иных доходов);</w:t>
            </w:r>
          </w:p>
          <w:p w14:paraId="24000000">
            <w:pPr>
              <w:rPr>
                <w:sz w:val="28"/>
              </w:rPr>
            </w:pPr>
            <w:r>
              <w:rPr>
                <w:sz w:val="28"/>
              </w:rPr>
              <w:t xml:space="preserve">иные обстоятельства, свидетельствующие о социальной незащищенности заявителя, установленные комиссией </w:t>
            </w:r>
            <w:r>
              <w:rPr>
                <w:b w:val="0"/>
                <w:sz w:val="28"/>
              </w:rPr>
              <w:t>по установлению исключительности случая</w:t>
            </w:r>
          </w:p>
        </w:tc>
      </w:tr>
    </w:tbl>
    <w:p w14:paraId="25000000">
      <w:pPr>
        <w:spacing w:line="360" w:lineRule="auto"/>
        <w:ind w:firstLine="567" w:left="0"/>
        <w:jc w:val="both"/>
        <w:rPr>
          <w:b w:val="0"/>
          <w:sz w:val="28"/>
        </w:rPr>
      </w:pPr>
    </w:p>
    <w:p w14:paraId="26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2.</w:t>
      </w:r>
      <w:r>
        <w:rPr>
          <w:b w:val="0"/>
          <w:sz w:val="28"/>
        </w:rPr>
        <w:tab/>
      </w:r>
      <w:r>
        <w:rPr>
          <w:b w:val="0"/>
          <w:sz w:val="28"/>
        </w:rPr>
        <w:t>Отделу административной работы и информатизации:</w:t>
      </w:r>
    </w:p>
    <w:p w14:paraId="27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2.1.</w:t>
      </w:r>
      <w:r>
        <w:rPr>
          <w:b w:val="0"/>
          <w:sz w:val="28"/>
        </w:rPr>
        <w:tab/>
      </w:r>
      <w:r>
        <w:rPr>
          <w:b w:val="0"/>
          <w:sz w:val="28"/>
        </w:rPr>
        <w:t>довести настоящий приказ до Государственного казенного учреждения Республики Саха (Якутия) «Центр занятости населения Республики Саха (Якутия)»;</w:t>
      </w:r>
    </w:p>
    <w:p w14:paraId="28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2.2.</w:t>
      </w:r>
      <w:r>
        <w:rPr>
          <w:b w:val="0"/>
          <w:sz w:val="28"/>
        </w:rPr>
        <w:tab/>
      </w:r>
      <w:r>
        <w:rPr>
          <w:b w:val="0"/>
          <w:sz w:val="28"/>
        </w:rPr>
        <w:t>направить настоящий приказ в Государственный комитет юстиции Республики Саха (Якутия) для государственной регистрации и официального опубликования.</w:t>
      </w:r>
    </w:p>
    <w:p w14:paraId="29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3.</w:t>
      </w:r>
      <w:r>
        <w:rPr>
          <w:b w:val="0"/>
          <w:sz w:val="28"/>
        </w:rPr>
        <w:tab/>
      </w:r>
      <w:r>
        <w:rPr>
          <w:b w:val="0"/>
          <w:sz w:val="28"/>
        </w:rPr>
        <w:t>Настоящий приказ вступает в силу с момента его подписания.</w:t>
      </w:r>
    </w:p>
    <w:p w14:paraId="2A000000">
      <w:pPr>
        <w:spacing w:line="36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4.</w:t>
      </w:r>
      <w:r>
        <w:rPr>
          <w:b w:val="0"/>
          <w:sz w:val="28"/>
        </w:rPr>
        <w:tab/>
      </w:r>
      <w:r>
        <w:rPr>
          <w:b w:val="0"/>
          <w:sz w:val="28"/>
        </w:rPr>
        <w:t>Контроль за исполнением приказа оставляю за собой.</w:t>
      </w:r>
    </w:p>
    <w:p w14:paraId="2B000000">
      <w:pPr>
        <w:spacing w:line="360" w:lineRule="auto"/>
        <w:ind w:firstLine="567" w:left="0"/>
        <w:jc w:val="both"/>
        <w:rPr>
          <w:b w:val="0"/>
          <w:sz w:val="27"/>
        </w:rPr>
      </w:pPr>
    </w:p>
    <w:p w14:paraId="2C000000">
      <w:pPr>
        <w:spacing w:line="360" w:lineRule="auto"/>
        <w:ind w:firstLine="709" w:left="0"/>
        <w:jc w:val="both"/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2220"/>
        <w:gridCol w:w="4498"/>
        <w:gridCol w:w="2919"/>
      </w:tblGrid>
      <w:tr>
        <w:trPr>
          <w:trHeight w:hRule="atLeast" w:val="700"/>
        </w:trPr>
        <w:tc>
          <w:tcPr>
            <w:tcW w:type="dxa" w:w="22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160" w:line="264" w:lineRule="auto"/>
              <w:ind/>
              <w:rPr>
                <w:sz w:val="28"/>
              </w:rPr>
            </w:pPr>
            <w:bookmarkStart w:id="3" w:name="SIGNERPOST1"/>
            <w:r>
              <w:rPr>
                <w:sz w:val="28"/>
              </w:rPr>
              <w:t>Должность</w:t>
            </w:r>
            <w:bookmarkEnd w:id="3"/>
          </w:p>
        </w:tc>
        <w:tc>
          <w:tcPr>
            <w:tcW w:type="dxa" w:w="449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160" w:line="264" w:lineRule="auto"/>
              <w:ind/>
              <w:rPr>
                <w:sz w:val="28"/>
              </w:rPr>
            </w:pPr>
            <w:bookmarkStart w:id="4" w:name="SIGNERSTAMP1"/>
            <w:bookmarkEnd w:id="4"/>
          </w:p>
        </w:tc>
        <w:tc>
          <w:tcPr>
            <w:tcW w:type="dxa" w:w="291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160" w:line="264" w:lineRule="auto"/>
              <w:ind/>
              <w:jc w:val="center"/>
              <w:rPr>
                <w:sz w:val="28"/>
              </w:rPr>
            </w:pPr>
            <w:bookmarkStart w:id="5" w:name="SIGNERNAME1"/>
            <w:r>
              <w:rPr>
                <w:sz w:val="28"/>
              </w:rPr>
              <w:t>ФИО</w:t>
            </w:r>
            <w:bookmarkEnd w:id="5"/>
          </w:p>
        </w:tc>
      </w:tr>
    </w:tbl>
    <w:p w14:paraId="30000000">
      <w:pPr>
        <w:ind/>
        <w:jc w:val="right"/>
      </w:pPr>
    </w:p>
    <w:sectPr>
      <w:pgSz w:h="16838" w:orient="portrait" w:w="11906"/>
      <w:pgMar w:bottom="1134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rmal (Web)"/>
    <w:basedOn w:val="Style_3"/>
    <w:link w:val="Style_11_ch"/>
  </w:style>
  <w:style w:styleId="Style_11_ch" w:type="character">
    <w:name w:val="Normal (Web)"/>
    <w:basedOn w:val="Style_3_ch"/>
    <w:link w:val="Style_11"/>
  </w:style>
  <w:style w:styleId="Style_12" w:type="paragraph">
    <w:name w:val="ConsPlusNormal"/>
    <w:link w:val="Style_12_ch"/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бычный1"/>
    <w:link w:val="Style_14_ch"/>
    <w:rPr>
      <w:sz w:val="24"/>
    </w:rPr>
  </w:style>
  <w:style w:styleId="Style_14_ch" w:type="character">
    <w:name w:val="Обычный1"/>
    <w:link w:val="Style_14"/>
    <w:rPr>
      <w:sz w:val="24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Заголовок 2 Знак"/>
    <w:link w:val="Style_16_ch"/>
    <w:rPr>
      <w:rFonts w:ascii="XO Thames" w:hAnsi="XO Thames"/>
      <w:b w:val="1"/>
      <w:sz w:val="28"/>
    </w:rPr>
  </w:style>
  <w:style w:styleId="Style_16_ch" w:type="character">
    <w:name w:val="Заголовок 2 Знак"/>
    <w:link w:val="Style_16"/>
    <w:rPr>
      <w:rFonts w:ascii="XO Thames" w:hAnsi="XO Thames"/>
      <w:b w:val="1"/>
      <w:sz w:val="28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8"/>
    <w:next w:val="Style_3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Гиперссылка2"/>
    <w:link w:val="Style_25_ch"/>
    <w:rPr>
      <w:color w:val="0000FF"/>
      <w:u w:val="single"/>
    </w:rPr>
  </w:style>
  <w:style w:styleId="Style_25_ch" w:type="character">
    <w:name w:val="Гиперссылка2"/>
    <w:link w:val="Style_25"/>
    <w:rPr>
      <w:color w:val="0000FF"/>
      <w:u w:val="single"/>
    </w:rPr>
  </w:style>
  <w:style w:styleId="Style_26" w:type="paragraph">
    <w:name w:val="List Paragraph"/>
    <w:basedOn w:val="Style_3"/>
    <w:link w:val="Style_26_ch"/>
    <w:pPr>
      <w:ind w:firstLine="0"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paragraph">
    <w:name w:val="ConsPlusNonformat"/>
    <w:link w:val="Style_27_ch"/>
    <w:pPr>
      <w:ind/>
      <w:jc w:val="center"/>
    </w:pPr>
    <w:rPr>
      <w:rFonts w:ascii="Courier New" w:hAnsi="Courier New"/>
    </w:rPr>
  </w:style>
  <w:style w:styleId="Style_27_ch" w:type="character">
    <w:name w:val="ConsPlusNonformat"/>
    <w:link w:val="Style_27"/>
    <w:rPr>
      <w:rFonts w:ascii="Courier New" w:hAnsi="Courier New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toc 5"/>
    <w:next w:val="Style_3"/>
    <w:link w:val="Style_29_ch"/>
    <w:uiPriority w:val="39"/>
    <w:pPr>
      <w:ind w:firstLine="0"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Основной шрифт абзаца2"/>
    <w:link w:val="Style_30_ch"/>
  </w:style>
  <w:style w:styleId="Style_30_ch" w:type="character">
    <w:name w:val="Основной шрифт абзаца2"/>
    <w:link w:val="Style_30"/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Обычный1"/>
    <w:link w:val="Style_35_ch"/>
    <w:rPr>
      <w:sz w:val="24"/>
    </w:rPr>
  </w:style>
  <w:style w:styleId="Style_35_ch" w:type="character">
    <w:name w:val="Обычный1"/>
    <w:link w:val="Style_35"/>
    <w:rPr>
      <w:sz w:val="24"/>
    </w:rPr>
  </w:style>
  <w:style w:styleId="Style_36" w:type="paragraph">
    <w:name w:val="Подраздел"/>
    <w:basedOn w:val="Style_3"/>
    <w:link w:val="Style_36_ch"/>
    <w:pPr>
      <w:widowControl w:val="0"/>
      <w:ind/>
      <w:jc w:val="center"/>
    </w:pPr>
    <w:rPr>
      <w:b w:val="1"/>
    </w:rPr>
  </w:style>
  <w:style w:styleId="Style_36_ch" w:type="character">
    <w:name w:val="Подраздел"/>
    <w:basedOn w:val="Style_3_ch"/>
    <w:link w:val="Style_36"/>
    <w:rPr>
      <w:b w:val="1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2025-10-20T05:27:44Z</dcterms:modified>
</cp:coreProperties>
</file>