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720" w:before="720" w:line="360" w:lineRule="exact"/>
        <w:ind/>
        <w:jc w:val="right"/>
        <w:rPr>
          <w:sz w:val="24"/>
        </w:rPr>
      </w:pPr>
      <w:r>
        <w:rPr>
          <w:sz w:val="24"/>
        </w:rPr>
        <w:t>ПРОЕКТ</w:t>
      </w:r>
    </w:p>
    <w:p w14:paraId="05000000">
      <w:pPr>
        <w:widowControl w:val="0"/>
        <w:spacing w:after="720" w:before="720" w:line="360" w:lineRule="exact"/>
        <w:ind w:firstLine="0" w:left="0"/>
        <w:jc w:val="center"/>
        <w:rPr>
          <w:sz w:val="24"/>
        </w:rPr>
      </w:pPr>
      <w:r>
        <w:rPr>
          <w:sz w:val="28"/>
        </w:rPr>
        <w:t xml:space="preserve"> ПРАВИТЕЛЬСТВО РЕСПУБЛИКИ САХА (ЯКУТИЯ)</w:t>
      </w:r>
    </w:p>
    <w:p w14:paraId="06000000">
      <w:pPr>
        <w:pStyle w:val="Style_3"/>
        <w:widowControl w:val="0"/>
        <w:spacing w:after="720" w:before="720" w:line="360" w:lineRule="exact"/>
        <w:ind/>
        <w:jc w:val="center"/>
        <w:rPr>
          <w:spacing w:val="0"/>
          <w:sz w:val="28"/>
        </w:rPr>
      </w:pPr>
      <w:r>
        <w:rPr>
          <w:spacing w:val="0"/>
          <w:sz w:val="28"/>
        </w:rPr>
        <w:t>ПОСТАНОВЛЕНИЕ</w:t>
      </w:r>
    </w:p>
    <w:p w14:paraId="07000000">
      <w:pPr>
        <w:pStyle w:val="Style_3"/>
        <w:widowControl w:val="0"/>
        <w:spacing w:after="720" w:before="720" w:line="360" w:lineRule="exact"/>
        <w:ind/>
        <w:jc w:val="center"/>
        <w:rPr>
          <w:b w:val="1"/>
          <w:spacing w:val="0"/>
        </w:rPr>
      </w:pPr>
      <w:r>
        <w:rPr>
          <w:spacing w:val="0"/>
          <w:sz w:val="28"/>
        </w:rPr>
        <w:t>от «___»________________2025 г. №_______</w:t>
      </w:r>
    </w:p>
    <w:p w14:paraId="08000000">
      <w:pPr>
        <w:widowControl w:val="0"/>
        <w:spacing w:line="360" w:lineRule="exact"/>
        <w:ind w:firstLine="0" w:left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изменений </w:t>
      </w:r>
    </w:p>
    <w:p w14:paraId="09000000">
      <w:pPr>
        <w:widowControl w:val="0"/>
        <w:spacing w:line="360" w:lineRule="exact"/>
        <w:ind w:firstLine="0" w:left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</w:t>
      </w:r>
      <w:r>
        <w:rPr>
          <w:rFonts w:ascii="PT Astra Serif" w:hAnsi="PT Astra Serif"/>
          <w:b w:val="1"/>
          <w:sz w:val="28"/>
        </w:rPr>
        <w:t xml:space="preserve">постановление </w:t>
      </w:r>
      <w:r>
        <w:rPr>
          <w:rFonts w:ascii="PT Astra Serif" w:hAnsi="PT Astra Serif"/>
          <w:b w:val="1"/>
          <w:sz w:val="28"/>
        </w:rPr>
        <w:t xml:space="preserve">Правительства Республики Саха (Якутия) </w:t>
      </w:r>
    </w:p>
    <w:p w14:paraId="0A000000">
      <w:pPr>
        <w:widowControl w:val="0"/>
        <w:spacing w:line="360" w:lineRule="exact"/>
        <w:ind w:firstLine="0" w:left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</w:t>
      </w:r>
      <w:r>
        <w:rPr>
          <w:rFonts w:ascii="PT Astra Serif" w:hAnsi="PT Astra Serif"/>
          <w:b w:val="1"/>
          <w:sz w:val="28"/>
        </w:rPr>
        <w:t xml:space="preserve"> 11 января 2011 г.</w:t>
      </w:r>
      <w:r>
        <w:rPr>
          <w:rFonts w:ascii="PT Astra Serif" w:hAnsi="PT Astra Serif"/>
          <w:b w:val="1"/>
          <w:sz w:val="28"/>
        </w:rPr>
        <w:t xml:space="preserve"> № 6 «О п</w:t>
      </w:r>
      <w:r>
        <w:rPr>
          <w:rFonts w:ascii="PT Astra Serif" w:hAnsi="PT Astra Serif"/>
          <w:b w:val="1"/>
          <w:sz w:val="28"/>
        </w:rPr>
        <w:t>орядке предоставления в безвозмездное пользование и аренду зданий, строений, сооружений и нежилых помещений, находящихся в собственности Республики Саха (Якутия)»</w:t>
      </w:r>
    </w:p>
    <w:p w14:paraId="0B000000">
      <w:pPr>
        <w:widowControl w:val="0"/>
        <w:spacing w:line="360" w:lineRule="exact"/>
        <w:ind w:firstLine="0" w:left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0C000000">
      <w:pPr>
        <w:widowControl w:val="0"/>
        <w:spacing w:line="276" w:lineRule="auto"/>
        <w:ind w:firstLine="850" w:left="0"/>
        <w:rPr>
          <w:b w:val="0"/>
        </w:rPr>
      </w:pPr>
      <w:r>
        <w:rPr>
          <w:rFonts w:ascii="PT Astra Serif" w:hAnsi="PT Astra Serif"/>
          <w:b w:val="0"/>
          <w:spacing w:val="-1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 xml:space="preserve">целях рационального и эффективного использования государственного имущества Республики Саха (Якутия) </w:t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b w:val="0"/>
          <w:spacing w:val="-1"/>
          <w:sz w:val="28"/>
        </w:rPr>
        <w:t xml:space="preserve">сокращения расходов государственного бюджета Республики Саха (Якутия), </w:t>
      </w:r>
      <w:r>
        <w:rPr>
          <w:rFonts w:ascii="PT Astra Serif" w:hAnsi="PT Astra Serif"/>
          <w:sz w:val="28"/>
        </w:rPr>
        <w:t xml:space="preserve">связанных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pacing w:val="-1"/>
          <w:sz w:val="28"/>
        </w:rPr>
        <w:t>опт</w:t>
      </w:r>
      <w:r>
        <w:rPr>
          <w:rFonts w:ascii="PT Astra Serif" w:hAnsi="PT Astra Serif"/>
          <w:spacing w:val="-1"/>
          <w:sz w:val="28"/>
        </w:rPr>
        <w:t>имизацией</w:t>
      </w:r>
      <w:r>
        <w:rPr>
          <w:rFonts w:ascii="PT Astra Serif" w:hAnsi="PT Astra Serif"/>
          <w:spacing w:val="-1"/>
          <w:sz w:val="28"/>
        </w:rPr>
        <w:t xml:space="preserve"> управления государственным имуществом Республики Саха (Якутия)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Правительство Республики Саха (Якутия) постановляет:</w:t>
      </w:r>
    </w:p>
    <w:p w14:paraId="0D000000">
      <w:pPr>
        <w:widowControl w:val="0"/>
        <w:numPr>
          <w:ilvl w:val="0"/>
          <w:numId w:val="1"/>
        </w:numPr>
        <w:spacing w:line="276" w:lineRule="auto"/>
        <w:ind w:firstLine="850" w:lef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 xml:space="preserve">в </w:t>
      </w:r>
      <w:r>
        <w:rPr>
          <w:rFonts w:ascii="PT Astra Serif" w:hAnsi="PT Astra Serif"/>
          <w:b w:val="0"/>
          <w:sz w:val="28"/>
        </w:rPr>
        <w:t xml:space="preserve">постановлении </w:t>
      </w:r>
      <w:r>
        <w:rPr>
          <w:rFonts w:ascii="PT Astra Serif" w:hAnsi="PT Astra Serif"/>
          <w:b w:val="0"/>
          <w:sz w:val="28"/>
        </w:rPr>
        <w:t>Правительства Республики Саха (Якутия):</w:t>
      </w:r>
    </w:p>
    <w:p w14:paraId="0E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1.1. 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пункты 2, 4, 5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>признать утратившим силу.</w:t>
      </w:r>
    </w:p>
    <w:p w14:paraId="0F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1.2. пункт 3 изложить в следующей редакции:</w:t>
      </w:r>
    </w:p>
    <w:p w14:paraId="10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«Установить, что размер арендной платы, определенной отчетом об оценке рыночной стоимости годовой арендной платы, подлежит снижению в случае предоставления в аренду:».</w:t>
      </w:r>
    </w:p>
    <w:p w14:paraId="11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1.3. в пункте 3.1 слова «На арендаторов - субъектов» заменить словами «Арендаторам – субъектам».</w:t>
      </w:r>
    </w:p>
    <w:p w14:paraId="12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 xml:space="preserve">1.4. </w:t>
      </w:r>
      <w:r>
        <w:rPr>
          <w:rFonts w:ascii="PT Astra Serif" w:hAnsi="PT Astra Serif"/>
          <w:b w:val="0"/>
          <w:color w:val="000000"/>
          <w:sz w:val="28"/>
          <w:u w:val="none"/>
        </w:rPr>
        <w:t>в пункте 3.2 слова «На имущество» заменить словами «Имущество».</w:t>
      </w:r>
    </w:p>
    <w:p w14:paraId="13000000">
      <w:pPr>
        <w:widowControl w:val="0"/>
        <w:spacing w:line="276" w:lineRule="auto"/>
        <w:ind w:firstLine="850" w:left="0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 xml:space="preserve">1.5. </w:t>
      </w:r>
      <w:r>
        <w:rPr>
          <w:rFonts w:ascii="PT Astra Serif" w:hAnsi="PT Astra Serif"/>
          <w:b w:val="0"/>
          <w:color w:val="000000"/>
          <w:sz w:val="28"/>
          <w:u w:val="none"/>
        </w:rPr>
        <w:t>в пункте 3.3 слова «На арендаторов - резидентов» заменить словами «Арендаторам – резидентам».</w:t>
      </w:r>
    </w:p>
    <w:p w14:paraId="14000000">
      <w:pPr>
        <w:widowControl w:val="0"/>
        <w:numPr>
          <w:ilvl w:val="0"/>
          <w:numId w:val="1"/>
        </w:numPr>
        <w:spacing w:line="276" w:lineRule="auto"/>
        <w:ind w:firstLine="850" w:lef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внести в П</w:t>
      </w:r>
      <w:r>
        <w:rPr>
          <w:rFonts w:ascii="PT Astra Serif" w:hAnsi="PT Astra Serif"/>
          <w:b w:val="0"/>
          <w:sz w:val="28"/>
        </w:rPr>
        <w:t>орядок предоставления в безвозмездное пользование и аренду зданий, строений, сооружений и нежилых помещений, находящихся в собственности Республики Саха (Якутия),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следующие изменения:</w:t>
      </w:r>
    </w:p>
    <w:p w14:paraId="15000000">
      <w:pPr>
        <w:widowControl w:val="0"/>
        <w:spacing w:line="276" w:lineRule="auto"/>
        <w:ind w:firstLine="850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 дополнить пунктами 6 и 7 следующего содержания:</w:t>
      </w:r>
    </w:p>
    <w:p w14:paraId="16000000">
      <w:pPr>
        <w:widowControl w:val="0"/>
        <w:spacing w:line="360" w:lineRule="exact"/>
        <w:ind w:firstLine="709" w:left="0"/>
        <w:jc w:val="both"/>
        <w:rPr>
          <w:rFonts w:ascii="PT Astra Serif" w:hAnsi="PT Astra Serif"/>
          <w:b w:val="0"/>
          <w:spacing w:val="-1"/>
          <w:sz w:val="28"/>
        </w:rPr>
      </w:pPr>
      <w:r>
        <w:rPr>
          <w:rFonts w:ascii="PT Astra Serif" w:hAnsi="PT Astra Serif"/>
          <w:b w:val="0"/>
          <w:spacing w:val="-1"/>
          <w:sz w:val="28"/>
        </w:rPr>
        <w:t xml:space="preserve">«6. В </w:t>
      </w:r>
      <w:r>
        <w:rPr>
          <w:rFonts w:ascii="PT Astra Serif" w:hAnsi="PT Astra Serif"/>
          <w:b w:val="0"/>
          <w:sz w:val="28"/>
        </w:rPr>
        <w:t xml:space="preserve">целях рационального и эффективного использования государственного имущества Республики Саха (Якутия) </w:t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b w:val="0"/>
          <w:spacing w:val="-1"/>
          <w:sz w:val="28"/>
        </w:rPr>
        <w:t xml:space="preserve">сокращения расходов государственного бюджета Республики Саха (Якутия), </w:t>
      </w:r>
      <w:r>
        <w:rPr>
          <w:rFonts w:ascii="PT Astra Serif" w:hAnsi="PT Astra Serif"/>
          <w:sz w:val="28"/>
        </w:rPr>
        <w:t xml:space="preserve">связанных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pacing w:val="-1"/>
          <w:sz w:val="28"/>
        </w:rPr>
        <w:t>опт</w:t>
      </w:r>
      <w:r>
        <w:rPr>
          <w:rFonts w:ascii="PT Astra Serif" w:hAnsi="PT Astra Serif"/>
          <w:spacing w:val="-1"/>
          <w:sz w:val="28"/>
        </w:rPr>
        <w:t>имизацией</w:t>
      </w:r>
      <w:r>
        <w:rPr>
          <w:rFonts w:ascii="PT Astra Serif" w:hAnsi="PT Astra Serif"/>
          <w:spacing w:val="-1"/>
          <w:sz w:val="28"/>
        </w:rPr>
        <w:t xml:space="preserve"> управления государственным имуществом Республики Саха (Якутия)</w:t>
      </w:r>
      <w:r>
        <w:rPr>
          <w:rFonts w:ascii="PT Astra Serif" w:hAnsi="PT Astra Serif"/>
          <w:sz w:val="28"/>
        </w:rPr>
        <w:t>:</w:t>
      </w:r>
    </w:p>
    <w:p w14:paraId="17000000">
      <w:pPr>
        <w:widowControl w:val="0"/>
        <w:spacing w:line="360" w:lineRule="exact"/>
        <w:ind w:firstLine="709" w:left="0"/>
        <w:jc w:val="both"/>
      </w:pPr>
      <w:r>
        <w:rPr>
          <w:rFonts w:ascii="PT Astra Serif" w:hAnsi="PT Astra Serif"/>
          <w:sz w:val="28"/>
        </w:rPr>
        <w:t xml:space="preserve">6.1.  </w:t>
      </w:r>
      <w:r>
        <w:rPr>
          <w:rFonts w:ascii="PT Astra Serif" w:hAnsi="PT Astra Serif"/>
          <w:sz w:val="28"/>
        </w:rPr>
        <w:t xml:space="preserve">Запретить предоставление в аренду недвижимого и движимого государственного имущества Республики Саха (Якутия), находящегося в оперативном управлении, между государственными учреждениями </w:t>
      </w:r>
      <w:r>
        <w:rPr>
          <w:rFonts w:ascii="PT Astra Serif" w:hAnsi="PT Astra Serif"/>
          <w:sz w:val="28"/>
        </w:rPr>
        <w:t>Республики Саха (Якутия).</w:t>
      </w:r>
    </w:p>
    <w:p w14:paraId="18000000">
      <w:pPr>
        <w:widowControl w:val="0"/>
        <w:spacing w:line="360" w:lineRule="exact"/>
        <w:ind w:firstLine="709" w:left="0"/>
        <w:jc w:val="both"/>
        <w:rPr>
          <w:rFonts w:ascii="PT Astra Serif" w:hAnsi="PT Astra Serif"/>
          <w:b w:val="0"/>
          <w:i w:val="0"/>
          <w:spacing w:val="-1"/>
          <w:sz w:val="28"/>
        </w:rPr>
      </w:pPr>
      <w:r>
        <w:rPr>
          <w:rFonts w:ascii="PT Astra Serif" w:hAnsi="PT Astra Serif"/>
          <w:sz w:val="28"/>
        </w:rPr>
        <w:t xml:space="preserve">6.2. </w:t>
      </w:r>
      <w:r>
        <w:rPr>
          <w:rFonts w:ascii="PT Astra Serif" w:hAnsi="PT Astra Serif"/>
          <w:sz w:val="28"/>
        </w:rPr>
        <w:t xml:space="preserve">Государственным учреждениям </w:t>
      </w:r>
      <w:r>
        <w:rPr>
          <w:rFonts w:ascii="PT Astra Serif" w:hAnsi="PT Astra Serif"/>
          <w:sz w:val="28"/>
        </w:rPr>
        <w:t xml:space="preserve">Республики Саха (Якутия)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запретить заключение договоров аренды недвижимого и движимого имущества частной собственности со сторонними организациями при условии,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что арендная плата превышает</w:t>
      </w:r>
      <w:r>
        <w:rPr>
          <w:rFonts w:ascii="PT Astra Serif" w:hAnsi="PT Astra Serif"/>
          <w:i w:val="0"/>
          <w:sz w:val="28"/>
        </w:rPr>
        <w:t xml:space="preserve"> стоимость арендной ставки.</w:t>
      </w:r>
    </w:p>
    <w:p w14:paraId="19000000">
      <w:pPr>
        <w:widowControl w:val="0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6.3.  </w:t>
      </w:r>
      <w:r>
        <w:rPr>
          <w:rFonts w:ascii="PT Astra Serif" w:hAnsi="PT Astra Serif"/>
          <w:sz w:val="28"/>
        </w:rPr>
        <w:t>Не допускать заключения договоров аренды недвижимого и движимого имущества, находящегося в муниципальной собственности, между государственными учреждениями Республики Саха (Якутия) и муниципальными образованиями и организациями.</w:t>
      </w:r>
    </w:p>
    <w:p w14:paraId="1A000000">
      <w:pPr>
        <w:widowControl w:val="0"/>
        <w:spacing w:line="360" w:lineRule="exact"/>
        <w:ind w:firstLine="709" w:left="0"/>
        <w:jc w:val="both"/>
        <w:rPr>
          <w:rFonts w:ascii="PT Astra Serif" w:hAnsi="PT Astra Serif"/>
          <w:b w:val="0"/>
          <w:spacing w:val="-1"/>
          <w:sz w:val="28"/>
        </w:rPr>
      </w:pPr>
      <w:r>
        <w:rPr>
          <w:rFonts w:ascii="PT Astra Serif" w:hAnsi="PT Astra Serif"/>
          <w:sz w:val="28"/>
        </w:rPr>
        <w:t>7. При возникновении потребности у г</w:t>
      </w:r>
      <w:r>
        <w:rPr>
          <w:rFonts w:ascii="PT Astra Serif" w:hAnsi="PT Astra Serif"/>
          <w:sz w:val="28"/>
        </w:rPr>
        <w:t xml:space="preserve">осударственных учреждений Республики Саха (Якутия) </w:t>
      </w:r>
      <w:r>
        <w:rPr>
          <w:rFonts w:ascii="PT Astra Serif" w:hAnsi="PT Astra Serif"/>
          <w:sz w:val="28"/>
        </w:rPr>
        <w:t xml:space="preserve">в нежилых (служебных) помещениях, </w:t>
      </w:r>
      <w:r>
        <w:rPr>
          <w:rFonts w:ascii="PT Astra Serif" w:hAnsi="PT Astra Serif"/>
          <w:b w:val="0"/>
          <w:sz w:val="28"/>
        </w:rPr>
        <w:t>необходимых для исполнения должностных обязанностей,</w:t>
      </w:r>
      <w:r>
        <w:rPr>
          <w:rFonts w:ascii="PT Astra Serif" w:hAnsi="PT Astra Serif"/>
          <w:sz w:val="28"/>
        </w:rPr>
        <w:t xml:space="preserve"> направлять обращения</w:t>
      </w:r>
      <w:r>
        <w:rPr>
          <w:rFonts w:ascii="PT Astra Serif" w:hAnsi="PT Astra Serif"/>
          <w:sz w:val="28"/>
        </w:rPr>
        <w:t xml:space="preserve"> в адрес  Министерства имущественных и земельных отношений Республики Саха (Якутия) в соответствии с нормативами п</w:t>
      </w:r>
      <w:r>
        <w:rPr>
          <w:rFonts w:ascii="PT Astra Serif" w:hAnsi="PT Astra Serif"/>
          <w:b w:val="0"/>
          <w:sz w:val="28"/>
        </w:rPr>
        <w:t>о обеспечению нежилыми (служебными) помещениями работников государственных учреждений Республики Саха (Якутия).</w:t>
      </w:r>
    </w:p>
    <w:p w14:paraId="1B000000">
      <w:pPr>
        <w:widowControl w:val="0"/>
        <w:spacing w:line="360" w:lineRule="exact"/>
        <w:ind w:firstLine="709" w:left="0"/>
        <w:jc w:val="both"/>
        <w:rPr>
          <w:rFonts w:ascii="PT Astra Serif" w:hAnsi="PT Astra Serif"/>
          <w:b w:val="0"/>
          <w:spacing w:val="-1"/>
          <w:sz w:val="28"/>
        </w:rPr>
      </w:pPr>
      <w:r>
        <w:rPr>
          <w:rFonts w:ascii="PT Astra Serif" w:hAnsi="PT Astra Serif"/>
          <w:sz w:val="28"/>
        </w:rPr>
        <w:t xml:space="preserve">Министерству имущественных и земельных отношений Республики Саха (Якутия) осуществлять </w:t>
      </w:r>
      <w:r>
        <w:rPr>
          <w:rFonts w:ascii="PT Astra Serif" w:hAnsi="PT Astra Serif"/>
          <w:sz w:val="28"/>
        </w:rPr>
        <w:t xml:space="preserve">предоставление </w:t>
      </w:r>
      <w:r>
        <w:rPr>
          <w:rFonts w:ascii="PT Astra Serif" w:hAnsi="PT Astra Serif"/>
          <w:b w:val="0"/>
          <w:sz w:val="28"/>
        </w:rPr>
        <w:t>государственным учреждениям Республики Саха (Якутия)</w:t>
      </w:r>
      <w:r>
        <w:rPr>
          <w:rFonts w:ascii="PT Astra Serif" w:hAnsi="PT Astra Serif"/>
          <w:sz w:val="28"/>
        </w:rPr>
        <w:t xml:space="preserve"> нежилых</w:t>
      </w:r>
      <w:r>
        <w:rPr>
          <w:rFonts w:ascii="PT Astra Serif" w:hAnsi="PT Astra Serif"/>
          <w:b w:val="0"/>
          <w:sz w:val="28"/>
        </w:rPr>
        <w:t xml:space="preserve"> (</w:t>
      </w:r>
      <w:r>
        <w:rPr>
          <w:rFonts w:ascii="PT Astra Serif" w:hAnsi="PT Astra Serif"/>
          <w:sz w:val="28"/>
        </w:rPr>
        <w:t xml:space="preserve">служебных) помещений, находящихся в государственной собственности Республики Саха (Якутия), в соответствии с </w:t>
      </w:r>
      <w:r>
        <w:rPr>
          <w:rFonts w:ascii="PT Astra Serif" w:hAnsi="PT Astra Serif"/>
          <w:sz w:val="28"/>
        </w:rPr>
        <w:t xml:space="preserve"> нормативами</w:t>
      </w:r>
      <w:r>
        <w:rPr>
          <w:rFonts w:ascii="PT Astra Serif" w:hAnsi="PT Astra Serif"/>
          <w:b w:val="0"/>
          <w:sz w:val="28"/>
        </w:rPr>
        <w:t xml:space="preserve"> по обеспечению нежилыми (служебными) помещениями работников государственных учреждений Республики Саха (Якутия).».</w:t>
      </w:r>
    </w:p>
    <w:p w14:paraId="1C000000">
      <w:pPr>
        <w:widowControl w:val="0"/>
        <w:spacing w:line="276" w:lineRule="auto"/>
        <w:ind w:firstLine="850" w:left="0"/>
        <w:rPr>
          <w:rFonts w:ascii="PT Astra Serif" w:hAnsi="PT Astra Serif"/>
          <w:sz w:val="28"/>
        </w:rPr>
      </w:pPr>
      <w:r>
        <w:rPr>
          <w:sz w:val="28"/>
        </w:rPr>
        <w:t>3.   Опубликовать</w:t>
      </w:r>
      <w:r>
        <w:rPr>
          <w:sz w:val="28"/>
        </w:rPr>
        <w:t xml:space="preserve"> настоящее постановление в официальных </w:t>
      </w:r>
      <w:r>
        <w:rPr>
          <w:sz w:val="28"/>
        </w:rPr>
        <w:t>средствах</w:t>
      </w:r>
      <w:r>
        <w:rPr>
          <w:sz w:val="28"/>
        </w:rPr>
        <w:t xml:space="preserve"> массовой информации.</w:t>
      </w:r>
    </w:p>
    <w:p w14:paraId="1D000000">
      <w:pPr>
        <w:widowControl w:val="0"/>
        <w:spacing w:line="276" w:lineRule="auto"/>
        <w:ind w:firstLine="709" w:left="0"/>
        <w:rPr>
          <w:rFonts w:ascii="PT Astra Serif" w:hAnsi="PT Astra Serif"/>
          <w:sz w:val="28"/>
        </w:rPr>
      </w:pPr>
    </w:p>
    <w:p w14:paraId="1E000000">
      <w:pPr>
        <w:widowControl w:val="0"/>
        <w:spacing w:line="276" w:lineRule="auto"/>
        <w:ind w:firstLine="709" w:left="0"/>
        <w:rPr>
          <w:rFonts w:ascii="PT Astra Serif" w:hAnsi="PT Astra Serif"/>
          <w:sz w:val="28"/>
        </w:rPr>
      </w:pPr>
    </w:p>
    <w:p w14:paraId="1F000000">
      <w:pPr>
        <w:widowControl w:val="0"/>
        <w:spacing w:line="276" w:lineRule="auto"/>
        <w:ind w:firstLine="709" w:left="0"/>
        <w:rPr>
          <w:rFonts w:ascii="PT Astra Serif" w:hAnsi="PT Astra Serif"/>
          <w:sz w:val="28"/>
        </w:rPr>
      </w:pPr>
    </w:p>
    <w:p w14:paraId="20000000">
      <w:pPr>
        <w:widowControl w:val="0"/>
        <w:spacing w:line="276" w:lineRule="auto"/>
        <w:ind w:firstLine="709" w:left="0"/>
        <w:rPr>
          <w:rFonts w:ascii="PT Astra Serif" w:hAnsi="PT Astra Serif"/>
          <w:sz w:val="28"/>
        </w:rPr>
      </w:pPr>
    </w:p>
    <w:p w14:paraId="21000000">
      <w:pPr>
        <w:widowControl w:val="0"/>
        <w:spacing w:line="360" w:lineRule="exact"/>
        <w:ind w:firstLine="567" w:left="0"/>
        <w:contextualSpacing w:val="1"/>
        <w:rPr>
          <w:sz w:val="28"/>
        </w:rPr>
      </w:pPr>
      <w:r>
        <w:rPr>
          <w:sz w:val="28"/>
        </w:rPr>
        <w:t xml:space="preserve"> Председатель Правительства</w:t>
      </w:r>
    </w:p>
    <w:p w14:paraId="22000000">
      <w:pPr>
        <w:widowControl w:val="0"/>
        <w:spacing w:line="360" w:lineRule="exact"/>
        <w:ind w:firstLine="708" w:left="0"/>
        <w:contextualSpacing w:val="1"/>
        <w:rPr>
          <w:sz w:val="28"/>
        </w:rPr>
      </w:pPr>
      <w:r>
        <w:rPr>
          <w:sz w:val="28"/>
        </w:rPr>
        <w:t xml:space="preserve">Республики Саха (Якутия)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К. БЫЧКОВ</w:t>
      </w:r>
    </w:p>
    <w:p w14:paraId="23000000">
      <w:pPr>
        <w:widowControl w:val="0"/>
        <w:spacing w:line="360" w:lineRule="exact"/>
        <w:ind w:firstLine="708" w:left="0"/>
        <w:contextualSpacing w:val="1"/>
        <w:rPr>
          <w:sz w:val="28"/>
        </w:rPr>
      </w:pPr>
    </w:p>
    <w:p w14:paraId="24000000">
      <w:pPr>
        <w:widowControl w:val="0"/>
        <w:spacing w:line="360" w:lineRule="exact"/>
        <w:ind w:firstLine="708" w:left="0"/>
        <w:contextualSpacing w:val="1"/>
        <w:rPr>
          <w:sz w:val="28"/>
        </w:rPr>
      </w:pPr>
    </w:p>
    <w:p w14:paraId="25000000">
      <w:pPr>
        <w:widowControl w:val="0"/>
        <w:spacing w:line="240" w:lineRule="auto"/>
        <w:ind w:firstLine="0" w:left="-589" w:right="120"/>
        <w:jc w:val="right"/>
        <w:rPr>
          <w:sz w:val="24"/>
        </w:rPr>
      </w:pPr>
    </w:p>
    <w:sectPr>
      <w:headerReference r:id="rId1" w:type="default"/>
      <w:footerReference r:id="rId2" w:type="default"/>
      <w:pgSz w:h="16838" w:orient="portrait" w:w="11905"/>
      <w:pgMar w:bottom="1106" w:footer="0" w:gutter="0" w:header="0" w:left="1701" w:right="850" w:top="425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0"/>
      <w:ind/>
      <w:jc w:val="center"/>
    </w:pPr>
    <w:r>
      <w:fldChar w:fldCharType="begin"/>
    </w:r>
    <w:r>
      <w:instrText>PAGE \* Arabic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widowControl w:val="0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.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center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line="360" w:lineRule="auto"/>
      <w:ind w:firstLine="709" w:left="0"/>
      <w:jc w:val="both"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ConsTitle"/>
    <w:link w:val="Style_12_ch"/>
    <w:pPr>
      <w:widowControl w:val="0"/>
      <w:spacing w:line="360" w:lineRule="auto"/>
      <w:ind w:firstLine="709" w:left="0"/>
      <w:jc w:val="both"/>
    </w:pPr>
    <w:rPr>
      <w:rFonts w:ascii="Arial" w:hAnsi="Arial"/>
      <w:b w:val="1"/>
      <w:sz w:val="16"/>
    </w:rPr>
  </w:style>
  <w:style w:styleId="Style_12_ch" w:type="character">
    <w:name w:val="ConsTitle"/>
    <w:link w:val="Style_12"/>
    <w:rPr>
      <w:rFonts w:ascii="Arial" w:hAnsi="Arial"/>
      <w:b w:val="1"/>
      <w:sz w:val="16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3" w:type="paragraph">
    <w:name w:val="Normal (Web)"/>
    <w:basedOn w:val="Style_4"/>
    <w:link w:val="Style_13_ch"/>
    <w:pPr>
      <w:widowControl w:val="0"/>
      <w:spacing w:afterAutospacing="on" w:beforeAutospacing="on" w:line="240" w:lineRule="auto"/>
      <w:ind w:firstLine="0" w:left="0"/>
      <w:jc w:val="left"/>
    </w:pPr>
    <w:rPr>
      <w:sz w:val="24"/>
    </w:rPr>
  </w:style>
  <w:style w:styleId="Style_13_ch" w:type="character">
    <w:name w:val="Normal (Web)"/>
    <w:basedOn w:val="Style_4_ch"/>
    <w:link w:val="Style_13"/>
    <w:rPr>
      <w:sz w:val="24"/>
    </w:rPr>
  </w:style>
  <w:style w:styleId="Style_14" w:type="paragraph">
    <w:name w:val="Block Text"/>
    <w:basedOn w:val="Style_4"/>
    <w:link w:val="Style_14_ch"/>
    <w:pPr>
      <w:widowControl w:val="0"/>
      <w:tabs>
        <w:tab w:leader="none" w:pos="1440" w:val="left"/>
        <w:tab w:leader="none" w:pos="10080" w:val="left"/>
      </w:tabs>
      <w:ind w:firstLine="902" w:left="539" w:right="74"/>
    </w:pPr>
    <w:rPr>
      <w:sz w:val="28"/>
    </w:rPr>
  </w:style>
  <w:style w:styleId="Style_14_ch" w:type="character">
    <w:name w:val="Block Text"/>
    <w:basedOn w:val="Style_4_ch"/>
    <w:link w:val="Style_14"/>
    <w:rPr>
      <w:sz w:val="28"/>
    </w:rPr>
  </w:style>
  <w:style w:styleId="Style_15" w:type="paragraph">
    <w:name w:val="Номер страницы1"/>
    <w:basedOn w:val="Style_16"/>
    <w:link w:val="Style_15_ch"/>
  </w:style>
  <w:style w:styleId="Style_15_ch" w:type="character">
    <w:name w:val="Номер страницы1"/>
    <w:basedOn w:val="Style_16_ch"/>
    <w:link w:val="Style_15"/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ConsPlusTitle"/>
    <w:link w:val="Style_18_ch"/>
    <w:pPr>
      <w:widowControl w:val="0"/>
      <w:spacing w:line="360" w:lineRule="auto"/>
      <w:ind w:firstLine="709" w:left="0"/>
      <w:jc w:val="both"/>
    </w:pPr>
    <w:rPr>
      <w:b w:val="1"/>
    </w:rPr>
  </w:style>
  <w:style w:styleId="Style_18_ch" w:type="character">
    <w:name w:val="ConsPlusTitle"/>
    <w:link w:val="Style_18"/>
    <w:rPr>
      <w:b w:val="1"/>
    </w:rPr>
  </w:style>
  <w:style w:styleId="Style_19" w:type="paragraph">
    <w:name w:val="Body Text Indent 2"/>
    <w:basedOn w:val="Style_4"/>
    <w:link w:val="Style_19_ch"/>
    <w:pPr>
      <w:widowControl w:val="0"/>
      <w:ind w:firstLine="567" w:left="0"/>
      <w:jc w:val="center"/>
    </w:pPr>
    <w:rPr>
      <w:sz w:val="28"/>
    </w:rPr>
  </w:style>
  <w:style w:styleId="Style_19_ch" w:type="character">
    <w:name w:val="Body Text Indent 2"/>
    <w:basedOn w:val="Style_4_ch"/>
    <w:link w:val="Style_19"/>
    <w:rPr>
      <w:sz w:val="28"/>
    </w:rPr>
  </w:style>
  <w:style w:styleId="Style_20" w:type="paragraph">
    <w:name w:val="toc 3"/>
    <w:next w:val="Style_4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4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List Paragraph"/>
    <w:basedOn w:val="Style_4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Body Text Indent"/>
    <w:basedOn w:val="Style_4"/>
    <w:link w:val="Style_23_ch"/>
    <w:pPr>
      <w:widowControl w:val="0"/>
      <w:spacing w:after="120"/>
      <w:ind w:firstLine="0" w:left="283"/>
    </w:pPr>
  </w:style>
  <w:style w:styleId="Style_23_ch" w:type="character">
    <w:name w:val="Body Text Indent"/>
    <w:basedOn w:val="Style_4_ch"/>
    <w:link w:val="Style_23"/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0"/>
      <w:ind/>
      <w:outlineLvl w:val="0"/>
    </w:pPr>
    <w:rPr>
      <w:spacing w:val="80"/>
      <w:sz w:val="32"/>
    </w:rPr>
  </w:style>
  <w:style w:styleId="Style_3_ch" w:type="character">
    <w:name w:val="heading 1"/>
    <w:basedOn w:val="Style_4_ch"/>
    <w:link w:val="Style_3"/>
    <w:rPr>
      <w:spacing w:val="80"/>
      <w:sz w:val="32"/>
    </w:rPr>
  </w:style>
  <w:style w:styleId="Style_24" w:type="paragraph">
    <w:name w:val="Знак1 Знак Знак Знак Знак Знак Знак"/>
    <w:basedOn w:val="Style_4"/>
    <w:link w:val="Style_24_ch"/>
    <w:pPr>
      <w:widowControl w:val="0"/>
      <w:spacing w:after="160" w:line="240" w:lineRule="exact"/>
      <w:ind/>
    </w:pPr>
    <w:rPr>
      <w:rFonts w:ascii="Verdana" w:hAnsi="Verdana"/>
      <w:sz w:val="24"/>
    </w:rPr>
  </w:style>
  <w:style w:styleId="Style_24_ch" w:type="character">
    <w:name w:val="Знак1 Знак Знак Знак Знак Знак Знак"/>
    <w:basedOn w:val="Style_4_ch"/>
    <w:link w:val="Style_24"/>
    <w:rPr>
      <w:rFonts w:ascii="Verdana" w:hAnsi="Verdana"/>
      <w:sz w:val="24"/>
    </w:rPr>
  </w:style>
  <w:style w:styleId="Style_25" w:type="paragraph">
    <w:name w:val="ConsNormal"/>
    <w:link w:val="Style_25_ch"/>
    <w:pPr>
      <w:widowControl w:val="0"/>
      <w:spacing w:line="360" w:lineRule="auto"/>
      <w:ind w:firstLine="720" w:left="0"/>
      <w:jc w:val="both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widowControl w:val="0"/>
      <w:ind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0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toc 9"/>
    <w:next w:val="Style_4"/>
    <w:link w:val="Style_3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Знак1 Знак Знак Знак Знак Знак Знак Знак Знак1 Знак Знак Знак Знак"/>
    <w:basedOn w:val="Style_4"/>
    <w:link w:val="Style_31_ch"/>
    <w:pPr>
      <w:widowControl w:val="0"/>
      <w:spacing w:after="160" w:line="240" w:lineRule="exact"/>
      <w:ind/>
    </w:pPr>
    <w:rPr>
      <w:rFonts w:ascii="Verdana" w:hAnsi="Verdana"/>
      <w:sz w:val="24"/>
    </w:rPr>
  </w:style>
  <w:style w:styleId="Style_31_ch" w:type="character">
    <w:name w:val="Знак1 Знак Знак Знак Знак Знак Знак Знак Знак1 Знак Знак Знак Знак"/>
    <w:basedOn w:val="Style_4_ch"/>
    <w:link w:val="Style_31"/>
    <w:rPr>
      <w:rFonts w:ascii="Verdana" w:hAnsi="Verdana"/>
      <w:sz w:val="24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8"/>
    <w:next w:val="Style_4"/>
    <w:link w:val="Style_3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Гиперссылка1"/>
    <w:basedOn w:val="Style_16"/>
    <w:link w:val="Style_34_ch"/>
    <w:rPr>
      <w:color w:themeColor="hyperlink" w:val="0000FF"/>
      <w:u w:val="single"/>
    </w:rPr>
  </w:style>
  <w:style w:styleId="Style_34_ch" w:type="character">
    <w:name w:val="Гиперссылка1"/>
    <w:basedOn w:val="Style_16_ch"/>
    <w:link w:val="Style_34"/>
    <w:rPr>
      <w:color w:themeColor="hyperlink" w:val="0000FF"/>
      <w:u w:val="single"/>
    </w:rPr>
  </w:style>
  <w:style w:styleId="Style_35" w:type="paragraph">
    <w:name w:val="toc 5"/>
    <w:next w:val="Style_4"/>
    <w:link w:val="Style_3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Cell"/>
    <w:link w:val="Style_36_ch"/>
    <w:pPr>
      <w:widowControl w:val="0"/>
      <w:spacing w:line="360" w:lineRule="auto"/>
      <w:ind w:firstLine="709" w:left="0"/>
      <w:jc w:val="both"/>
    </w:pPr>
    <w:rPr>
      <w:rFonts w:ascii="Arial" w:hAnsi="Arial"/>
    </w:rPr>
  </w:style>
  <w:style w:styleId="Style_36_ch" w:type="character">
    <w:name w:val="ConsPlusCell"/>
    <w:link w:val="Style_36"/>
    <w:rPr>
      <w:rFonts w:ascii="Arial" w:hAnsi="Arial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37" w:type="paragraph">
    <w:name w:val="Subtitle"/>
    <w:next w:val="Style_4"/>
    <w:link w:val="Style_3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Прижатый влево"/>
    <w:basedOn w:val="Style_4"/>
    <w:next w:val="Style_4"/>
    <w:link w:val="Style_38_ch"/>
    <w:pPr>
      <w:widowControl w:val="0"/>
      <w:spacing w:line="240" w:lineRule="auto"/>
      <w:ind w:firstLine="0" w:left="0"/>
      <w:jc w:val="left"/>
    </w:pPr>
    <w:rPr>
      <w:rFonts w:ascii="Arial" w:hAnsi="Arial"/>
      <w:sz w:val="24"/>
    </w:rPr>
  </w:style>
  <w:style w:styleId="Style_38_ch" w:type="character">
    <w:name w:val="Прижатый влево"/>
    <w:basedOn w:val="Style_4_ch"/>
    <w:link w:val="Style_38"/>
    <w:rPr>
      <w:rFonts w:ascii="Arial" w:hAnsi="Arial"/>
      <w:sz w:val="24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9" w:type="paragraph">
    <w:name w:val="Title"/>
    <w:next w:val="Style_4"/>
    <w:link w:val="Style_39_ch"/>
    <w:uiPriority w:val="10"/>
    <w:qFormat/>
    <w:pPr>
      <w:widowControl w:val="0"/>
      <w:spacing w:after="567" w:before="567"/>
      <w:ind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4"/>
    <w:link w:val="Style_4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ConsPlusNonformat"/>
    <w:link w:val="Style_41_ch"/>
    <w:pPr>
      <w:widowControl w:val="0"/>
      <w:spacing w:line="360" w:lineRule="auto"/>
      <w:ind w:firstLine="709" w:left="0"/>
      <w:jc w:val="both"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heading 2"/>
    <w:basedOn w:val="Style_4"/>
    <w:next w:val="Style_4"/>
    <w:link w:val="Style_42_ch"/>
    <w:uiPriority w:val="9"/>
    <w:qFormat/>
    <w:pPr>
      <w:keepNext w:val="1"/>
      <w:widowControl w:val="0"/>
      <w:ind/>
      <w:jc w:val="center"/>
      <w:outlineLvl w:val="1"/>
    </w:pPr>
    <w:rPr>
      <w:sz w:val="28"/>
    </w:rPr>
  </w:style>
  <w:style w:styleId="Style_42_ch" w:type="character">
    <w:name w:val="heading 2"/>
    <w:basedOn w:val="Style_4_ch"/>
    <w:link w:val="Style_42"/>
    <w:rPr>
      <w:sz w:val="28"/>
    </w:rPr>
  </w:style>
  <w:style w:styleId="Style_43" w:type="paragraph">
    <w:name w:val="ConsPlusNormal"/>
    <w:link w:val="Style_43_ch"/>
    <w:pPr>
      <w:widowControl w:val="0"/>
      <w:ind w:firstLine="720" w:left="0"/>
      <w:jc w:val="left"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44" w:type="paragraph">
    <w:name w:val="Body Text"/>
    <w:basedOn w:val="Style_4"/>
    <w:link w:val="Style_44_ch"/>
    <w:pPr>
      <w:widowControl w:val="0"/>
      <w:ind/>
    </w:pPr>
  </w:style>
  <w:style w:styleId="Style_44_ch" w:type="character">
    <w:name w:val="Body Text"/>
    <w:basedOn w:val="Style_4_ch"/>
    <w:link w:val="Style_44"/>
  </w:style>
  <w:style w:styleId="Style_45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2025-10-03T01:02:26Z</dcterms:created>
  <dcterms:modified xsi:type="dcterms:W3CDTF">2025-10-03T05:35:38Z</dcterms:modified>
</cp:coreProperties>
</file>