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</w:p>
    <w:p w14:paraId="04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 проекту постановления Правительства Республики Саха (Якутия) </w:t>
      </w:r>
    </w:p>
    <w:p w14:paraId="06000000">
      <w:pPr>
        <w:widowControl w:val="0"/>
        <w:spacing w:line="240" w:lineRule="auto"/>
        <w:ind/>
        <w:contextualSpacing w:val="1"/>
        <w:jc w:val="center"/>
        <w:rPr>
          <w:b w:val="1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>О внесении изменений в постановление Правительства Республики Саха (Якутия) от 11 января 2011 г. № 6 «О порядке предоставления в безвозмездное пользование и аренду зданий, строений, сооружений и нежилых помещений, находящихся в собственности Республики Саха (Якутия)»</w:t>
      </w:r>
      <w:r>
        <w:rPr>
          <w:rFonts w:ascii="PT Astra Serif" w:hAnsi="PT Astra Serif"/>
          <w:b w:val="1"/>
          <w:sz w:val="28"/>
        </w:rPr>
        <w:br/>
      </w:r>
    </w:p>
    <w:p w14:paraId="07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Правовое обоснование необходимости </w:t>
      </w:r>
      <w:r>
        <w:rPr>
          <w:rFonts w:ascii="Times New Roman" w:hAnsi="Times New Roman"/>
          <w:b w:val="1"/>
          <w:sz w:val="28"/>
        </w:rPr>
        <w:t>принятия акта:</w:t>
      </w:r>
    </w:p>
    <w:p w14:paraId="08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PT Astra Serif" w:hAnsi="PT Astra Serif"/>
          <w:b w:val="0"/>
          <w:sz w:val="28"/>
        </w:rPr>
        <w:t>В целях повышения эффективности предоставления объектов недвижимого имущества, находящихся в государственной собственности Республики Саха (Якутия), в безвозмездное пользование и аренду п</w:t>
      </w:r>
      <w:r>
        <w:rPr>
          <w:rFonts w:ascii="PT Astra Serif" w:hAnsi="PT Astra Serif"/>
          <w:b w:val="0"/>
          <w:sz w:val="28"/>
        </w:rPr>
        <w:t xml:space="preserve">остановлением Правительства </w:t>
      </w:r>
      <w:r>
        <w:rPr>
          <w:rStyle w:val="Style_3_ch"/>
          <w:rFonts w:ascii="PT Astra Serif" w:hAnsi="PT Astra Serif"/>
          <w:b w:val="0"/>
          <w:sz w:val="28"/>
        </w:rPr>
        <w:t>Республики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Саха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(Якутия)</w:t>
      </w:r>
      <w:r>
        <w:rPr>
          <w:rFonts w:ascii="PT Astra Serif" w:hAnsi="PT Astra Serif"/>
          <w:b w:val="0"/>
          <w:sz w:val="28"/>
        </w:rPr>
        <w:t xml:space="preserve"> от 11 января 2011 г. № 6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утвержден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Порядок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>предоставления в безвозмездное пользование зданий, строений, сооружений и нежилых помещений, находящихся в государственной собственности Республики Саха (Якутия).</w:t>
      </w:r>
    </w:p>
    <w:p w14:paraId="09000000">
      <w:pPr>
        <w:widowControl w:val="0"/>
        <w:spacing w:after="0" w:line="264" w:lineRule="auto"/>
        <w:ind w:firstLine="709" w:left="0" w:right="108"/>
        <w:jc w:val="both"/>
        <w:rPr>
          <w:rFonts w:ascii="PT Astra Serif" w:hAnsi="PT Astra Serif"/>
          <w:b w:val="0"/>
          <w:sz w:val="28"/>
        </w:rPr>
      </w:pPr>
      <w:r>
        <w:rPr>
          <w:rStyle w:val="Style_3_ch"/>
          <w:rFonts w:ascii="PT Astra Serif" w:hAnsi="PT Astra Serif"/>
          <w:b w:val="0"/>
          <w:sz w:val="28"/>
        </w:rPr>
        <w:t>В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этой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связи,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Правительство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Республики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Саха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(Якутия)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уполномочено</w:t>
      </w:r>
      <w:r>
        <w:rPr>
          <w:rStyle w:val="Style_3_ch"/>
          <w:rFonts w:ascii="PT Astra Serif" w:hAnsi="PT Astra Serif"/>
          <w:b w:val="0"/>
          <w:sz w:val="28"/>
        </w:rPr>
        <w:t xml:space="preserve"> </w:t>
      </w:r>
      <w:r>
        <w:rPr>
          <w:rStyle w:val="Style_3_ch"/>
          <w:rFonts w:ascii="PT Astra Serif" w:hAnsi="PT Astra Serif"/>
          <w:b w:val="0"/>
          <w:sz w:val="28"/>
        </w:rPr>
        <w:t>принимать</w:t>
      </w:r>
      <w:r>
        <w:rPr>
          <w:rStyle w:val="Style_3_ch"/>
          <w:rFonts w:ascii="PT Astra Serif" w:hAnsi="PT Astra Serif"/>
          <w:b w:val="0"/>
          <w:sz w:val="28"/>
        </w:rPr>
        <w:t xml:space="preserve"> проект постановления,</w:t>
      </w:r>
      <w:r>
        <w:rPr>
          <w:rStyle w:val="Style_3_ch"/>
          <w:rFonts w:ascii="PT Astra Serif" w:hAnsi="PT Astra Serif"/>
          <w:b w:val="0"/>
          <w:sz w:val="28"/>
        </w:rPr>
        <w:t xml:space="preserve"> связанного с </w:t>
      </w:r>
      <w:r>
        <w:rPr>
          <w:rFonts w:ascii="PT Astra Serif" w:hAnsi="PT Astra Serif"/>
          <w:b w:val="0"/>
          <w:sz w:val="28"/>
        </w:rPr>
        <w:t xml:space="preserve">управлением </w:t>
      </w:r>
      <w:r>
        <w:rPr>
          <w:rFonts w:ascii="PT Astra Serif" w:hAnsi="PT Astra Serif"/>
          <w:b w:val="0"/>
          <w:spacing w:val="-1"/>
          <w:sz w:val="28"/>
        </w:rPr>
        <w:t>государственной собственностью Республики Саха (Якутия), в</w:t>
      </w:r>
      <w:r>
        <w:rPr>
          <w:rFonts w:ascii="PT Astra Serif" w:hAnsi="PT Astra Serif"/>
          <w:b w:val="0"/>
          <w:sz w:val="28"/>
        </w:rPr>
        <w:t xml:space="preserve"> целях повышения эффективности использования объектов недвижимого имущества, находящихся в государственной собственности Республики Саха (Якутия).</w:t>
      </w:r>
    </w:p>
    <w:p w14:paraId="0A000000">
      <w:pPr>
        <w:widowControl w:val="0"/>
        <w:spacing w:after="0" w:line="264" w:lineRule="auto"/>
        <w:ind w:firstLine="709" w:left="0"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 Основание для подготовки и внесения акта:</w:t>
      </w:r>
    </w:p>
    <w:p w14:paraId="0B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разработан в соответствии с:</w:t>
      </w:r>
    </w:p>
    <w:p w14:paraId="0C000000">
      <w:pPr>
        <w:widowControl w:val="0"/>
        <w:numPr>
          <w:ilvl w:val="0"/>
          <w:numId w:val="1"/>
        </w:numPr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sz w:val="28"/>
        </w:rPr>
        <w:t>постановлением Правительства Республики Саха (Якутия) от 20 декабря 2023 г. № 608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«Об утверждении Правил размещения органов государственной власти Республики Саха (Якутия), государственных учреждений Республики Саха (Якутия) и государственных унитарных предприятий Республики Саха (Якутия) в нежилых помещениях, находящихся в государственной собственности Республики Саха (Якутия), и порядка согласования проведения капитального ремонта, перепланировки и реконструкции нежилых помещений, находящихся в государственной собственности Республики Саха (Якутия)»;</w:t>
      </w:r>
    </w:p>
    <w:p w14:paraId="0D000000">
      <w:pPr>
        <w:widowControl w:val="0"/>
        <w:numPr>
          <w:ilvl w:val="0"/>
          <w:numId w:val="2"/>
        </w:numPr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пунктом 1.6 Перечня поручений Главы Республики Саха (Якутия) от 16 сентября 2025 г. № Пр-1453-А1, по итогам совещания по производительности труда государственных органов и государственных учреждений </w:t>
      </w:r>
      <w:r>
        <w:rPr>
          <w:rFonts w:ascii="PT Astra Serif" w:hAnsi="PT Astra Serif"/>
          <w:sz w:val="28"/>
        </w:rPr>
        <w:t xml:space="preserve">Республики Саха (Якутия) </w:t>
      </w:r>
      <w:r>
        <w:rPr>
          <w:rFonts w:ascii="PT Astra Serif" w:hAnsi="PT Astra Serif"/>
          <w:sz w:val="28"/>
        </w:rPr>
        <w:t>от 12 сентября 2025 г.;</w:t>
      </w:r>
    </w:p>
    <w:p w14:paraId="0E000000">
      <w:pPr>
        <w:widowControl w:val="0"/>
        <w:numPr>
          <w:ilvl w:val="0"/>
          <w:numId w:val="2"/>
        </w:numPr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перечнем поручений Председателя Правительства Республики Саха (Якутия) </w:t>
      </w:r>
      <w:r>
        <w:rPr>
          <w:rFonts w:ascii="PT Astra Serif" w:hAnsi="PT Astra Serif"/>
          <w:b w:val="0"/>
          <w:spacing w:val="-1"/>
          <w:sz w:val="28"/>
        </w:rPr>
        <w:t xml:space="preserve">по оптимизации управления государственным имуществом 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pacing w:val="-1"/>
          <w:sz w:val="28"/>
        </w:rPr>
        <w:t xml:space="preserve">Республики Саха (Якутия) </w:t>
      </w:r>
      <w:r>
        <w:rPr>
          <w:rFonts w:ascii="PT Astra Serif" w:hAnsi="PT Astra Serif"/>
          <w:b w:val="0"/>
          <w:spacing w:val="-1"/>
          <w:sz w:val="28"/>
        </w:rPr>
        <w:t>(РКПД №</w:t>
      </w:r>
      <w:r>
        <w:rPr>
          <w:rFonts w:ascii="PT Astra Serif" w:hAnsi="PT Astra Serif"/>
          <w:sz w:val="28"/>
        </w:rPr>
        <w:t xml:space="preserve"> 99 от 15 сентября 2025 г.).</w:t>
      </w:r>
    </w:p>
    <w:p w14:paraId="0F000000">
      <w:pPr>
        <w:widowControl w:val="0"/>
        <w:numPr>
          <w:ilvl w:val="0"/>
          <w:numId w:val="2"/>
        </w:numPr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письмом Министерства предпринимательства, торговли и туризма Республики Саха (Якутия) от 2 октября 2025 № 01-5599. </w:t>
      </w:r>
    </w:p>
    <w:p w14:paraId="10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В соответствии с подпунктом 4) пункта 7.1 Регламента Правительства Республики Саха (Якутия), утвержденного постановление</w:t>
      </w:r>
      <w:r>
        <w:rPr>
          <w:rFonts w:ascii="PT Astra Serif" w:hAnsi="PT Astra Serif"/>
          <w:sz w:val="28"/>
        </w:rPr>
        <w:t>м Правительства Республики Саха (Якутия) от 03 ноября 2010 г. № 490, проект постановления вносится в опросном порядке как проект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требующий оперативного решения Правительства Республики Саха (Якутия).</w:t>
      </w:r>
    </w:p>
    <w:p w14:paraId="11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>Цели, задачи и предмет правового регулирования акта</w:t>
      </w:r>
      <w:r>
        <w:rPr>
          <w:rFonts w:ascii="Times New Roman" w:hAnsi="Times New Roman"/>
          <w:b w:val="1"/>
          <w:sz w:val="28"/>
        </w:rPr>
        <w:t>:</w:t>
      </w:r>
    </w:p>
    <w:p w14:paraId="12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>ю проекта постановления являе</w:t>
      </w:r>
      <w:r>
        <w:rPr>
          <w:rFonts w:ascii="Times New Roman" w:hAnsi="Times New Roman"/>
          <w:sz w:val="28"/>
        </w:rPr>
        <w:t>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рациональное и эффективное использование государственного имущества Республики Саха (Якутия), а также </w:t>
      </w:r>
      <w:r>
        <w:rPr>
          <w:rFonts w:ascii="PT Astra Serif" w:hAnsi="PT Astra Serif"/>
          <w:b w:val="0"/>
          <w:spacing w:val="-1"/>
          <w:sz w:val="28"/>
        </w:rPr>
        <w:t xml:space="preserve">сокращение расходов государственного бюджета Республики Саха (Якутия), </w:t>
      </w:r>
      <w:r>
        <w:rPr>
          <w:rFonts w:ascii="PT Astra Serif" w:hAnsi="PT Astra Serif"/>
          <w:sz w:val="28"/>
        </w:rPr>
        <w:t xml:space="preserve">связанных </w:t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pacing w:val="-1"/>
          <w:sz w:val="28"/>
        </w:rPr>
        <w:t>опт</w:t>
      </w:r>
      <w:r>
        <w:rPr>
          <w:rFonts w:ascii="PT Astra Serif" w:hAnsi="PT Astra Serif"/>
          <w:spacing w:val="-1"/>
          <w:sz w:val="28"/>
        </w:rPr>
        <w:t>имизацией</w:t>
      </w:r>
      <w:r>
        <w:rPr>
          <w:rFonts w:ascii="PT Astra Serif" w:hAnsi="PT Astra Serif"/>
          <w:spacing w:val="-1"/>
          <w:sz w:val="28"/>
        </w:rPr>
        <w:t xml:space="preserve"> управления государственным имуществом Республики Саха (Якутия).</w:t>
      </w:r>
    </w:p>
    <w:p w14:paraId="13000000">
      <w:pPr>
        <w:widowControl w:val="0"/>
        <w:spacing w:after="0" w:line="264" w:lineRule="auto"/>
        <w:ind w:firstLine="709" w:left="0" w:right="1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Задачей проекта </w:t>
      </w:r>
      <w:r>
        <w:rPr>
          <w:rFonts w:ascii="Times New Roman" w:hAnsi="Times New Roman"/>
          <w:sz w:val="28"/>
        </w:rPr>
        <w:t xml:space="preserve">постановления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является принятие мер, регулирующих процессы по управлению государственной собственностью Республики Саха (Якутия), в целях оптимизации расходов государственного бюджета Республики Саха (Якутия) на содержание </w:t>
      </w:r>
      <w:r>
        <w:rPr>
          <w:rFonts w:ascii="PT Astra Serif" w:hAnsi="PT Astra Serif"/>
          <w:spacing w:val="-1"/>
          <w:sz w:val="28"/>
        </w:rPr>
        <w:t>государственного имущества Республики Саха (Якутия).</w:t>
      </w:r>
    </w:p>
    <w:p w14:paraId="14000000">
      <w:pPr>
        <w:widowControl w:val="0"/>
        <w:spacing w:after="0" w:line="264" w:lineRule="auto"/>
        <w:ind w:firstLine="709" w:left="0" w:right="108"/>
        <w:jc w:val="both"/>
        <w:rPr>
          <w:rFonts w:ascii="PT Astra Serif" w:hAnsi="PT Astra Serif"/>
          <w:sz w:val="28"/>
        </w:rPr>
      </w:pPr>
      <w:r>
        <w:rPr>
          <w:rStyle w:val="Style_3_ch"/>
          <w:rFonts w:ascii="Times New Roman" w:hAnsi="Times New Roman"/>
          <w:sz w:val="28"/>
        </w:rPr>
        <w:t>Предметом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правового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регулирования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акта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являются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правоотношения,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связанные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по управлению </w:t>
      </w:r>
      <w:r>
        <w:rPr>
          <w:rFonts w:ascii="PT Astra Serif" w:hAnsi="PT Astra Serif"/>
          <w:b w:val="0"/>
          <w:spacing w:val="-1"/>
          <w:sz w:val="28"/>
        </w:rPr>
        <w:t xml:space="preserve">государственной собственностью Республики Саха (Якутия), </w:t>
      </w:r>
      <w:r>
        <w:rPr>
          <w:rFonts w:ascii="PT Astra Serif" w:hAnsi="PT Astra Serif"/>
          <w:b w:val="0"/>
          <w:sz w:val="28"/>
        </w:rPr>
        <w:t xml:space="preserve">связанных </w:t>
      </w:r>
      <w:r>
        <w:rPr>
          <w:rFonts w:ascii="PT Astra Serif" w:hAnsi="PT Astra Serif"/>
          <w:b w:val="0"/>
          <w:sz w:val="28"/>
        </w:rPr>
        <w:t xml:space="preserve">с </w:t>
      </w:r>
      <w:r>
        <w:rPr>
          <w:rFonts w:ascii="PT Astra Serif" w:hAnsi="PT Astra Serif"/>
          <w:b w:val="0"/>
          <w:spacing w:val="-1"/>
          <w:sz w:val="28"/>
        </w:rPr>
        <w:t>опт</w:t>
      </w:r>
      <w:r>
        <w:rPr>
          <w:rFonts w:ascii="PT Astra Serif" w:hAnsi="PT Astra Serif"/>
          <w:b w:val="0"/>
          <w:spacing w:val="-1"/>
          <w:sz w:val="28"/>
        </w:rPr>
        <w:t>имизацией</w:t>
      </w:r>
      <w:r>
        <w:rPr>
          <w:rFonts w:ascii="PT Astra Serif" w:hAnsi="PT Astra Serif"/>
          <w:b w:val="0"/>
          <w:spacing w:val="-1"/>
          <w:sz w:val="28"/>
        </w:rPr>
        <w:t xml:space="preserve"> расходов государственного бюджета Республики Саха (Якутия).</w:t>
      </w:r>
    </w:p>
    <w:p w14:paraId="15000000">
      <w:pPr>
        <w:widowControl w:val="0"/>
        <w:spacing w:after="0" w:line="264" w:lineRule="auto"/>
        <w:ind w:firstLine="709" w:left="0" w:right="108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В соответствии с предложением Министерства предпринимательства, торговли и туризма Республики Саха (Якутия), поступившего письмом от 2 октября 2</w:t>
      </w:r>
      <w:r>
        <w:rPr>
          <w:rFonts w:ascii="PT Astra Serif" w:hAnsi="PT Astra Serif"/>
          <w:sz w:val="28"/>
        </w:rPr>
        <w:t>025 № 01-5599, отменяется льгота, установленная для субъектов малого и среднего предпринимательства и организациям, образующим инфраструк</w:t>
      </w:r>
      <w:r>
        <w:rPr>
          <w:rFonts w:ascii="PT Astra Serif" w:hAnsi="PT Astra Serif"/>
          <w:sz w:val="28"/>
        </w:rPr>
        <w:t>туру их поддержки, в виде снижения арендной платы в размере</w:t>
      </w:r>
      <w:r>
        <w:rPr>
          <w:rFonts w:ascii="PT Astra Serif" w:hAnsi="PT Astra Serif"/>
          <w:b w:val="0"/>
          <w:sz w:val="28"/>
        </w:rPr>
        <w:t xml:space="preserve"> 40 процентов.</w:t>
      </w:r>
    </w:p>
    <w:p w14:paraId="16000000">
      <w:pPr>
        <w:widowControl w:val="0"/>
        <w:spacing w:after="0" w:line="264" w:lineRule="auto"/>
        <w:ind w:firstLine="709" w:left="0" w:right="1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Отмена вышеуказанной льготы способствует у</w:t>
      </w:r>
      <w:r>
        <w:rPr>
          <w:rFonts w:ascii="PT Astra Serif" w:hAnsi="PT Astra Serif"/>
          <w:sz w:val="28"/>
        </w:rPr>
        <w:t xml:space="preserve">величению доходов государственных </w:t>
      </w:r>
      <w:r>
        <w:rPr>
          <w:rFonts w:ascii="PT Astra Serif" w:hAnsi="PT Astra Serif"/>
          <w:sz w:val="28"/>
        </w:rPr>
        <w:t xml:space="preserve">учреждений </w:t>
      </w:r>
      <w:r>
        <w:rPr>
          <w:rFonts w:ascii="PT Astra Serif" w:hAnsi="PT Astra Serif"/>
          <w:sz w:val="28"/>
        </w:rPr>
        <w:t>Республики Саха (Якутия) в виде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арендных платежей за пользование государственным имуществом, а также </w:t>
      </w:r>
      <w:r>
        <w:rPr>
          <w:rFonts w:ascii="PT Astra Serif" w:hAnsi="PT Astra Serif"/>
          <w:sz w:val="28"/>
        </w:rPr>
        <w:t>в увеличение доходной части государстве</w:t>
      </w:r>
      <w:r>
        <w:rPr>
          <w:rFonts w:ascii="PT Astra Serif" w:hAnsi="PT Astra Serif"/>
          <w:sz w:val="28"/>
        </w:rPr>
        <w:t>нного бюджета Республики Саха (Якутия), поступающих в виде арендных платежей от использования имущества казны республики.</w:t>
      </w:r>
    </w:p>
    <w:p w14:paraId="17000000">
      <w:pPr>
        <w:widowControl w:val="0"/>
        <w:spacing w:after="0" w:line="264" w:lineRule="auto"/>
        <w:ind w:firstLine="709" w:left="0" w:right="1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>Кроме тог</w:t>
      </w:r>
      <w:r>
        <w:rPr>
          <w:rFonts w:ascii="PT Astra Serif" w:hAnsi="PT Astra Serif"/>
          <w:b w:val="0"/>
          <w:sz w:val="28"/>
        </w:rPr>
        <w:t>о, проектом постановления устанавливаются запреты на заключение дого</w:t>
      </w:r>
      <w:r>
        <w:rPr>
          <w:rFonts w:ascii="PT Astra Serif" w:hAnsi="PT Astra Serif"/>
          <w:b w:val="0"/>
          <w:sz w:val="28"/>
        </w:rPr>
        <w:t xml:space="preserve">воров аренды государственного имущества </w:t>
      </w:r>
      <w:r>
        <w:rPr>
          <w:rFonts w:ascii="PT Astra Serif" w:hAnsi="PT Astra Serif"/>
          <w:sz w:val="28"/>
        </w:rPr>
        <w:t>Республики Саха (Якутия)</w:t>
      </w:r>
      <w:r>
        <w:rPr>
          <w:rFonts w:ascii="PT Astra Serif" w:hAnsi="PT Astra Serif"/>
          <w:b w:val="0"/>
          <w:sz w:val="28"/>
        </w:rPr>
        <w:t xml:space="preserve"> между государственными учреждениями, а также</w:t>
      </w:r>
      <w:r>
        <w:rPr>
          <w:rFonts w:ascii="PT Astra Serif" w:hAnsi="PT Astra Serif"/>
          <w:b w:val="0"/>
          <w:sz w:val="28"/>
        </w:rPr>
        <w:t xml:space="preserve"> муниципальными образованиями, организациями в отношении муниципальной собственности. </w:t>
      </w:r>
    </w:p>
    <w:p w14:paraId="18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Структура п</w:t>
      </w:r>
      <w:r>
        <w:rPr>
          <w:rFonts w:ascii="Times New Roman" w:hAnsi="Times New Roman"/>
          <w:b w:val="1"/>
          <w:sz w:val="28"/>
        </w:rPr>
        <w:t>роекта решения:</w:t>
      </w:r>
    </w:p>
    <w:p w14:paraId="19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состоит из преамбулы, 3 пунктов</w:t>
      </w:r>
      <w:r>
        <w:rPr>
          <w:rFonts w:ascii="Times New Roman" w:hAnsi="Times New Roman"/>
          <w:b w:val="1"/>
          <w:sz w:val="28"/>
        </w:rPr>
        <w:t>.</w:t>
      </w:r>
    </w:p>
    <w:p w14:paraId="1A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5. Правовые акты, в которые вносятся или предполагается внести изменения:</w:t>
      </w:r>
    </w:p>
    <w:p w14:paraId="1B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ринятие</w:t>
      </w:r>
      <w:r>
        <w:rPr>
          <w:rFonts w:ascii="PT Astra Serif" w:hAnsi="PT Astra Serif"/>
          <w:sz w:val="28"/>
        </w:rPr>
        <w:t xml:space="preserve"> настоящего постановления </w:t>
      </w:r>
      <w:r>
        <w:rPr>
          <w:rFonts w:ascii="PT Astra Serif" w:hAnsi="PT Astra Serif"/>
          <w:sz w:val="28"/>
        </w:rPr>
        <w:t>не влечет за собой внесения изменений, признание утратившим силу и принятия нормативных правовых актов Республики Саха (Якутия).</w:t>
      </w:r>
    </w:p>
    <w:p w14:paraId="1C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Прогноз ожидаемых социально-экономических, экологических и иных последствий от реализации решен</w:t>
      </w:r>
      <w:r>
        <w:rPr>
          <w:rFonts w:ascii="Times New Roman" w:hAnsi="Times New Roman"/>
          <w:b w:val="1"/>
          <w:sz w:val="28"/>
        </w:rPr>
        <w:t>ия:</w:t>
      </w:r>
    </w:p>
    <w:p w14:paraId="1D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Проект постановления направлен на повышение эффективности использования государственного имущества за счет увеличения доходов от внебюджетной деятельности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государственных учреждений, что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 также способствует увеличению доходной части государственного бюджета Республики Саха (Якутия) за счет более рационального управления имуществом казны республики.</w:t>
      </w:r>
    </w:p>
    <w:p w14:paraId="1E000000">
      <w:pPr>
        <w:widowControl w:val="0"/>
        <w:spacing w:after="0" w:line="360" w:lineRule="exact"/>
        <w:ind w:firstLine="709" w:left="0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z w:val="28"/>
        </w:rPr>
        <w:t>Перечень запретов сформированы в рамках объективно обусловленных ограничений, в том числе в условиях существующей экономической ситуации и ограниченности средств государственного бюджета Республики Саха (Якутия), недостаточности средств на исполнение первоочередных социальных расходов и действующих расходных обязательств.</w:t>
      </w:r>
    </w:p>
    <w:p w14:paraId="1F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Источник финансирования:</w:t>
      </w:r>
    </w:p>
    <w:p w14:paraId="20000000">
      <w:pPr>
        <w:widowControl w:val="0"/>
        <w:tabs>
          <w:tab w:leader="none" w:pos="709" w:val="left"/>
        </w:tabs>
        <w:spacing w:after="0" w:line="36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постановления</w:t>
      </w:r>
      <w:r>
        <w:rPr>
          <w:rFonts w:ascii="Times New Roman" w:hAnsi="Times New Roman"/>
          <w:sz w:val="28"/>
        </w:rPr>
        <w:t xml:space="preserve"> не влечет расходов государственного бюджета Республики Саха (Якутия).</w:t>
      </w:r>
    </w:p>
    <w:p w14:paraId="21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2471"/>
        <w:gridCol w:w="4034"/>
        <w:gridCol w:w="3132"/>
      </w:tblGrid>
      <w:tr>
        <w:trPr>
          <w:trHeight w:hRule="atLeast" w:val="1966"/>
        </w:trPr>
        <w:tc>
          <w:tcPr>
            <w:tcW w:type="dxa" w:w="247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2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bookmarkStart w:id="1" w:name="SIGNERPOST1"/>
            <w:r>
              <w:rPr>
                <w:rFonts w:ascii="Times New Roman" w:hAnsi="Times New Roman"/>
                <w:sz w:val="28"/>
              </w:rPr>
              <w:t>Должность</w:t>
            </w:r>
            <w:bookmarkEnd w:id="1"/>
          </w:p>
        </w:tc>
        <w:tc>
          <w:tcPr>
            <w:tcW w:type="dxa" w:w="40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i w:val="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sz w:val="28"/>
              </w:rPr>
              <w:t>подпись</w:t>
            </w:r>
            <w:bookmarkEnd w:id="2"/>
          </w:p>
        </w:tc>
        <w:tc>
          <w:tcPr>
            <w:tcW w:type="dxa" w:w="313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4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bookmarkStart w:id="3" w:name="SIGNERNAME1"/>
            <w:r>
              <w:rPr>
                <w:rFonts w:ascii="Times New Roman" w:hAnsi="Times New Roman"/>
                <w:sz w:val="28"/>
              </w:rPr>
              <w:t>ФИО</w:t>
            </w:r>
            <w:bookmarkEnd w:id="3"/>
          </w:p>
        </w:tc>
      </w:tr>
    </w:tbl>
    <w:p w14:paraId="25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0"/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28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0"/>
        <w:spacing w:after="0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Исп.: Балданова Т.К.</w:t>
      </w:r>
    </w:p>
    <w:p w14:paraId="2B000000">
      <w:pPr>
        <w:widowControl w:val="0"/>
        <w:spacing w:after="0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Тел:34-45-43, </w:t>
      </w:r>
      <w:r>
        <w:rPr>
          <w:rFonts w:ascii="Times New Roman" w:hAnsi="Times New Roman"/>
          <w:i w:val="1"/>
          <w:sz w:val="20"/>
        </w:rPr>
        <w:t>ip</w:t>
      </w:r>
      <w:r>
        <w:rPr>
          <w:rFonts w:ascii="Times New Roman" w:hAnsi="Times New Roman"/>
          <w:i w:val="1"/>
          <w:sz w:val="20"/>
        </w:rPr>
        <w:t>: 6-46-62</w:t>
      </w:r>
    </w:p>
    <w:p w14:paraId="2C000000">
      <w:pPr>
        <w:widowControl w:val="0"/>
        <w:spacing w:after="0"/>
        <w:ind/>
        <w:jc w:val="both"/>
        <w:rPr>
          <w:rFonts w:ascii="Times New Roman" w:hAnsi="Times New Roman"/>
          <w:i w:val="1"/>
          <w:sz w:val="20"/>
        </w:rPr>
      </w:pPr>
    </w:p>
    <w:p w14:paraId="2D000000">
      <w:pPr>
        <w:widowControl w:val="0"/>
        <w:spacing w:after="0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Исп.: Богарытова Т.П.</w:t>
      </w:r>
    </w:p>
    <w:p w14:paraId="2E000000">
      <w:pPr>
        <w:widowControl w:val="0"/>
        <w:spacing w:after="0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Тел:34-45-43, </w:t>
      </w:r>
      <w:r>
        <w:rPr>
          <w:rFonts w:ascii="Times New Roman" w:hAnsi="Times New Roman"/>
          <w:i w:val="1"/>
          <w:sz w:val="20"/>
        </w:rPr>
        <w:t>ip</w:t>
      </w:r>
      <w:r>
        <w:rPr>
          <w:rFonts w:ascii="Times New Roman" w:hAnsi="Times New Roman"/>
          <w:i w:val="1"/>
          <w:sz w:val="20"/>
        </w:rPr>
        <w:t>: 6-46-61</w:t>
      </w:r>
    </w:p>
    <w:p w14:paraId="2F000000">
      <w:pPr>
        <w:widowControl w:val="0"/>
        <w:spacing w:after="0"/>
        <w:ind/>
        <w:jc w:val="both"/>
        <w:rPr>
          <w:rFonts w:ascii="Times New Roman" w:hAnsi="Times New Roman"/>
          <w:i w:val="1"/>
          <w:sz w:val="20"/>
        </w:rPr>
      </w:pPr>
    </w:p>
    <w:sectPr>
      <w:headerReference r:id="rId1" w:type="default"/>
      <w:pgSz w:h="16838" w:orient="portrait" w:w="11906"/>
      <w:pgMar w:bottom="680" w:footer="709" w:gutter="0" w:header="709" w:left="1418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center"/>
    </w:pPr>
    <w:r>
      <w:rPr>
        <w:rStyle w:val="Style_1_ch"/>
        <w:rFonts w:ascii="Times New Roman" w:hAnsi="Times New Roman"/>
      </w:rPr>
      <w:fldChar w:fldCharType="begin"/>
    </w:r>
    <w:r>
      <w:rPr>
        <w:rStyle w:val="Style_1_ch"/>
        <w:rFonts w:ascii="Times New Roman" w:hAnsi="Times New Roman"/>
      </w:rPr>
      <w:instrText xml:space="preserve">PAGE </w:instrText>
    </w:r>
    <w:r>
      <w:rPr>
        <w:rStyle w:val="Style_1_ch"/>
        <w:rFonts w:ascii="Times New Roman" w:hAnsi="Times New Roman"/>
      </w:rPr>
      <w:fldChar w:fldCharType="separate"/>
    </w:r>
    <w:r>
      <w:rPr>
        <w:rStyle w:val="Style_1_ch"/>
        <w:rFonts w:ascii="Times New Roman" w:hAnsi="Times New Roman"/>
      </w:rPr>
      <w:t xml:space="preserve"> </w:t>
    </w:r>
    <w:r>
      <w:rPr>
        <w:rStyle w:val="Style_1_ch"/>
        <w:rFonts w:ascii="Times New Roman" w:hAnsi="Times New Roman"/>
      </w:rPr>
      <w:fldChar w:fldCharType="end"/>
    </w:r>
  </w:p>
  <w:p w14:paraId="02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suff w:val="tab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3_ch"/>
    <w:link w:val="Style_2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widowControl w:val="0"/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Unresolved Mention"/>
    <w:basedOn w:val="Style_13"/>
    <w:link w:val="Style_12_ch"/>
    <w:rPr>
      <w:color w:val="605E5C"/>
      <w:shd w:fill="E1DFDD" w:val="clear"/>
    </w:rPr>
  </w:style>
  <w:style w:styleId="Style_12_ch" w:type="character">
    <w:name w:val="Unresolved Mention"/>
    <w:basedOn w:val="Style_13_ch"/>
    <w:link w:val="Style_12"/>
    <w:rPr>
      <w:color w:val="605E5C"/>
      <w:shd w:fill="E1DFDD" w:val="clear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Знак сноски1"/>
    <w:link w:val="Style_14_ch"/>
    <w:rPr>
      <w:vertAlign w:val="superscript"/>
    </w:rPr>
  </w:style>
  <w:style w:styleId="Style_14_ch" w:type="character">
    <w:name w:val="Знак сноски1"/>
    <w:link w:val="Style_14"/>
    <w:rPr>
      <w:vertAlign w:val="superscript"/>
    </w:rPr>
  </w:style>
  <w:style w:styleId="Style_15" w:type="paragraph">
    <w:name w:val="toc 3"/>
    <w:next w:val="Style_3"/>
    <w:link w:val="Style_15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eading 5"/>
    <w:next w:val="Style_3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oter"/>
    <w:basedOn w:val="Style_3"/>
    <w:link w:val="Style_18_ch"/>
    <w:pPr>
      <w:widowControl w:val="0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3_ch"/>
    <w:link w:val="Style_18"/>
  </w:style>
  <w:style w:styleId="Style_19" w:type="paragraph">
    <w:name w:val="heading 1"/>
    <w:next w:val="Style_3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" w:type="paragraph">
    <w:name w:val="Номер страницы1"/>
    <w:basedOn w:val="Style_13"/>
    <w:link w:val="Style_1_ch"/>
  </w:style>
  <w:style w:styleId="Style_1_ch" w:type="character">
    <w:name w:val="Номер страницы1"/>
    <w:basedOn w:val="Style_13_ch"/>
    <w:link w:val="Style_1"/>
  </w:style>
  <w:style w:styleId="Style_20" w:type="paragraph">
    <w:name w:val="Гиперссылка1"/>
    <w:link w:val="Style_20_ch"/>
    <w:rPr>
      <w:color w:val="000080"/>
      <w:u w:val="single"/>
    </w:rPr>
  </w:style>
  <w:style w:styleId="Style_20_ch" w:type="character">
    <w:name w:val="Гиперссылка1"/>
    <w:link w:val="Style_20"/>
    <w:rPr>
      <w:color w:val="000080"/>
      <w:u w:val="single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3"/>
    <w:link w:val="Style_22_ch"/>
    <w:rPr>
      <w:sz w:val="20"/>
    </w:rPr>
  </w:style>
  <w:style w:styleId="Style_22_ch" w:type="character">
    <w:name w:val="Footnote"/>
    <w:basedOn w:val="Style_3_ch"/>
    <w:link w:val="Style_22"/>
    <w:rPr>
      <w:sz w:val="20"/>
    </w:rPr>
  </w:style>
  <w:style w:styleId="Style_23" w:type="paragraph">
    <w:name w:val="toc 1"/>
    <w:next w:val="Style_3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ind/>
      <w:jc w:val="both"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ConsPlusTitle"/>
    <w:link w:val="Style_30_ch"/>
    <w:pPr>
      <w:widowControl w:val="0"/>
      <w:ind/>
    </w:pPr>
    <w:rPr>
      <w:rFonts w:ascii="Arial" w:hAnsi="Arial"/>
      <w:b w:val="1"/>
    </w:rPr>
  </w:style>
  <w:style w:styleId="Style_30_ch" w:type="character">
    <w:name w:val="ConsPlusTitle"/>
    <w:link w:val="Style_30"/>
    <w:rPr>
      <w:rFonts w:ascii="Arial" w:hAnsi="Arial"/>
      <w:b w:val="1"/>
    </w:rPr>
  </w:style>
  <w:style w:styleId="Style_31" w:type="paragraph">
    <w:name w:val="Обычный1"/>
    <w:link w:val="Style_31_ch"/>
    <w:rPr>
      <w:rFonts w:ascii="Calibri" w:hAnsi="Calibri"/>
      <w:sz w:val="22"/>
    </w:rPr>
  </w:style>
  <w:style w:styleId="Style_31_ch" w:type="character">
    <w:name w:val="Обычный1"/>
    <w:link w:val="Style_31"/>
    <w:rPr>
      <w:rFonts w:ascii="Calibri" w:hAnsi="Calibri"/>
      <w:sz w:val="22"/>
    </w:rPr>
  </w:style>
  <w:style w:styleId="Style_32" w:type="paragraph">
    <w:name w:val="Title"/>
    <w:basedOn w:val="Style_3"/>
    <w:link w:val="Style_32_ch"/>
    <w:uiPriority w:val="10"/>
    <w:qFormat/>
    <w:pPr>
      <w:widowControl w:val="0"/>
      <w:spacing w:after="0" w:line="360" w:lineRule="auto"/>
      <w:ind/>
      <w:jc w:val="center"/>
    </w:pPr>
    <w:rPr>
      <w:rFonts w:ascii="Times New Roman" w:hAnsi="Times New Roman"/>
      <w:b w:val="1"/>
      <w:sz w:val="24"/>
    </w:rPr>
  </w:style>
  <w:style w:styleId="Style_32_ch" w:type="character">
    <w:name w:val="Title"/>
    <w:basedOn w:val="Style_3_ch"/>
    <w:link w:val="Style_32"/>
    <w:rPr>
      <w:rFonts w:ascii="Times New Roman" w:hAnsi="Times New Roman"/>
      <w:b w:val="1"/>
      <w:sz w:val="24"/>
    </w:rPr>
  </w:style>
  <w:style w:styleId="Style_33" w:type="paragraph">
    <w:name w:val="heading 4"/>
    <w:next w:val="Style_3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ConsPlusNormal"/>
    <w:link w:val="Style_34_ch"/>
    <w:pPr>
      <w:widowControl w:val="0"/>
      <w:ind w:firstLine="720" w:left="0"/>
    </w:pPr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heading 2"/>
    <w:next w:val="Style_3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Сетка таблицы1"/>
    <w:basedOn w:val="Style_36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2025-10-03T04:01:19Z</dcterms:created>
  <dcterms:modified xsi:type="dcterms:W3CDTF">2025-10-03T04:01:19Z</dcterms:modified>
</cp:coreProperties>
</file>