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13A69" w14:textId="77777777" w:rsidR="003826A9" w:rsidRPr="002406A6" w:rsidRDefault="003826A9" w:rsidP="003826A9">
      <w:pPr>
        <w:pStyle w:val="Default"/>
        <w:ind w:left="5529" w:right="-1"/>
        <w:jc w:val="right"/>
        <w:rPr>
          <w:sz w:val="23"/>
        </w:rPr>
      </w:pPr>
      <w:r>
        <w:rPr>
          <w:sz w:val="23"/>
        </w:rPr>
        <w:t>Приложение</w:t>
      </w:r>
    </w:p>
    <w:p w14:paraId="341A8585" w14:textId="77777777" w:rsidR="003826A9" w:rsidRPr="002406A6" w:rsidRDefault="003826A9" w:rsidP="003826A9">
      <w:pPr>
        <w:pStyle w:val="Default"/>
        <w:ind w:left="5529" w:right="-1"/>
        <w:jc w:val="right"/>
        <w:rPr>
          <w:sz w:val="23"/>
        </w:rPr>
      </w:pPr>
      <w:r w:rsidRPr="002406A6">
        <w:rPr>
          <w:sz w:val="23"/>
        </w:rPr>
        <w:t>к приказу Министерства труда и</w:t>
      </w:r>
    </w:p>
    <w:p w14:paraId="7880FBB5" w14:textId="77777777" w:rsidR="003826A9" w:rsidRPr="002406A6" w:rsidRDefault="003826A9" w:rsidP="003826A9">
      <w:pPr>
        <w:pStyle w:val="Default"/>
        <w:ind w:left="5529" w:right="-1"/>
        <w:jc w:val="right"/>
        <w:rPr>
          <w:sz w:val="23"/>
        </w:rPr>
      </w:pPr>
      <w:r w:rsidRPr="002406A6">
        <w:rPr>
          <w:sz w:val="23"/>
        </w:rPr>
        <w:t>социального развития</w:t>
      </w:r>
    </w:p>
    <w:p w14:paraId="07453808" w14:textId="77777777" w:rsidR="003826A9" w:rsidRPr="002406A6" w:rsidRDefault="003826A9" w:rsidP="003826A9">
      <w:pPr>
        <w:pStyle w:val="Default"/>
        <w:ind w:left="5529" w:right="-1"/>
        <w:jc w:val="right"/>
        <w:rPr>
          <w:sz w:val="23"/>
        </w:rPr>
      </w:pPr>
      <w:r w:rsidRPr="002406A6">
        <w:rPr>
          <w:sz w:val="23"/>
        </w:rPr>
        <w:t>Республики Саха (Якутия)</w:t>
      </w:r>
    </w:p>
    <w:p w14:paraId="05834654" w14:textId="77777777" w:rsidR="003826A9" w:rsidRDefault="003826A9" w:rsidP="003826A9">
      <w:pPr>
        <w:pStyle w:val="Default"/>
        <w:ind w:left="5529" w:right="-1"/>
        <w:jc w:val="right"/>
        <w:rPr>
          <w:sz w:val="23"/>
        </w:rPr>
      </w:pPr>
      <w:r w:rsidRPr="002406A6">
        <w:rPr>
          <w:sz w:val="23"/>
        </w:rPr>
        <w:t>от «</w:t>
      </w:r>
      <w:r>
        <w:rPr>
          <w:sz w:val="23"/>
        </w:rPr>
        <w:t>___» ______ 20___ года № ____</w:t>
      </w:r>
      <w:r w:rsidRPr="002406A6">
        <w:rPr>
          <w:sz w:val="23"/>
        </w:rPr>
        <w:t>-од</w:t>
      </w:r>
      <w:r>
        <w:rPr>
          <w:sz w:val="23"/>
        </w:rPr>
        <w:br/>
      </w:r>
    </w:p>
    <w:p w14:paraId="182DB991" w14:textId="77777777" w:rsidR="003826A9" w:rsidRDefault="003826A9" w:rsidP="003826A9">
      <w:pPr>
        <w:pStyle w:val="Default"/>
        <w:ind w:right="850"/>
        <w:jc w:val="center"/>
        <w:rPr>
          <w:sz w:val="23"/>
        </w:rPr>
      </w:pPr>
    </w:p>
    <w:p w14:paraId="2D34BA3B" w14:textId="77777777" w:rsidR="003826A9" w:rsidRDefault="003826A9" w:rsidP="003826A9">
      <w:pPr>
        <w:pStyle w:val="Default"/>
        <w:ind w:right="850"/>
        <w:jc w:val="center"/>
        <w:rPr>
          <w:sz w:val="23"/>
        </w:rPr>
      </w:pPr>
    </w:p>
    <w:p w14:paraId="5AD93902" w14:textId="77777777" w:rsidR="003826A9" w:rsidRDefault="003826A9" w:rsidP="003826A9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5A6CD7D1" w14:textId="77777777" w:rsidR="003826A9" w:rsidRDefault="003826A9" w:rsidP="003826A9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регионального этапа всероссийского конкурса </w:t>
      </w:r>
    </w:p>
    <w:p w14:paraId="7C9B273C" w14:textId="77777777" w:rsidR="003826A9" w:rsidRDefault="003826A9" w:rsidP="003826A9">
      <w:pPr>
        <w:jc w:val="center"/>
        <w:rPr>
          <w:b/>
          <w:sz w:val="28"/>
        </w:rPr>
      </w:pPr>
      <w:r>
        <w:rPr>
          <w:b/>
          <w:sz w:val="28"/>
        </w:rPr>
        <w:t xml:space="preserve">«Российская организация высокой социальной эффективности» </w:t>
      </w:r>
    </w:p>
    <w:p w14:paraId="1CA061D1" w14:textId="78F57BCC" w:rsidR="003826A9" w:rsidRDefault="003826A9" w:rsidP="003826A9">
      <w:pPr>
        <w:jc w:val="center"/>
        <w:rPr>
          <w:b/>
          <w:sz w:val="28"/>
        </w:rPr>
      </w:pPr>
      <w:r>
        <w:rPr>
          <w:b/>
          <w:sz w:val="28"/>
        </w:rPr>
        <w:t>в Республике Саха (Якутия)</w:t>
      </w:r>
    </w:p>
    <w:p w14:paraId="4FD55030" w14:textId="77777777" w:rsidR="003826A9" w:rsidRDefault="003826A9" w:rsidP="003826A9">
      <w:pPr>
        <w:spacing w:line="360" w:lineRule="auto"/>
        <w:jc w:val="center"/>
        <w:rPr>
          <w:sz w:val="28"/>
        </w:rPr>
      </w:pPr>
    </w:p>
    <w:p w14:paraId="4572234B" w14:textId="77777777" w:rsidR="003826A9" w:rsidRDefault="003826A9" w:rsidP="003826A9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contextualSpacing/>
        <w:jc w:val="center"/>
        <w:textAlignment w:val="auto"/>
        <w:rPr>
          <w:b/>
          <w:sz w:val="28"/>
        </w:rPr>
      </w:pPr>
      <w:r>
        <w:rPr>
          <w:b/>
          <w:sz w:val="28"/>
        </w:rPr>
        <w:t>Общее положение</w:t>
      </w:r>
    </w:p>
    <w:p w14:paraId="46C0D6A0" w14:textId="77777777" w:rsidR="003826A9" w:rsidRDefault="003826A9" w:rsidP="003826A9">
      <w:pPr>
        <w:widowControl/>
        <w:tabs>
          <w:tab w:val="left" w:pos="709"/>
        </w:tabs>
        <w:overflowPunct/>
        <w:autoSpaceDE/>
        <w:autoSpaceDN/>
        <w:adjustRightInd/>
        <w:spacing w:line="276" w:lineRule="auto"/>
        <w:contextualSpacing/>
        <w:jc w:val="center"/>
        <w:textAlignment w:val="auto"/>
        <w:rPr>
          <w:b/>
          <w:sz w:val="28"/>
        </w:rPr>
      </w:pPr>
    </w:p>
    <w:p w14:paraId="6EF6A4EB" w14:textId="777DD56C" w:rsidR="003826A9" w:rsidRDefault="003826A9" w:rsidP="003826A9">
      <w:pPr>
        <w:numPr>
          <w:ilvl w:val="1"/>
          <w:numId w:val="1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положение определяет организационную систему проведения регионального этапа всероссийского конкурса «Российская организация высокой социальной эффективности»</w:t>
      </w:r>
      <w:r w:rsidR="003B13E6" w:rsidRPr="003B13E6">
        <w:rPr>
          <w:rFonts w:ascii="PT Astra Serif" w:hAnsi="PT Astra Serif"/>
          <w:sz w:val="28"/>
        </w:rPr>
        <w:t xml:space="preserve"> </w:t>
      </w:r>
      <w:r w:rsidR="003B13E6">
        <w:rPr>
          <w:rFonts w:ascii="PT Astra Serif" w:hAnsi="PT Astra Serif"/>
          <w:sz w:val="28"/>
        </w:rPr>
        <w:t xml:space="preserve">в соответствии с распоряжением Правительства Российской Федерации от 4 марта 2009 года №265-р </w:t>
      </w:r>
      <w:r w:rsidR="002D7E84">
        <w:rPr>
          <w:rFonts w:ascii="PT Astra Serif" w:hAnsi="PT Astra Serif"/>
          <w:sz w:val="28"/>
        </w:rPr>
        <w:t>«</w:t>
      </w:r>
      <w:r w:rsidR="002D7E84">
        <w:rPr>
          <w:sz w:val="28"/>
        </w:rPr>
        <w:t xml:space="preserve">О проведении всероссийского конкурса «Российская организация высокой социальной эффективности» </w:t>
      </w:r>
      <w:r w:rsidR="003B13E6">
        <w:rPr>
          <w:rFonts w:ascii="PT Astra Serif" w:hAnsi="PT Astra Serif"/>
          <w:sz w:val="28"/>
        </w:rPr>
        <w:t>и распоряжением</w:t>
      </w:r>
      <w:r w:rsidR="003B13E6" w:rsidRPr="003B13E6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r w:rsidR="003B13E6" w:rsidRPr="003B13E6">
        <w:rPr>
          <w:rFonts w:ascii="PT Astra Serif" w:hAnsi="PT Astra Serif"/>
          <w:sz w:val="28"/>
        </w:rPr>
        <w:t xml:space="preserve">Президента Республики Саха (Якутия) от 10 июня 2010 г. </w:t>
      </w:r>
      <w:r w:rsidR="003B13E6">
        <w:rPr>
          <w:rFonts w:ascii="PT Astra Serif" w:hAnsi="PT Astra Serif"/>
          <w:sz w:val="28"/>
        </w:rPr>
        <w:t>№</w:t>
      </w:r>
      <w:r w:rsidR="003B13E6" w:rsidRPr="003B13E6">
        <w:rPr>
          <w:rFonts w:ascii="PT Astra Serif" w:hAnsi="PT Astra Serif"/>
          <w:sz w:val="28"/>
        </w:rPr>
        <w:t>268-РП </w:t>
      </w:r>
      <w:r w:rsidR="003B13E6">
        <w:rPr>
          <w:rFonts w:ascii="PT Astra Serif" w:hAnsi="PT Astra Serif"/>
          <w:sz w:val="28"/>
        </w:rPr>
        <w:t>«</w:t>
      </w:r>
      <w:r w:rsidR="003B13E6" w:rsidRPr="003B13E6">
        <w:rPr>
          <w:rFonts w:ascii="PT Astra Serif" w:hAnsi="PT Astra Serif"/>
          <w:sz w:val="28"/>
        </w:rPr>
        <w:t xml:space="preserve">О проведении в Республике Саха (Якутия) регионального этапа всероссийского конкурса </w:t>
      </w:r>
      <w:r w:rsidR="002D7E84">
        <w:rPr>
          <w:rFonts w:ascii="PT Astra Serif" w:hAnsi="PT Astra Serif"/>
          <w:sz w:val="28"/>
        </w:rPr>
        <w:t>«</w:t>
      </w:r>
      <w:r w:rsidR="003B13E6" w:rsidRPr="003B13E6">
        <w:rPr>
          <w:rFonts w:ascii="PT Astra Serif" w:hAnsi="PT Astra Serif"/>
          <w:sz w:val="28"/>
        </w:rPr>
        <w:t>Российская организация высокой социальной эффективности</w:t>
      </w:r>
      <w:r w:rsidR="002D7E84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0721C1B0" w14:textId="31718BCB" w:rsidR="003826A9" w:rsidRDefault="003826A9" w:rsidP="003826A9">
      <w:pPr>
        <w:numPr>
          <w:ilvl w:val="1"/>
          <w:numId w:val="1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Всероссийский конкурс «Российская организация высокой социальной эффективности» проводится ежегодно в два этапа на региональном и федеральном уровнях по номинациям, ежегодно утверждаемым организационным комитетом по проведению конкурса Министерства труда и социальной защиты Российской Федерации (далее - организационный комитет Минтруда России).</w:t>
      </w:r>
    </w:p>
    <w:p w14:paraId="35102939" w14:textId="77777777" w:rsidR="003826A9" w:rsidRDefault="003826A9" w:rsidP="003826A9">
      <w:pPr>
        <w:numPr>
          <w:ilvl w:val="1"/>
          <w:numId w:val="1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задачами конкурса являются:</w:t>
      </w:r>
    </w:p>
    <w:p w14:paraId="480A3098" w14:textId="77777777" w:rsidR="003826A9" w:rsidRDefault="003826A9" w:rsidP="003826A9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выявление организаций, добивающихся высокой социальной эффективности в решении социальных задач и в достижении национальных целей развития Российской Федерации;</w:t>
      </w:r>
    </w:p>
    <w:p w14:paraId="49F71C99" w14:textId="77777777" w:rsidR="003826A9" w:rsidRDefault="003826A9" w:rsidP="003826A9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изучение и распространение опыта реализации лучших корпоративных программ, развитие форм социального партнерства в организациях и на предприятиях;</w:t>
      </w:r>
    </w:p>
    <w:p w14:paraId="2810EA35" w14:textId="77777777" w:rsidR="003826A9" w:rsidRDefault="003826A9" w:rsidP="003826A9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стимулирование и мотивация организаций и предприятий к заимствованию успешных результатов реализации корпоративных программ.</w:t>
      </w:r>
    </w:p>
    <w:p w14:paraId="2BF5B7D1" w14:textId="77777777" w:rsidR="003826A9" w:rsidRDefault="003826A9" w:rsidP="003826A9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Всероссийский конкурс «Российская организация высокой социальной эффективности» проводится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 (ПИК </w:t>
      </w:r>
      <w:r>
        <w:rPr>
          <w:rFonts w:ascii="PT Astra Serif" w:hAnsi="PT Astra Serif"/>
          <w:sz w:val="28"/>
        </w:rPr>
        <w:lastRenderedPageBreak/>
        <w:t xml:space="preserve">«Мониторинг»), адрес в сети Интернет: </w:t>
      </w:r>
      <w:hyperlink r:id="rId5" w:history="1">
        <w:r>
          <w:rPr>
            <w:rStyle w:val="ac"/>
            <w:rFonts w:ascii="PT Astra Serif" w:eastAsiaTheme="majorEastAsia" w:hAnsi="PT Astra Serif"/>
            <w:sz w:val="28"/>
          </w:rPr>
          <w:t>http://ot.rosmintrud.ru</w:t>
        </w:r>
      </w:hyperlink>
      <w:r>
        <w:rPr>
          <w:rFonts w:ascii="PT Astra Serif" w:hAnsi="PT Astra Serif"/>
          <w:sz w:val="28"/>
        </w:rPr>
        <w:t>.</w:t>
      </w:r>
    </w:p>
    <w:p w14:paraId="0C99881F" w14:textId="77777777" w:rsidR="003826A9" w:rsidRDefault="003826A9" w:rsidP="003826A9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7907D3C4" w14:textId="77777777" w:rsidR="003826A9" w:rsidRDefault="003826A9" w:rsidP="003826A9">
      <w:pPr>
        <w:tabs>
          <w:tab w:val="left" w:pos="284"/>
          <w:tab w:val="left" w:pos="709"/>
          <w:tab w:val="left" w:pos="127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b/>
          <w:sz w:val="28"/>
        </w:rPr>
        <w:t>Участники конкурса и номинации конкурса</w:t>
      </w:r>
      <w:r>
        <w:rPr>
          <w:rFonts w:ascii="PT Astra Serif" w:hAnsi="PT Astra Serif"/>
          <w:sz w:val="28"/>
        </w:rPr>
        <w:t xml:space="preserve"> </w:t>
      </w:r>
    </w:p>
    <w:p w14:paraId="3C54037C" w14:textId="77777777" w:rsidR="003826A9" w:rsidRDefault="003826A9" w:rsidP="003826A9">
      <w:pPr>
        <w:tabs>
          <w:tab w:val="left" w:pos="567"/>
        </w:tabs>
        <w:jc w:val="center"/>
        <w:rPr>
          <w:rFonts w:ascii="PT Astra Serif" w:hAnsi="PT Astra Serif"/>
          <w:sz w:val="28"/>
        </w:rPr>
      </w:pPr>
    </w:p>
    <w:p w14:paraId="7E167A7E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Участие в региональном этапе конкурса является бесплатным.</w:t>
      </w:r>
    </w:p>
    <w:p w14:paraId="3F663ACB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их филиалы по согласованию с создавшими их юридическими лицами (далее – организации).</w:t>
      </w:r>
    </w:p>
    <w:p w14:paraId="4FEA63DF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Организации подают заявку на участие в региональном этапе конкурса в субъекте Российской Федерации, в котором они зарегистрированы, либо где они фактически не менее трех лет осуществляют хозяйственную деятельность.</w:t>
      </w:r>
    </w:p>
    <w:p w14:paraId="6E0651F4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Филиалы юридических лиц подают заявку на участие в региональном этапе конкурса в субъекте Российской Федерации, где они осуществляют хозяйственную деятельность.</w:t>
      </w:r>
    </w:p>
    <w:p w14:paraId="5E6D4E70" w14:textId="77777777" w:rsidR="00D538D7" w:rsidRDefault="003826A9" w:rsidP="00D538D7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Конкурс проводится по организациям, отнесенным к производственной сфере и по организациям, отнесенным к непроизводственной сфере.</w:t>
      </w:r>
    </w:p>
    <w:p w14:paraId="4FB382DC" w14:textId="673E5C71" w:rsidR="003826A9" w:rsidRPr="00D538D7" w:rsidRDefault="00D538D7" w:rsidP="00D538D7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bookmarkStart w:id="0" w:name="_GoBack"/>
      <w:bookmarkEnd w:id="0"/>
      <w:r w:rsidRPr="00D538D7">
        <w:rPr>
          <w:rFonts w:ascii="PT Astra Serif" w:hAnsi="PT Astra Serif"/>
          <w:sz w:val="28"/>
        </w:rPr>
        <w:t>Отнесение участников конкурса к производственной или непроизводственной сфере производится в соответствии с основным видом экономической деятельности участника конкурса</w:t>
      </w:r>
      <w:r w:rsidR="003826A9" w:rsidRPr="00D538D7">
        <w:rPr>
          <w:rFonts w:ascii="PT Astra Serif" w:hAnsi="PT Astra Serif"/>
          <w:sz w:val="28"/>
        </w:rPr>
        <w:t>:</w:t>
      </w:r>
    </w:p>
    <w:p w14:paraId="34B0028C" w14:textId="77777777" w:rsidR="003826A9" w:rsidRDefault="003826A9" w:rsidP="003826A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2.6.1. Производственная сфера представляет собой совокупность производств и видов деятельности, результатом которых является материальный продукт (товар) для идентификации которого в соответствии с Общероссийским классификатором видов экономической деятельности (ОКВЭД2) ОК 029-2014 относятся следующие коды классов ОКВЭД2: 01-43 (со всеми входящими кодами); 49.20 (со всеми входящими кодами); 49.40 (со всеми входящими кодами);  49.41 (со всеми входящими кодами); 49.50 (со всеми входящими кодами); 50.20 (со всеми входящими кодами); 50.40 (со всеми входящими кодами); 51.21 (со всеми входящими кодами); 51.22 (со всеми входящими кодами).</w:t>
      </w:r>
    </w:p>
    <w:p w14:paraId="5F5E796B" w14:textId="77777777" w:rsidR="003826A9" w:rsidRDefault="003826A9" w:rsidP="003826A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2.6.2. Непроизводственная сфера – это часть хозяйства или экономики страны, которая не занимается производством материальных благ, в соответствии с ОКВЭД2 следует для данной сферы деятельности использовать следующие коды классов ОКВЭД2: 45 (со всеми входящими кодами); 46-47 (со всеми входящими кодами); 49.10 (со всеми входящими кодами); 49.31 (со всеми входящими кодами); 49.32 (со всеми входящими кодами); 49.39 (со всеми входящими кодами); 50.10 (со всеми входящими кодами); 50.30 (со всеми входящими кодами); 51.10 (со всеми входящими кодами); 52-96 (со </w:t>
      </w:r>
      <w:r>
        <w:rPr>
          <w:rFonts w:ascii="PT Astra Serif" w:hAnsi="PT Astra Serif"/>
          <w:sz w:val="28"/>
        </w:rPr>
        <w:lastRenderedPageBreak/>
        <w:t xml:space="preserve">всеми входящими кодами). </w:t>
      </w:r>
    </w:p>
    <w:p w14:paraId="4664DF6D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Номинации конкурса ежегодно утверждаются организационным комитет Минтруда России, исходя из приоритетных задач социальной политики.</w:t>
      </w:r>
    </w:p>
    <w:p w14:paraId="26DC4578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зависимости от приоритетных задач социальной политики номинации распределяются для организаций производственной сферы и организаций непроизводственной сферы.</w:t>
      </w:r>
    </w:p>
    <w:p w14:paraId="6B61E382" w14:textId="77777777" w:rsidR="003826A9" w:rsidRDefault="003826A9" w:rsidP="003826A9">
      <w:pPr>
        <w:widowControl/>
        <w:tabs>
          <w:tab w:val="left" w:pos="993"/>
        </w:tabs>
        <w:overflowPunct/>
        <w:autoSpaceDE/>
        <w:autoSpaceDN/>
        <w:adjustRightInd/>
        <w:spacing w:line="276" w:lineRule="auto"/>
        <w:ind w:left="709"/>
        <w:contextualSpacing/>
        <w:jc w:val="both"/>
        <w:textAlignment w:val="auto"/>
        <w:rPr>
          <w:rFonts w:ascii="PT Astra Serif" w:hAnsi="PT Astra Serif"/>
          <w:sz w:val="28"/>
        </w:rPr>
      </w:pPr>
    </w:p>
    <w:p w14:paraId="2561E70B" w14:textId="77777777" w:rsidR="003826A9" w:rsidRDefault="003826A9" w:rsidP="003826A9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center"/>
        <w:textAlignment w:val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Функции и полномочия экспертной рабочей группы</w:t>
      </w:r>
    </w:p>
    <w:p w14:paraId="37E94B5E" w14:textId="77777777" w:rsidR="003826A9" w:rsidRDefault="003826A9" w:rsidP="003826A9">
      <w:pPr>
        <w:widowControl/>
        <w:tabs>
          <w:tab w:val="left" w:pos="993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PT Astra Serif" w:hAnsi="PT Astra Serif"/>
          <w:b/>
          <w:sz w:val="28"/>
        </w:rPr>
      </w:pPr>
    </w:p>
    <w:p w14:paraId="0BFD1BBC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Экспертная рабочая группа формируется из членов рабочей группы Республиканской трехсторонней комиссии по регулированию социально-трудовых отношений, в которую на паритетной основе входят представители органов государственной власти субъекта Российской Федерации, региональных объединений работодателей и региональных объединений профсоюзов.</w:t>
      </w:r>
    </w:p>
    <w:p w14:paraId="081DB2D3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экспертную рабочую группу не может входить лицо, которое подает заявку на участие в конкурсе в качестве контактного лица организации-участника конкурса.</w:t>
      </w:r>
    </w:p>
    <w:p w14:paraId="7661EC9D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Экспертная рабочая группа осуществляет следующие основные функции:</w:t>
      </w:r>
    </w:p>
    <w:p w14:paraId="25BF4A6F" w14:textId="77777777" w:rsidR="003826A9" w:rsidRDefault="003826A9" w:rsidP="003826A9">
      <w:pPr>
        <w:numPr>
          <w:ilvl w:val="2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Рассматривает и согласовывает проект плана мероприятий по проведению регионального этапа конкурса;</w:t>
      </w:r>
    </w:p>
    <w:p w14:paraId="3697407E" w14:textId="77777777" w:rsidR="003826A9" w:rsidRDefault="003826A9" w:rsidP="003826A9">
      <w:pPr>
        <w:numPr>
          <w:ilvl w:val="2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Рассматривает и оценивает заявки участников регионального этапа конкурса в электронном виде на портале ПИК «Мониторинг». </w:t>
      </w:r>
    </w:p>
    <w:p w14:paraId="6391F624" w14:textId="77777777" w:rsidR="003826A9" w:rsidRDefault="003826A9" w:rsidP="003826A9">
      <w:pPr>
        <w:numPr>
          <w:ilvl w:val="2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готовит проекты решений Республиканской трехсторонней комиссии о победителях регионального этапа конкурса и направлении победителей для участия в конкурсе на федеральном уровне.</w:t>
      </w:r>
    </w:p>
    <w:p w14:paraId="719CB125" w14:textId="77777777" w:rsidR="003826A9" w:rsidRDefault="003826A9" w:rsidP="003826A9">
      <w:pPr>
        <w:numPr>
          <w:ilvl w:val="2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Открытие доступа к поданным в форме электронных документов заявкам участников регионального этапа конкурса проводиться экспертной рабочей группой при условии регистрации в ПИК «Мониторинг» (роль- «Региональный эксперт») не менее 2/3 списочного состава членов экспертной рабочей группы.</w:t>
      </w:r>
    </w:p>
    <w:p w14:paraId="2344D221" w14:textId="77777777" w:rsidR="003826A9" w:rsidRDefault="003826A9" w:rsidP="003826A9">
      <w:pPr>
        <w:numPr>
          <w:ilvl w:val="1"/>
          <w:numId w:val="2"/>
        </w:numPr>
        <w:tabs>
          <w:tab w:val="left" w:pos="1418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Экспертная рабочая группа ведет протокол открытия доступа к </w:t>
      </w:r>
      <w:r>
        <w:rPr>
          <w:rFonts w:ascii="PT Astra Serif" w:hAnsi="PT Astra Serif"/>
          <w:color w:val="000000"/>
          <w:sz w:val="28"/>
          <w:highlight w:val="white"/>
        </w:rPr>
        <w:t>поданным в форме электронных документов заявкам</w:t>
      </w:r>
      <w:r>
        <w:rPr>
          <w:rFonts w:ascii="PT Astra Serif" w:hAnsi="PT Astra Serif"/>
          <w:sz w:val="28"/>
        </w:rPr>
        <w:t xml:space="preserve"> на участие в конкурсе и проводит сверку наличия (в соответствии с описью) и соответствия документов, приложенных к заявке, наличия подтверждающих документов в специальной вкладке.</w:t>
      </w:r>
    </w:p>
    <w:p w14:paraId="223DEEDE" w14:textId="77777777" w:rsidR="003826A9" w:rsidRDefault="003826A9" w:rsidP="003826A9">
      <w:pPr>
        <w:widowControl/>
        <w:tabs>
          <w:tab w:val="left" w:pos="1418"/>
        </w:tabs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PT Astra Serif" w:hAnsi="PT Astra Serif"/>
          <w:sz w:val="28"/>
        </w:rPr>
      </w:pPr>
    </w:p>
    <w:p w14:paraId="3D017AF0" w14:textId="77777777" w:rsidR="003826A9" w:rsidRDefault="003826A9" w:rsidP="003826A9">
      <w:pPr>
        <w:numPr>
          <w:ilvl w:val="0"/>
          <w:numId w:val="2"/>
        </w:numPr>
        <w:tabs>
          <w:tab w:val="left" w:pos="284"/>
          <w:tab w:val="left" w:pos="1276"/>
        </w:tabs>
        <w:overflowPunct/>
        <w:autoSpaceDE/>
        <w:autoSpaceDN/>
        <w:adjustRightInd/>
        <w:spacing w:line="276" w:lineRule="auto"/>
        <w:ind w:left="0" w:firstLine="0"/>
        <w:jc w:val="center"/>
        <w:textAlignment w:val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Порядок проведения конкурса</w:t>
      </w:r>
    </w:p>
    <w:p w14:paraId="7CD61D2E" w14:textId="77777777" w:rsidR="003826A9" w:rsidRDefault="003826A9" w:rsidP="003826A9">
      <w:pPr>
        <w:widowControl/>
        <w:tabs>
          <w:tab w:val="left" w:pos="284"/>
          <w:tab w:val="left" w:pos="1276"/>
        </w:tabs>
        <w:overflowPunct/>
        <w:autoSpaceDE/>
        <w:autoSpaceDN/>
        <w:adjustRightInd/>
        <w:spacing w:line="276" w:lineRule="auto"/>
        <w:ind w:left="709"/>
        <w:jc w:val="center"/>
        <w:textAlignment w:val="auto"/>
        <w:rPr>
          <w:rFonts w:ascii="PT Astra Serif" w:hAnsi="PT Astra Serif"/>
          <w:b/>
          <w:sz w:val="28"/>
        </w:rPr>
      </w:pPr>
    </w:p>
    <w:p w14:paraId="3D2A5F4D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и план мероприятий по проведению конкурса, критерии отбора победителей конкурса, методические рекомендации по проведению конкурса, формы представления информации для участия в конкурсе (далее – документы, регламентирующие проведение конкурса) утверждаются организационным комитетом Минтруда России.</w:t>
      </w:r>
    </w:p>
    <w:p w14:paraId="1D96F4E7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орган исполнительной власти Республики Саха (Якутия), ответственный за организационно-техническое обеспечение– Министерство труда и социального развития Республики Саха (Якутия) (далее – Минтруд РС(Я)):</w:t>
      </w:r>
    </w:p>
    <w:p w14:paraId="433DF2EC" w14:textId="77777777" w:rsidR="003826A9" w:rsidRDefault="003826A9" w:rsidP="003826A9">
      <w:pPr>
        <w:numPr>
          <w:ilvl w:val="2"/>
          <w:numId w:val="2"/>
        </w:numPr>
        <w:tabs>
          <w:tab w:val="left" w:pos="1701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документов, регламентирующих проведение конкурса, разрабатывает проект плана мероприятий по организации и проведению регионального этапа конкурса, вносит на рассмотрение и согласование в экспертную рабочую группу и на утверждение координатору Республиканской трехсторонней комиссии по регулированию социально-трудовых отношений.</w:t>
      </w:r>
    </w:p>
    <w:p w14:paraId="3A9D19A2" w14:textId="77777777" w:rsidR="003826A9" w:rsidRDefault="003826A9" w:rsidP="003826A9">
      <w:pPr>
        <w:numPr>
          <w:ilvl w:val="2"/>
          <w:numId w:val="2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направляет в министерства и ведомства, в муниципальные районы и городские округа информационные письма о сроках проведения конкурса, план мероприятий проведения конкурса и документы, регламентирующие проведения конкурса.</w:t>
      </w:r>
    </w:p>
    <w:p w14:paraId="37ED23C9" w14:textId="77777777" w:rsidR="003826A9" w:rsidRDefault="003826A9" w:rsidP="003826A9">
      <w:pPr>
        <w:numPr>
          <w:ilvl w:val="2"/>
          <w:numId w:val="2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участием региональных или отраслевых объединений работодателей, территориальных объединений организаций профсоюзов проводит информирование и освещение о проведении конкурса в средствах массовой информации, включая периодические издания, радио и телевидение, Интернет-ресурсы.</w:t>
      </w:r>
    </w:p>
    <w:p w14:paraId="1F8297E2" w14:textId="77777777" w:rsidR="003826A9" w:rsidRDefault="003826A9" w:rsidP="003826A9">
      <w:pPr>
        <w:numPr>
          <w:ilvl w:val="2"/>
          <w:numId w:val="2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проводит обучение и сопровождение организаций для внесения заявок в информационную систему.</w:t>
      </w:r>
    </w:p>
    <w:p w14:paraId="700985FA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Внесение заявок на участие в региональном этапе конкурса осуществляется в электронном виде в портале ПИК «Мониторинг» (роль- «Участник»), адрес в сети Интернет: </w:t>
      </w:r>
      <w:hyperlink r:id="rId6" w:history="1">
        <w:r>
          <w:rPr>
            <w:rStyle w:val="ac"/>
            <w:rFonts w:ascii="PT Astra Serif" w:eastAsiaTheme="majorEastAsia" w:hAnsi="PT Astra Serif"/>
            <w:sz w:val="28"/>
          </w:rPr>
          <w:t>http://ot.rosmintrud.ru</w:t>
        </w:r>
      </w:hyperlink>
      <w:r>
        <w:rPr>
          <w:rFonts w:ascii="PT Astra Serif" w:hAnsi="PT Astra Serif"/>
          <w:sz w:val="28"/>
        </w:rPr>
        <w:t>. Соответственно предоставление материалов конкурса на бумажном носителе от организаций не требуется.</w:t>
      </w:r>
    </w:p>
    <w:p w14:paraId="3865AF99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заполняется в соответствии с перечнем документов, указанным в методических рекомендациях, утвержденных решением организационного комитета Минтруда России.</w:t>
      </w:r>
    </w:p>
    <w:p w14:paraId="300E4A17" w14:textId="77777777" w:rsidR="003826A9" w:rsidRDefault="003826A9" w:rsidP="003826A9">
      <w:pPr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Организация вправе подавать заявку на участие в региональном этапе конкурса по одной или нескольким номинациям. Заявки на участие в конкурсе подаются по каждой номинации отдельно.</w:t>
      </w:r>
    </w:p>
    <w:p w14:paraId="2F3D0F1A" w14:textId="77777777" w:rsidR="003826A9" w:rsidRDefault="003826A9" w:rsidP="003826A9">
      <w:pPr>
        <w:numPr>
          <w:ilvl w:val="1"/>
          <w:numId w:val="2"/>
        </w:numPr>
        <w:tabs>
          <w:tab w:val="left" w:pos="1134"/>
          <w:tab w:val="left" w:pos="1418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При установлении факта подачи одним участником конкурса двух и более заявок в отношении одной и той же номинации при условии, что поданные ранее заявки этим участником не отозваны, все заявки на участие в конкурсе такого участника, поданные в отношении данной номинации, не рассматриваются. </w:t>
      </w:r>
    </w:p>
    <w:p w14:paraId="54791B81" w14:textId="77777777" w:rsidR="003826A9" w:rsidRDefault="003826A9" w:rsidP="003826A9">
      <w:pPr>
        <w:numPr>
          <w:ilvl w:val="1"/>
          <w:numId w:val="2"/>
        </w:numPr>
        <w:tabs>
          <w:tab w:val="left" w:pos="1134"/>
          <w:tab w:val="left" w:pos="1418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В случае несоответствия номинации, указанной в заявке, содержанию заявки на участие в конкурсе, такая заявка не рассматривается. </w:t>
      </w:r>
    </w:p>
    <w:p w14:paraId="45211382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каждой номинации экспертная рабочая группа определяет предварительный перечень участников конкурса, которые могут претендовать на призовые места и вносит в протокол рассмотрения заявок. По каждой номинации может быть определено не более 9 претендентов на призовые места.</w:t>
      </w:r>
    </w:p>
    <w:p w14:paraId="20F62E6E" w14:textId="77777777" w:rsidR="003826A9" w:rsidRDefault="003826A9" w:rsidP="003826A9">
      <w:pPr>
        <w:numPr>
          <w:ilvl w:val="1"/>
          <w:numId w:val="2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Минтруд РС(Я) запрашивает документы и проводит анализ документов, подтверждающих достоверность представленных в заявке сведений, а также проверку достоверности балльных оценок, в заявках претендентов на призовые места.</w:t>
      </w:r>
    </w:p>
    <w:p w14:paraId="1F600163" w14:textId="77777777" w:rsidR="003826A9" w:rsidRDefault="003826A9" w:rsidP="003826A9">
      <w:pPr>
        <w:numPr>
          <w:ilvl w:val="1"/>
          <w:numId w:val="2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в ходе проверки в заявке претендента на призовые места выявлены ошибки при определении балльной оценки и представленные в заявке на участие в конкурсе, являются достоверными, то балльная оценка по решению экспертной рабочей группы может быть скорректирована с использованием ПИК «Мониторинг».</w:t>
      </w:r>
    </w:p>
    <w:p w14:paraId="4121FB1F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подтверждения достоверности сведений организации в заявке, приведенных в пункте 5.1 настоящего положения, Минтруд РС(Я) запрашивает необходимую информацию в государственной инспекции труда, территориальных органах Федеральной миграционной службы, Социальном фонде России в системе межведомственного электронного взаимодействия (СМЭВ).</w:t>
      </w:r>
    </w:p>
    <w:p w14:paraId="4FABAB07" w14:textId="77777777" w:rsidR="003826A9" w:rsidRDefault="003826A9" w:rsidP="003826A9">
      <w:pPr>
        <w:numPr>
          <w:ilvl w:val="1"/>
          <w:numId w:val="2"/>
        </w:numPr>
        <w:tabs>
          <w:tab w:val="left" w:pos="993"/>
          <w:tab w:val="left" w:pos="1418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выявлении несоответствия организации требованиям, указанным в пункте 5.1 настоящего положения, заявка отклоняется и не рассматривается как несоответствующая критериям допуска к участию в конкурсе.</w:t>
      </w:r>
    </w:p>
    <w:p w14:paraId="07CD126C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заявки рассматриваются и оцениваются экспертной рабочей группой в соответствии с критериями оценки, утвержденной организационным комитетом Минтруда России.</w:t>
      </w:r>
    </w:p>
    <w:p w14:paraId="61487BC5" w14:textId="77777777" w:rsidR="003826A9" w:rsidRDefault="003826A9" w:rsidP="003826A9">
      <w:pPr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Подготовленные предложения победителей с номинациями вносятся на утверждение в Республиканскую трехстороннюю комиссию по регулированию социально-трудовых отношений и направляются для участия в конкурсе на федеральном уровне.</w:t>
      </w:r>
    </w:p>
    <w:p w14:paraId="34C119CC" w14:textId="77777777" w:rsidR="003826A9" w:rsidRDefault="003826A9" w:rsidP="003826A9">
      <w:pPr>
        <w:widowControl/>
        <w:tabs>
          <w:tab w:val="left" w:pos="993"/>
        </w:tabs>
        <w:overflowPunct/>
        <w:autoSpaceDE/>
        <w:autoSpaceDN/>
        <w:adjustRightInd/>
        <w:spacing w:line="276" w:lineRule="auto"/>
        <w:ind w:left="709"/>
        <w:contextualSpacing/>
        <w:jc w:val="both"/>
        <w:textAlignment w:val="auto"/>
        <w:rPr>
          <w:rFonts w:ascii="PT Astra Serif" w:hAnsi="PT Astra Serif"/>
          <w:sz w:val="28"/>
        </w:rPr>
      </w:pPr>
    </w:p>
    <w:p w14:paraId="0F3FA991" w14:textId="77777777" w:rsidR="003826A9" w:rsidRDefault="003826A9" w:rsidP="003826A9">
      <w:pPr>
        <w:numPr>
          <w:ilvl w:val="0"/>
          <w:numId w:val="3"/>
        </w:numPr>
        <w:tabs>
          <w:tab w:val="left" w:pos="142"/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center"/>
        <w:textAlignment w:val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Основные требования, условия и критерии оценки конкурса</w:t>
      </w:r>
    </w:p>
    <w:p w14:paraId="1858CEF5" w14:textId="77777777" w:rsidR="003826A9" w:rsidRDefault="003826A9" w:rsidP="003826A9">
      <w:pPr>
        <w:widowControl/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PT Astra Serif" w:hAnsi="PT Astra Serif"/>
          <w:b/>
          <w:sz w:val="28"/>
        </w:rPr>
      </w:pPr>
    </w:p>
    <w:p w14:paraId="22085816" w14:textId="17B8455D" w:rsidR="003826A9" w:rsidRDefault="003826A9" w:rsidP="003826A9">
      <w:pPr>
        <w:numPr>
          <w:ilvl w:val="1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требования, предъявляемые к организациям, участвующим в конкурсе, являются:</w:t>
      </w:r>
    </w:p>
    <w:p w14:paraId="3527F79E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осуществляет свою деятельность не менее трех лет;</w:t>
      </w:r>
    </w:p>
    <w:p w14:paraId="59534801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6AFE45DF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не имеет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14:paraId="37CB715A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не имела случаев производственного травматизма со смертельным исходом в течение года, предшествующего конкурсу;</w:t>
      </w:r>
    </w:p>
    <w:p w14:paraId="12C84E8F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14:paraId="297A74A8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работники и работодатели не находятся в состоянии коллективного трудового спора;</w:t>
      </w:r>
    </w:p>
    <w:p w14:paraId="59DA070E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не имеет не устраненные нарушения миграционного законодательства в части привлечения иностранных работников;</w:t>
      </w:r>
    </w:p>
    <w:p w14:paraId="1C4D7C81" w14:textId="77777777" w:rsidR="003826A9" w:rsidRDefault="003826A9" w:rsidP="003826A9">
      <w:pPr>
        <w:numPr>
          <w:ilvl w:val="2"/>
          <w:numId w:val="3"/>
        </w:numPr>
        <w:tabs>
          <w:tab w:val="left" w:pos="1560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не имеет судебных решений и тяжб, связанных с нарушением трудовых прав работников.</w:t>
      </w:r>
    </w:p>
    <w:p w14:paraId="63AE213A" w14:textId="77777777" w:rsidR="003826A9" w:rsidRDefault="003826A9" w:rsidP="003826A9">
      <w:pPr>
        <w:numPr>
          <w:ilvl w:val="1"/>
          <w:numId w:val="3"/>
        </w:numPr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заявке на участие в конкурсе организацией, указаны достоверные сведения, а также в полном объеме представлены документы в соответствии с пунктом 4.4 настоящего положения.</w:t>
      </w:r>
    </w:p>
    <w:p w14:paraId="2A3D8909" w14:textId="77777777" w:rsidR="003826A9" w:rsidRDefault="003826A9" w:rsidP="003826A9">
      <w:pPr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конкурса (до утверждения победителей) в соответствии с пунктом 4.6 настоящего положения.</w:t>
      </w:r>
    </w:p>
    <w:p w14:paraId="15BEE561" w14:textId="77777777" w:rsidR="003826A9" w:rsidRDefault="003826A9" w:rsidP="003826A9">
      <w:pPr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Критерии оценок по каждой номинации принятых к участию заявок утверждаются ежегодно организационным комитетом Минтруда России.</w:t>
      </w:r>
      <w:r>
        <w:rPr>
          <w:rFonts w:ascii="PT Astra Serif" w:hAnsi="PT Astra Serif"/>
          <w:i/>
          <w:sz w:val="28"/>
        </w:rPr>
        <w:t xml:space="preserve"> </w:t>
      </w:r>
    </w:p>
    <w:p w14:paraId="57727C2D" w14:textId="77777777" w:rsidR="003826A9" w:rsidRPr="00595B63" w:rsidRDefault="003826A9" w:rsidP="003826A9">
      <w:pPr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Оценка по критериям экспертной рабочей группой производится по результатам анализа пояснительной записки и подтверждающих документов.</w:t>
      </w:r>
    </w:p>
    <w:p w14:paraId="5E129E31" w14:textId="77777777" w:rsidR="003826A9" w:rsidRDefault="003826A9" w:rsidP="003826A9">
      <w:pPr>
        <w:tabs>
          <w:tab w:val="left" w:pos="284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6. </w:t>
      </w:r>
      <w:r>
        <w:rPr>
          <w:rFonts w:ascii="PT Astra Serif" w:hAnsi="PT Astra Serif"/>
          <w:b/>
          <w:sz w:val="28"/>
        </w:rPr>
        <w:tab/>
        <w:t>Подведение итогов и награждение победителей конкурса</w:t>
      </w:r>
    </w:p>
    <w:p w14:paraId="0B4BA175" w14:textId="77777777" w:rsidR="003826A9" w:rsidRDefault="003826A9" w:rsidP="003826A9">
      <w:pPr>
        <w:tabs>
          <w:tab w:val="left" w:pos="426"/>
        </w:tabs>
        <w:jc w:val="center"/>
        <w:rPr>
          <w:rFonts w:ascii="PT Astra Serif" w:hAnsi="PT Astra Serif"/>
          <w:b/>
          <w:sz w:val="28"/>
        </w:rPr>
      </w:pPr>
    </w:p>
    <w:p w14:paraId="6F7DCF4E" w14:textId="77777777" w:rsidR="003826A9" w:rsidRDefault="003826A9" w:rsidP="003826A9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Победителями регионального этапа конкурса по номинации признаются претенденты на призовые места, набравшие наибольшее количество баллов при условии положительных результатов проверки достоверности сведений, указанных в заявках на участие в конкурсе.</w:t>
      </w:r>
    </w:p>
    <w:p w14:paraId="4886E051" w14:textId="77777777" w:rsidR="003826A9" w:rsidRDefault="003826A9" w:rsidP="003826A9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два и более претендента на первые места в номинации набрали одинаковое количество баллов, то победители конкурса в данной номинации определяются по результатам анализа показателей, с учетом корректировки балльной оценки, а также оценки экспертной рабочей группы, содержания пояснительной записки и информации о результатах хозяйственной деятельности, прилагаемых к заявке на участие в конкурсе (до 5 баллов).</w:t>
      </w:r>
    </w:p>
    <w:p w14:paraId="79585C5D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каждой номинации определяется один победитель, занявший первое место и по два призера, занявших второе и третье место.</w:t>
      </w:r>
    </w:p>
    <w:p w14:paraId="4DDC4CED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по итогам конкурса организация претендует на призовые места в двух и более номинациях (одно из мест должно быть первым), такая организация признается победителем конкурса (без указания номинации) и награждается высшей наградой конкурса – «Гран-при».</w:t>
      </w:r>
    </w:p>
    <w:p w14:paraId="178004BB" w14:textId="77777777" w:rsidR="003826A9" w:rsidRDefault="003826A9" w:rsidP="003826A9">
      <w:pPr>
        <w:tabs>
          <w:tab w:val="center" w:pos="5037"/>
        </w:tabs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При этом призовые места в номинациях конкурса, на которые претендовали организации, получившие «Гран-при», переходят к следующим организациям в соответствии с ранжированными по сумме баллов в заявках участников перечнями по соответствующим номинациям конкурса. Дальнейшее </w:t>
      </w:r>
      <w:proofErr w:type="spellStart"/>
      <w:r>
        <w:rPr>
          <w:rFonts w:ascii="PT Astra Serif" w:hAnsi="PT Astra Serif"/>
          <w:color w:val="000000"/>
          <w:sz w:val="28"/>
        </w:rPr>
        <w:t>номинирование</w:t>
      </w:r>
      <w:proofErr w:type="spellEnd"/>
      <w:r>
        <w:rPr>
          <w:rFonts w:ascii="PT Astra Serif" w:hAnsi="PT Astra Serif"/>
          <w:color w:val="000000"/>
          <w:sz w:val="28"/>
        </w:rPr>
        <w:t xml:space="preserve"> на «Гран-при» и ранжирование перечней не производится.</w:t>
      </w:r>
    </w:p>
    <w:p w14:paraId="25422B3D" w14:textId="77777777" w:rsidR="003826A9" w:rsidRDefault="003826A9" w:rsidP="003826A9">
      <w:pPr>
        <w:tabs>
          <w:tab w:val="center" w:pos="5037"/>
        </w:tabs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6.5. Кроме основных победителей и призеров по номинациям, по предложению экспертной рабочей группы и решению Республиканской трехсторонней комиссии, могут быть вручены специальные дипломы: </w:t>
      </w:r>
    </w:p>
    <w:p w14:paraId="76818A90" w14:textId="77777777" w:rsidR="003826A9" w:rsidRDefault="003826A9" w:rsidP="003826A9">
      <w:pPr>
        <w:tabs>
          <w:tab w:val="center" w:pos="5037"/>
        </w:tabs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1) </w:t>
      </w:r>
      <w:r>
        <w:rPr>
          <w:rFonts w:ascii="PT Astra Serif" w:hAnsi="PT Astra Serif"/>
          <w:color w:val="000000"/>
          <w:sz w:val="28"/>
        </w:rPr>
        <w:tab/>
        <w:t>«За большой вклад в достижение высокой социальной эффективности» - организации, которая претендует на призовые места в двух и более номинациях (и ни одно из мест не было первым);</w:t>
      </w:r>
    </w:p>
    <w:p w14:paraId="62ADBA7C" w14:textId="77777777" w:rsidR="003826A9" w:rsidRDefault="003826A9" w:rsidP="003826A9">
      <w:pPr>
        <w:tabs>
          <w:tab w:val="center" w:pos="5037"/>
        </w:tabs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2) </w:t>
      </w:r>
      <w:r>
        <w:rPr>
          <w:rFonts w:ascii="PT Astra Serif" w:hAnsi="PT Astra Serif"/>
          <w:color w:val="000000"/>
          <w:sz w:val="28"/>
        </w:rPr>
        <w:tab/>
        <w:t>«За лучший опыт» - организации, которая по сумме баллов не выходит на призовые места, но имеет уникальный опыт в данной номинации;</w:t>
      </w:r>
    </w:p>
    <w:p w14:paraId="3DD810C5" w14:textId="77777777" w:rsidR="003826A9" w:rsidRDefault="003826A9" w:rsidP="003826A9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«За многолетнее призовое участие» - организации, которая участвует в конкурсе 5 лет и более и в течении 5 лет подряд занимает призовые места в различных номинациях.</w:t>
      </w:r>
    </w:p>
    <w:p w14:paraId="25083AB9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Победители по номинациям конкурса определяются решением Республиканской трехсторонней комиссии по регулированию социально-трудовых отношений.</w:t>
      </w:r>
    </w:p>
    <w:p w14:paraId="47C186ED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Победители конкурса, занявшие первые места по номинациям, решением Республиканской трехсторонней комиссии по регулированию </w:t>
      </w:r>
      <w:r>
        <w:rPr>
          <w:rFonts w:ascii="PT Astra Serif" w:hAnsi="PT Astra Serif"/>
          <w:sz w:val="28"/>
        </w:rPr>
        <w:lastRenderedPageBreak/>
        <w:t>социально-трудовых отношений номинируются для участия в федеральном этапе конкурса.</w:t>
      </w:r>
    </w:p>
    <w:p w14:paraId="66620305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региональном этапе конкурса участвовала только одна организация по номинации, по решению Республиканской трехсторонней комиссии по регулированию социально-трудовых отношений, она также может быть номинирована для участия в федеральном этапе конкурса.</w:t>
      </w:r>
    </w:p>
    <w:p w14:paraId="591AB73F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Проведение церемонии награждения победителей и призеров регионального этапа конкурса проводится на торжественном заседании Республиканской трехсторонней комиссии по регулированию социально-трудовых отношений.</w:t>
      </w:r>
    </w:p>
    <w:p w14:paraId="70F4E352" w14:textId="77777777" w:rsidR="003826A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Победители регионального этапа конкурса дополнительно могут быть награждены ценными подарками за счет спонсорских или иных средств.</w:t>
      </w:r>
    </w:p>
    <w:p w14:paraId="7DC1AF28" w14:textId="77777777" w:rsidR="003826A9" w:rsidRPr="00E87AE9" w:rsidRDefault="003826A9" w:rsidP="003826A9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PT Astra Serif" w:hAnsi="PT Astra Serif"/>
          <w:sz w:val="28"/>
        </w:rPr>
      </w:pPr>
      <w:r w:rsidRPr="00E87AE9">
        <w:rPr>
          <w:rFonts w:ascii="PT Astra Serif" w:hAnsi="PT Astra Serif"/>
          <w:sz w:val="28"/>
        </w:rPr>
        <w:t>Результаты проведения регионального этапа конкурса размещаются на официальном сайте Министерства труда и социального развития Республики Саха (Якутия) в информационно-телекоммуникационной сети «Интернет».</w:t>
      </w:r>
    </w:p>
    <w:p w14:paraId="0A6980CE" w14:textId="77777777" w:rsidR="003826A9" w:rsidRPr="00E87AE9" w:rsidRDefault="003826A9" w:rsidP="003826A9">
      <w:pPr>
        <w:rPr>
          <w:sz w:val="28"/>
          <w:szCs w:val="28"/>
        </w:rPr>
      </w:pPr>
    </w:p>
    <w:p w14:paraId="0C7F0846" w14:textId="77777777" w:rsidR="003826A9" w:rsidRPr="00E87AE9" w:rsidRDefault="003826A9" w:rsidP="003826A9">
      <w:pPr>
        <w:rPr>
          <w:sz w:val="28"/>
          <w:szCs w:val="28"/>
        </w:rPr>
      </w:pPr>
    </w:p>
    <w:p w14:paraId="006D2A11" w14:textId="77777777" w:rsidR="003826A9" w:rsidRPr="00E87AE9" w:rsidRDefault="003826A9" w:rsidP="003826A9">
      <w:pPr>
        <w:rPr>
          <w:sz w:val="28"/>
          <w:szCs w:val="28"/>
        </w:rPr>
      </w:pPr>
    </w:p>
    <w:p w14:paraId="72AF6ADA" w14:textId="77777777" w:rsidR="00A2551E" w:rsidRDefault="00A2551E"/>
    <w:sectPr w:rsidR="00A2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Sakha Unicode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789"/>
    <w:multiLevelType w:val="multilevel"/>
    <w:tmpl w:val="3A008EB6"/>
    <w:lvl w:ilvl="0">
      <w:start w:val="2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997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widowControl/>
        <w:ind w:left="2700" w:hanging="720"/>
      </w:pPr>
    </w:lvl>
    <w:lvl w:ilvl="3">
      <w:start w:val="1"/>
      <w:numFmt w:val="decimal"/>
      <w:lvlText w:val="%1.%2.%3.%4."/>
      <w:lvlJc w:val="left"/>
      <w:pPr>
        <w:widowControl/>
        <w:ind w:left="4050" w:hanging="1080"/>
      </w:pPr>
    </w:lvl>
    <w:lvl w:ilvl="4">
      <w:start w:val="1"/>
      <w:numFmt w:val="decimal"/>
      <w:lvlText w:val="%1.%2.%3.%4.%5."/>
      <w:lvlJc w:val="left"/>
      <w:pPr>
        <w:widowControl/>
        <w:ind w:left="5040" w:hanging="1080"/>
      </w:pPr>
    </w:lvl>
    <w:lvl w:ilvl="5">
      <w:start w:val="1"/>
      <w:numFmt w:val="decimal"/>
      <w:lvlText w:val="%1.%2.%3.%4.%5.%6."/>
      <w:lvlJc w:val="left"/>
      <w:pPr>
        <w:widowControl/>
        <w:ind w:left="6390" w:hanging="1440"/>
      </w:pPr>
    </w:lvl>
    <w:lvl w:ilvl="6">
      <w:start w:val="1"/>
      <w:numFmt w:val="decimal"/>
      <w:lvlText w:val="%1.%2.%3.%4.%5.%6.%7."/>
      <w:lvlJc w:val="left"/>
      <w:pPr>
        <w:widowControl/>
        <w:ind w:left="7740" w:hanging="1800"/>
      </w:pPr>
    </w:lvl>
    <w:lvl w:ilvl="7">
      <w:start w:val="1"/>
      <w:numFmt w:val="decimal"/>
      <w:lvlText w:val="%1.%2.%3.%4.%5.%6.%7.%8."/>
      <w:lvlJc w:val="left"/>
      <w:pPr>
        <w:widowControl/>
        <w:ind w:left="873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10080" w:hanging="2160"/>
      </w:pPr>
    </w:lvl>
  </w:abstractNum>
  <w:abstractNum w:abstractNumId="1" w15:restartNumberingAfterBreak="0">
    <w:nsid w:val="3C0C5127"/>
    <w:multiLevelType w:val="multilevel"/>
    <w:tmpl w:val="0714C3D8"/>
    <w:lvl w:ilvl="0">
      <w:start w:val="5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429" w:hanging="720"/>
      </w:pPr>
    </w:lvl>
    <w:lvl w:ilvl="2">
      <w:start w:val="1"/>
      <w:numFmt w:val="decimal"/>
      <w:lvlText w:val="%1.%2.%3."/>
      <w:lvlJc w:val="left"/>
      <w:pPr>
        <w:widowControl/>
        <w:ind w:left="2138" w:hanging="720"/>
      </w:pPr>
    </w:lvl>
    <w:lvl w:ilvl="3">
      <w:start w:val="1"/>
      <w:numFmt w:val="decimal"/>
      <w:lvlText w:val="%1.%2.%3.%4."/>
      <w:lvlJc w:val="left"/>
      <w:pPr>
        <w:widowControl/>
        <w:ind w:left="3207" w:hanging="1080"/>
      </w:p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</w:lvl>
  </w:abstractNum>
  <w:abstractNum w:abstractNumId="2" w15:restartNumberingAfterBreak="0">
    <w:nsid w:val="6A896A2A"/>
    <w:multiLevelType w:val="multilevel"/>
    <w:tmpl w:val="17A0D998"/>
    <w:lvl w:ilvl="0">
      <w:start w:val="1"/>
      <w:numFmt w:val="decimal"/>
      <w:lvlText w:val="%1."/>
      <w:lvlJc w:val="left"/>
      <w:pPr>
        <w:widowControl/>
        <w:ind w:left="144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widowControl/>
        <w:ind w:left="2160" w:hanging="720"/>
      </w:pPr>
    </w:lvl>
    <w:lvl w:ilvl="2">
      <w:start w:val="1"/>
      <w:numFmt w:val="decimal"/>
      <w:lvlText w:val="%1.%2.%3."/>
      <w:lvlJc w:val="left"/>
      <w:pPr>
        <w:widowControl/>
        <w:ind w:left="2520" w:hanging="720"/>
      </w:pPr>
    </w:lvl>
    <w:lvl w:ilvl="3">
      <w:start w:val="1"/>
      <w:numFmt w:val="decimal"/>
      <w:lvlText w:val="%1.%2.%3.%4."/>
      <w:lvlJc w:val="left"/>
      <w:pPr>
        <w:widowControl/>
        <w:ind w:left="3240" w:hanging="1080"/>
      </w:pPr>
    </w:lvl>
    <w:lvl w:ilvl="4">
      <w:start w:val="1"/>
      <w:numFmt w:val="decimal"/>
      <w:lvlText w:val="%1.%2.%3.%4.%5."/>
      <w:lvlJc w:val="left"/>
      <w:pPr>
        <w:widowControl/>
        <w:ind w:left="3600" w:hanging="1080"/>
      </w:pPr>
    </w:lvl>
    <w:lvl w:ilvl="5">
      <w:start w:val="1"/>
      <w:numFmt w:val="decimal"/>
      <w:lvlText w:val="%1.%2.%3.%4.%5.%6."/>
      <w:lvlJc w:val="left"/>
      <w:pPr>
        <w:widowControl/>
        <w:ind w:left="4320" w:hanging="1440"/>
      </w:pPr>
    </w:lvl>
    <w:lvl w:ilvl="6">
      <w:start w:val="1"/>
      <w:numFmt w:val="decimal"/>
      <w:lvlText w:val="%1.%2.%3.%4.%5.%6.%7."/>
      <w:lvlJc w:val="left"/>
      <w:pPr>
        <w:widowControl/>
        <w:ind w:left="5040" w:hanging="1800"/>
      </w:pPr>
    </w:lvl>
    <w:lvl w:ilvl="7">
      <w:start w:val="1"/>
      <w:numFmt w:val="decimal"/>
      <w:lvlText w:val="%1.%2.%3.%4.%5.%6.%7.%8."/>
      <w:lvlJc w:val="left"/>
      <w:pPr>
        <w:widowControl/>
        <w:ind w:left="540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6120" w:hanging="2160"/>
      </w:pPr>
    </w:lvl>
  </w:abstractNum>
  <w:abstractNum w:abstractNumId="3" w15:restartNumberingAfterBreak="0">
    <w:nsid w:val="6DC86739"/>
    <w:multiLevelType w:val="multilevel"/>
    <w:tmpl w:val="6B563526"/>
    <w:lvl w:ilvl="0">
      <w:start w:val="6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170" w:hanging="720"/>
      </w:pPr>
    </w:lvl>
    <w:lvl w:ilvl="2">
      <w:start w:val="1"/>
      <w:numFmt w:val="decimal"/>
      <w:lvlText w:val="%1.%2.%3."/>
      <w:lvlJc w:val="left"/>
      <w:pPr>
        <w:widowControl/>
        <w:ind w:left="1620" w:hanging="720"/>
      </w:pPr>
    </w:lvl>
    <w:lvl w:ilvl="3">
      <w:start w:val="1"/>
      <w:numFmt w:val="decimal"/>
      <w:lvlText w:val="%1.%2.%3.%4."/>
      <w:lvlJc w:val="left"/>
      <w:pPr>
        <w:widowControl/>
        <w:ind w:left="2430" w:hanging="1080"/>
      </w:pPr>
    </w:lvl>
    <w:lvl w:ilvl="4">
      <w:start w:val="1"/>
      <w:numFmt w:val="decimal"/>
      <w:lvlText w:val="%1.%2.%3.%4.%5."/>
      <w:lvlJc w:val="left"/>
      <w:pPr>
        <w:widowControl/>
        <w:ind w:left="2880" w:hanging="1080"/>
      </w:pPr>
    </w:lvl>
    <w:lvl w:ilvl="5">
      <w:start w:val="1"/>
      <w:numFmt w:val="decimal"/>
      <w:lvlText w:val="%1.%2.%3.%4.%5.%6."/>
      <w:lvlJc w:val="left"/>
      <w:pPr>
        <w:widowControl/>
        <w:ind w:left="3690" w:hanging="1440"/>
      </w:pPr>
    </w:lvl>
    <w:lvl w:ilvl="6">
      <w:start w:val="1"/>
      <w:numFmt w:val="decimal"/>
      <w:lvlText w:val="%1.%2.%3.%4.%5.%6.%7."/>
      <w:lvlJc w:val="left"/>
      <w:pPr>
        <w:widowControl/>
        <w:ind w:left="4500" w:hanging="1800"/>
      </w:pPr>
    </w:lvl>
    <w:lvl w:ilvl="7">
      <w:start w:val="1"/>
      <w:numFmt w:val="decimal"/>
      <w:lvlText w:val="%1.%2.%3.%4.%5.%6.%7.%8."/>
      <w:lvlJc w:val="left"/>
      <w:pPr>
        <w:widowControl/>
        <w:ind w:left="495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576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9"/>
    <w:rsid w:val="001A4989"/>
    <w:rsid w:val="002D7E84"/>
    <w:rsid w:val="003826A9"/>
    <w:rsid w:val="003B13E6"/>
    <w:rsid w:val="00A2551E"/>
    <w:rsid w:val="00C07AFF"/>
    <w:rsid w:val="00D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A026"/>
  <w15:chartTrackingRefBased/>
  <w15:docId w15:val="{11F8E0B0-647E-4F49-97BD-DB1C98E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2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6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6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6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6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6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6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6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6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6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26A9"/>
    <w:rPr>
      <w:b/>
      <w:bCs/>
      <w:smallCaps/>
      <w:color w:val="2F5496" w:themeColor="accent1" w:themeShade="BF"/>
      <w:spacing w:val="5"/>
    </w:rPr>
  </w:style>
  <w:style w:type="paragraph" w:customStyle="1" w:styleId="11">
    <w:name w:val="Гиперссылка1"/>
    <w:link w:val="ac"/>
    <w:rsid w:val="003826A9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character" w:styleId="ac">
    <w:name w:val="Hyperlink"/>
    <w:link w:val="11"/>
    <w:rsid w:val="003826A9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Default">
    <w:name w:val="Default"/>
    <w:rsid w:val="003826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.rosmintrud.ru" TargetMode="External"/><Relationship Id="rId5" Type="http://schemas.openxmlformats.org/officeDocument/2006/relationships/hyperlink" Target="http://ot.rosmintru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Торопов Константин Игоревич</cp:lastModifiedBy>
  <cp:revision>4</cp:revision>
  <dcterms:created xsi:type="dcterms:W3CDTF">2025-09-15T05:04:00Z</dcterms:created>
  <dcterms:modified xsi:type="dcterms:W3CDTF">2025-09-16T07:14:00Z</dcterms:modified>
</cp:coreProperties>
</file>