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176"/>
        <w:tblLayout w:type="fixed"/>
      </w:tblPr>
      <w:tblGrid>
        <w:gridCol w:w="4269"/>
        <w:gridCol w:w="1489"/>
        <w:gridCol w:w="4165"/>
      </w:tblGrid>
      <w:tr>
        <w:trPr>
          <w:trHeight w:hRule="atLeast" w:val="1843"/>
        </w:trPr>
        <w:tc>
          <w:tcPr>
            <w:tcW w:type="dxa" w:w="4269"/>
          </w:tcPr>
          <w:p w14:paraId="0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aps w:val="1"/>
                <w:sz w:val="24"/>
              </w:rPr>
            </w:pPr>
          </w:p>
          <w:p w14:paraId="0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aps w:val="1"/>
                <w:sz w:val="26"/>
              </w:rPr>
            </w:pPr>
            <w:r>
              <w:rPr>
                <w:rFonts w:ascii="Times New Roman" w:hAnsi="Times New Roman"/>
                <w:caps w:val="1"/>
                <w:sz w:val="26"/>
              </w:rPr>
              <w:t>ГЛАВА</w:t>
            </w:r>
          </w:p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aps w:val="1"/>
                <w:sz w:val="26"/>
              </w:rPr>
            </w:pPr>
            <w:r>
              <w:rPr>
                <w:rFonts w:ascii="Times New Roman" w:hAnsi="Times New Roman"/>
                <w:caps w:val="1"/>
                <w:sz w:val="26"/>
              </w:rPr>
              <w:t>РЕСПУБЛИКИ САХА (ЯКУТИЯ)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34"/>
              </w:rPr>
            </w:pPr>
            <w:r>
              <w:rPr>
                <w:rFonts w:ascii="Times New Roman" w:hAnsi="Times New Roman"/>
                <w:b w:val="1"/>
                <w:sz w:val="34"/>
              </w:rPr>
              <w:t>УКАЗ</w:t>
            </w:r>
          </w:p>
          <w:p w14:paraId="0D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г. Якутск</w:t>
            </w:r>
          </w:p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89"/>
          </w:tcPr>
          <w:p w14:paraId="1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drawing>
                <wp:inline>
                  <wp:extent cx="731520" cy="73152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731520" cy="7315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165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aps w:val="1"/>
                <w:sz w:val="24"/>
              </w:rPr>
            </w:pP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aps w:val="1"/>
                <w:sz w:val="26"/>
              </w:rPr>
            </w:pPr>
            <w:r>
              <w:rPr>
                <w:rFonts w:ascii="Times New Roman" w:hAnsi="Times New Roman"/>
                <w:caps w:val="1"/>
                <w:sz w:val="26"/>
              </w:rPr>
              <w:t xml:space="preserve">САХА ӨРӨСПҮҮБҮЛҮКЭТИН </w:t>
            </w:r>
          </w:p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aps w:val="1"/>
                <w:sz w:val="24"/>
              </w:rPr>
            </w:pPr>
            <w:r>
              <w:rPr>
                <w:rFonts w:ascii="Times New Roman" w:hAnsi="Times New Roman"/>
                <w:caps w:val="1"/>
                <w:sz w:val="26"/>
              </w:rPr>
              <w:t>ИЛ ДАРХАНА</w:t>
            </w:r>
          </w:p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aps w:val="1"/>
                <w:sz w:val="34"/>
              </w:rPr>
            </w:pPr>
            <w:r>
              <w:rPr>
                <w:rFonts w:ascii="Times New Roman" w:hAnsi="Times New Roman"/>
                <w:b w:val="1"/>
                <w:caps w:val="1"/>
                <w:sz w:val="34"/>
              </w:rPr>
              <w:t>ЫЙААХ</w:t>
            </w:r>
          </w:p>
          <w:p w14:paraId="16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aps w:val="1"/>
                <w:spacing w:val="30"/>
                <w:sz w:val="24"/>
              </w:rPr>
            </w:pPr>
          </w:p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aps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Дьокуускай к.</w:t>
            </w:r>
          </w:p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1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pStyle w:val="Style_4"/>
        <w:widowControl w:val="1"/>
        <w:ind/>
        <w:jc w:val="center"/>
        <w:outlineLvl w:val="1"/>
        <w:rPr>
          <w:sz w:val="28"/>
        </w:rPr>
      </w:pPr>
      <w:r>
        <w:rPr>
          <w:sz w:val="28"/>
        </w:rPr>
        <w:t>Об установлении на 2026</w:t>
      </w:r>
      <w:r>
        <w:rPr>
          <w:sz w:val="28"/>
        </w:rPr>
        <w:t xml:space="preserve"> год запрета на привлечение хозяйствующими субъектами, осуществляющими деятельность на территории Республики Саха (Якутия), иностранных граждан, осуществляющих трудовую деятельность на основании патентов, по отдельным видам экономической деятельности</w:t>
      </w:r>
    </w:p>
    <w:p w14:paraId="1C000000">
      <w:pPr>
        <w:widowControl w:val="0"/>
        <w:ind/>
        <w:jc w:val="center"/>
        <w:rPr>
          <w:b w:val="1"/>
          <w:sz w:val="28"/>
        </w:rPr>
      </w:pPr>
    </w:p>
    <w:p w14:paraId="1D000000">
      <w:pPr>
        <w:pStyle w:val="Style_5"/>
        <w:widowControl w:val="0"/>
        <w:spacing w:line="36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соответствии с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пунктом 6 статьи 18.1 Федерального закона от 25 июля 2002 г. № 115-ФЗ «О правовом положении иностранных граждан в Российской Федерации» </w:t>
      </w:r>
      <w:r>
        <w:rPr>
          <w:rFonts w:ascii="Times New Roman" w:hAnsi="Times New Roman"/>
          <w:spacing w:val="80"/>
          <w:sz w:val="28"/>
        </w:rPr>
        <w:t>постановляю</w:t>
      </w:r>
      <w:r>
        <w:rPr>
          <w:rFonts w:ascii="Times New Roman" w:hAnsi="Times New Roman"/>
          <w:sz w:val="28"/>
        </w:rPr>
        <w:t>:</w:t>
      </w:r>
    </w:p>
    <w:p w14:paraId="1E000000">
      <w:pPr>
        <w:widowControl w:val="0"/>
        <w:spacing w:after="0" w:line="36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Установить на 2026 год запрет на привлечение хозяйствующими субъектами, осуществляющими д</w:t>
      </w:r>
      <w:r>
        <w:rPr>
          <w:rFonts w:ascii="Times New Roman" w:hAnsi="Times New Roman"/>
          <w:sz w:val="28"/>
        </w:rPr>
        <w:t xml:space="preserve">еятельность на территории Республики Саха (Якутия), иностранных граждан, осуществляющих трудовую деятельность на основании патентов, по отдельным видам экономической деятельности согласно приложению к настоящему Указу. </w:t>
      </w:r>
    </w:p>
    <w:p w14:paraId="1F000000">
      <w:pPr>
        <w:pStyle w:val="Style_6"/>
        <w:widowControl w:val="0"/>
        <w:spacing w:line="360" w:lineRule="exact"/>
        <w:ind w:firstLine="708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Определить срок приведения хозяйс</w:t>
      </w:r>
      <w:r>
        <w:rPr>
          <w:sz w:val="28"/>
        </w:rPr>
        <w:t>твующими субъектами, осуществляющими деятельность на территории Республики Саха (Якутия), численности используемых ими иностранных работников в соответствие с запрето</w:t>
      </w:r>
      <w:r>
        <w:rPr>
          <w:rStyle w:val="Style_6_ch"/>
          <w:sz w:val="28"/>
        </w:rPr>
        <w:t xml:space="preserve">м, установленным пунктом 1 настоящего Указа, </w:t>
      </w:r>
      <w:r>
        <w:rPr>
          <w:rStyle w:val="Style_6_ch"/>
          <w:sz w:val="28"/>
        </w:rPr>
        <w:t>до 1 января 2026 года.</w:t>
      </w:r>
    </w:p>
    <w:p w14:paraId="20000000">
      <w:pPr>
        <w:pStyle w:val="Style_6"/>
        <w:widowControl w:val="0"/>
        <w:spacing w:line="360" w:lineRule="exact"/>
        <w:ind w:firstLine="708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Опубликовать настоящий Указ в официальных средствах массовой информ</w:t>
      </w:r>
      <w:r>
        <w:rPr>
          <w:sz w:val="28"/>
        </w:rPr>
        <w:t>ации.</w:t>
      </w:r>
    </w:p>
    <w:p w14:paraId="21000000">
      <w:pPr>
        <w:widowControl w:val="0"/>
        <w:spacing w:after="0" w:line="360" w:lineRule="exact"/>
        <w:ind w:firstLine="709" w:left="0"/>
        <w:jc w:val="both"/>
        <w:rPr>
          <w:rFonts w:ascii="Times New Roman" w:hAnsi="Times New Roman"/>
          <w:sz w:val="28"/>
        </w:rPr>
      </w:pPr>
    </w:p>
    <w:p w14:paraId="22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Глава</w:t>
      </w:r>
    </w:p>
    <w:p w14:paraId="2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Республики Саха (Якутия)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</w:t>
      </w:r>
      <w:r>
        <w:rPr>
          <w:rFonts w:ascii="Times New Roman" w:hAnsi="Times New Roman"/>
          <w:b w:val="1"/>
          <w:sz w:val="28"/>
        </w:rPr>
        <w:t>А. НИКОЛАЕВ</w:t>
      </w:r>
    </w:p>
    <w:p w14:paraId="2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5000000">
      <w:pPr>
        <w:widowControl w:val="0"/>
        <w:spacing w:after="0" w:line="38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 __________ ____ г.</w:t>
      </w:r>
    </w:p>
    <w:p w14:paraId="26000000">
      <w:pPr>
        <w:widowControl w:val="0"/>
        <w:spacing w:after="0" w:line="38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______</w:t>
      </w:r>
    </w:p>
    <w:p w14:paraId="27000000">
      <w:pPr>
        <w:sectPr>
          <w:headerReference r:id="rId2" w:type="default"/>
          <w:headerReference r:id="rId3" w:type="first"/>
          <w:pgSz w:h="16838" w:orient="portrait" w:w="11906"/>
          <w:pgMar w:bottom="1134" w:footer="709" w:gutter="0" w:header="709" w:left="1701" w:right="850" w:top="1134"/>
          <w:titlePg/>
        </w:sectPr>
      </w:pPr>
    </w:p>
    <w:p w14:paraId="28000000">
      <w:pPr>
        <w:widowControl w:val="0"/>
        <w:spacing w:after="0" w:line="240" w:lineRule="auto"/>
        <w:ind w:hanging="567" w:left="4678" w:right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29000000">
      <w:pPr>
        <w:widowControl w:val="0"/>
        <w:spacing w:after="0" w:line="240" w:lineRule="auto"/>
        <w:ind w:hanging="567" w:left="4678" w:right="240"/>
        <w:jc w:val="center"/>
        <w:rPr>
          <w:rFonts w:ascii="Times New Roman" w:hAnsi="Times New Roman"/>
          <w:sz w:val="16"/>
        </w:rPr>
      </w:pPr>
    </w:p>
    <w:p w14:paraId="2A000000">
      <w:pPr>
        <w:widowControl w:val="0"/>
        <w:spacing w:after="0" w:line="240" w:lineRule="auto"/>
        <w:ind w:hanging="567" w:left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Указу Главы</w:t>
      </w:r>
    </w:p>
    <w:p w14:paraId="2B000000">
      <w:pPr>
        <w:widowControl w:val="0"/>
        <w:spacing w:after="0" w:line="240" w:lineRule="auto"/>
        <w:ind w:hanging="567" w:left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Саха (Якутия)</w:t>
      </w:r>
    </w:p>
    <w:p w14:paraId="2C000000">
      <w:pPr>
        <w:widowControl w:val="0"/>
        <w:tabs>
          <w:tab w:leader="none" w:pos="6780" w:val="left"/>
          <w:tab w:leader="none" w:pos="7248" w:val="left"/>
          <w:tab w:leader="none" w:pos="9354" w:val="right"/>
        </w:tabs>
        <w:spacing w:after="200" w:line="240" w:lineRule="auto"/>
        <w:ind w:hanging="567" w:left="4678"/>
        <w:contextualSpacing w:val="1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__________________ г. № __</w:t>
      </w:r>
    </w:p>
    <w:p w14:paraId="2D000000">
      <w:pPr>
        <w:widowControl w:val="0"/>
        <w:spacing w:after="0" w:line="360" w:lineRule="exact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2E000000">
      <w:pPr>
        <w:widowControl w:val="0"/>
        <w:spacing w:after="0" w:line="360" w:lineRule="exact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2F000000">
      <w:pPr>
        <w:widowControl w:val="0"/>
        <w:spacing w:after="0" w:line="360" w:lineRule="exact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30000000">
      <w:pPr>
        <w:widowControl w:val="0"/>
        <w:spacing w:after="0" w:line="360" w:lineRule="exact"/>
        <w:ind w:hanging="142" w:left="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</w:t>
      </w:r>
    </w:p>
    <w:p w14:paraId="31000000">
      <w:pPr>
        <w:widowControl w:val="0"/>
        <w:spacing w:after="0" w:line="240" w:lineRule="auto"/>
        <w:ind w:hanging="142" w:left="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видов экономической деятельности*, по которым устанавливается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на 2026 год запрет на привлечение хо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зяйствующими субъектами, осуществляющими деятельность на территории Республики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Саха (Якутия)</w:t>
      </w:r>
      <w:r>
        <w:rPr>
          <w:rFonts w:ascii="Times New Roman" w:hAnsi="Times New Roman"/>
          <w:b w:val="1"/>
          <w:sz w:val="28"/>
        </w:rPr>
        <w:t xml:space="preserve">, иностранных граждан, осуществляющих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трудовую деятельность на основании патентов</w:t>
      </w:r>
    </w:p>
    <w:p w14:paraId="32000000">
      <w:pPr>
        <w:widowControl w:val="0"/>
        <w:spacing w:after="0" w:line="360" w:lineRule="exact"/>
        <w:ind w:firstLine="709" w:left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7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93"/>
        <w:gridCol w:w="1134"/>
        <w:gridCol w:w="7229"/>
      </w:tblGrid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widowControl w:val="0"/>
              <w:spacing w:line="360" w:lineRule="exact"/>
              <w:ind w:right="3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5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14:paraId="36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7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8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after="0"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A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B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C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Лесоводство и лесозаготовки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D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E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F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Рыболовство</w:t>
            </w:r>
            <w:r>
              <w:rPr>
                <w:rFonts w:ascii="Times New Roman" w:hAnsi="Times New Roman"/>
                <w:sz w:val="28"/>
              </w:rPr>
              <w:t xml:space="preserve"> и рыбоводство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0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1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2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Производство пищевых продуктов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3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4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5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Производство напитков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6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7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8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Производство табачных изделий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9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A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B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Производство текстильных изделий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C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D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E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Производство одежды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F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0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1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Производство кожи и изделий из кожи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2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3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4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Производство мебели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5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6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1.10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7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строительных проектов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8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9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3.11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A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Разборка и снос зданий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B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C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D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Торговля розничная, кроме торговли автотранспортными средствами и мотоциклами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E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F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9.32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0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легкового такси и арендованных легковых автомобилей с водителем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1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2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9.39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3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Деятельность </w:t>
            </w:r>
            <w:r>
              <w:rPr>
                <w:rFonts w:ascii="Times New Roman" w:hAnsi="Times New Roman"/>
                <w:sz w:val="28"/>
              </w:rPr>
              <w:t>прочего сухопутного пассажирского транспорта, не включённая в другие группировки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4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5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9.41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6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автомобильного грузового транспорта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7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8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9.42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9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услуг по перевозкам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A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B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C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Складское хозяйство и вспомогательная транспортная деятельность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D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E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F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почтовой связи и курьерская деятельность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0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1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2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по предоставлению мест для временного проживания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3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4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5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по предоставлению продуктов питания и напитков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6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7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8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Операции с недвижимым имуществом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9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A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B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Деятельность в области </w:t>
            </w:r>
            <w:r>
              <w:rPr>
                <w:rFonts w:ascii="Times New Roman" w:hAnsi="Times New Roman"/>
                <w:sz w:val="28"/>
              </w:rPr>
              <w:t>права и бухгалтерского учета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C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D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E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головных офисов; консультирование по вопросам управления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F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0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1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2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3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4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Научные исследования</w:t>
            </w:r>
            <w:r>
              <w:rPr>
                <w:rFonts w:ascii="Times New Roman" w:hAnsi="Times New Roman"/>
                <w:sz w:val="28"/>
              </w:rPr>
              <w:t xml:space="preserve"> и разработки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5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6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7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рекламная и исследование конъюнктуры рынка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8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9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A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профессиональная научная и техническая прочая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B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C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D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Образование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E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F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0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в области здравоохранения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1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2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3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по уходу с обеспечением проживания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4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5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6000000">
            <w:pPr>
              <w:widowControl w:val="0"/>
              <w:spacing w:line="36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социальных услуг без обеспечения проживания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7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8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9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9_ch"/>
                <w:rFonts w:ascii="Times New Roman" w:hAnsi="Times New Roman"/>
                <w:sz w:val="28"/>
              </w:rPr>
              <w:t>Деятельность домашних хозяйств с наемными работниками</w:t>
            </w:r>
          </w:p>
        </w:tc>
      </w:tr>
      <w:tr>
        <w:tc>
          <w:tcPr>
            <w:tcW w:type="dxa" w:w="99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A000000">
            <w:pPr>
              <w:pStyle w:val="Style_8"/>
              <w:widowControl w:val="0"/>
              <w:numPr>
                <w:ilvl w:val="0"/>
                <w:numId w:val="1"/>
              </w:numPr>
              <w:spacing w:line="360" w:lineRule="exact"/>
              <w:ind w:firstLine="0" w:left="0" w:right="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B000000">
            <w:pPr>
              <w:widowControl w:val="0"/>
              <w:spacing w:line="36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72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C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9_ch"/>
                <w:rFonts w:ascii="Times New Roman" w:hAnsi="Times New Roman"/>
                <w:sz w:val="28"/>
              </w:rPr>
              <w:t xml:space="preserve">Деятельность недифференцированная частных домашних хозяйств по производству товаров и предоставлению услуг для собственного </w:t>
            </w:r>
            <w:r>
              <w:rPr>
                <w:rStyle w:val="Style_9_ch"/>
                <w:rFonts w:ascii="Times New Roman" w:hAnsi="Times New Roman"/>
                <w:sz w:val="28"/>
              </w:rPr>
              <w:t>потребления</w:t>
            </w:r>
          </w:p>
        </w:tc>
      </w:tr>
    </w:tbl>
    <w:p w14:paraId="9D000000">
      <w:pPr>
        <w:widowControl w:val="0"/>
        <w:spacing w:after="0" w:line="360" w:lineRule="exact"/>
        <w:ind/>
        <w:jc w:val="both"/>
        <w:rPr>
          <w:rFonts w:ascii="Times New Roman" w:hAnsi="Times New Roman"/>
          <w:sz w:val="28"/>
        </w:rPr>
      </w:pPr>
    </w:p>
    <w:p w14:paraId="9E000000">
      <w:pPr>
        <w:widowControl w:val="0"/>
        <w:spacing w:after="0" w:line="360" w:lineRule="exact"/>
        <w:ind/>
        <w:jc w:val="both"/>
        <w:rPr>
          <w:rFonts w:ascii="Times New Roman" w:hAnsi="Times New Roman"/>
          <w:sz w:val="28"/>
        </w:rPr>
      </w:pPr>
    </w:p>
    <w:p w14:paraId="9F000000">
      <w:pPr>
        <w:widowControl w:val="0"/>
        <w:spacing w:after="0" w:line="36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* </w:t>
      </w:r>
      <w:r>
        <w:rPr>
          <w:rFonts w:ascii="Times New Roman" w:hAnsi="Times New Roman"/>
          <w:sz w:val="28"/>
        </w:rPr>
        <w:t>- виды экономической деятельности, предусмотренные общероссийским классификатором видов экономической деятельности (ОК 029-2014 (КДЕС Ред. 2).</w:t>
      </w:r>
    </w:p>
    <w:p w14:paraId="A0000000">
      <w:pPr>
        <w:rPr>
          <w:rFonts w:ascii="Times New Roman" w:hAnsi="Times New Roman"/>
          <w:sz w:val="28"/>
        </w:rPr>
      </w:pPr>
    </w:p>
    <w:p w14:paraId="A1000000">
      <w:pPr>
        <w:rPr>
          <w:rFonts w:ascii="Times New Roman" w:hAnsi="Times New Roman"/>
          <w:sz w:val="28"/>
        </w:rPr>
      </w:pPr>
    </w:p>
    <w:p w14:paraId="A2000000">
      <w:pPr>
        <w:rPr>
          <w:rFonts w:ascii="Times New Roman" w:hAnsi="Times New Roman"/>
          <w:sz w:val="28"/>
        </w:rPr>
      </w:pPr>
    </w:p>
    <w:p w14:paraId="A3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A4000000">
      <w:pPr>
        <w:rPr>
          <w:rFonts w:ascii="Times New Roman" w:hAnsi="Times New Roman"/>
          <w:sz w:val="28"/>
        </w:rPr>
      </w:pPr>
    </w:p>
    <w:sectPr>
      <w:headerReference r:id="rId1" w:type="default"/>
      <w:headerReference r:id="rId4" w:type="first"/>
      <w:pgSz w:h="16838" w:orient="portrait" w:w="11906"/>
      <w:pgMar w:bottom="1134" w:footer="709" w:gutter="0" w:header="709" w:left="1701" w:right="850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</w:pPr>
  </w:p>
  <w:p w14:paraId="05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0"/>
      <w:ind/>
      <w:jc w:val="center"/>
    </w:pPr>
  </w:p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0"/>
        <w:ind w:hanging="360" w:left="360"/>
      </w:pPr>
    </w:lvl>
    <w:lvl w:ilvl="1">
      <w:start w:val="1"/>
      <w:numFmt w:val="lowerLetter"/>
      <w:suff w:val="tab"/>
      <w:lvlText w:val="%2."/>
      <w:lvlJc w:val="left"/>
      <w:pPr>
        <w:widowControl w:val="0"/>
        <w:ind w:hanging="360" w:left="1080"/>
      </w:pPr>
    </w:lvl>
    <w:lvl w:ilvl="2">
      <w:start w:val="1"/>
      <w:numFmt w:val="lowerRoman"/>
      <w:suff w:val="tab"/>
      <w:lvlText w:val="%3."/>
      <w:lvlJc w:val="right"/>
      <w:pPr>
        <w:widowControl w:val="0"/>
        <w:ind w:hanging="180" w:left="1800"/>
      </w:pPr>
    </w:lvl>
    <w:lvl w:ilvl="3">
      <w:start w:val="1"/>
      <w:numFmt w:val="decimal"/>
      <w:suff w:val="tab"/>
      <w:lvlText w:val="%4."/>
      <w:lvlJc w:val="left"/>
      <w:pPr>
        <w:widowControl w:val="0"/>
        <w:ind w:hanging="360" w:left="2520"/>
      </w:pPr>
    </w:lvl>
    <w:lvl w:ilvl="4">
      <w:start w:val="1"/>
      <w:numFmt w:val="lowerLetter"/>
      <w:suff w:val="tab"/>
      <w:lvlText w:val="%5."/>
      <w:lvlJc w:val="left"/>
      <w:pPr>
        <w:widowControl w:val="0"/>
        <w:ind w:hanging="360" w:left="3240"/>
      </w:pPr>
    </w:lvl>
    <w:lvl w:ilvl="5">
      <w:start w:val="1"/>
      <w:numFmt w:val="lowerRoman"/>
      <w:suff w:val="tab"/>
      <w:lvlText w:val="%6."/>
      <w:lvlJc w:val="right"/>
      <w:pPr>
        <w:widowControl w:val="0"/>
        <w:ind w:hanging="180" w:left="3960"/>
      </w:pPr>
    </w:lvl>
    <w:lvl w:ilvl="6">
      <w:start w:val="1"/>
      <w:numFmt w:val="decimal"/>
      <w:suff w:val="tab"/>
      <w:lvlText w:val="%7."/>
      <w:lvlJc w:val="left"/>
      <w:pPr>
        <w:widowControl w:val="0"/>
        <w:ind w:hanging="360" w:left="4680"/>
      </w:pPr>
    </w:lvl>
    <w:lvl w:ilvl="7">
      <w:start w:val="1"/>
      <w:numFmt w:val="lowerLetter"/>
      <w:suff w:val="tab"/>
      <w:lvlText w:val="%8."/>
      <w:lvlJc w:val="left"/>
      <w:pPr>
        <w:widowControl w:val="0"/>
        <w:ind w:hanging="360" w:left="5400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180" w:left="61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11" w:type="paragraph">
    <w:name w:val="toc 2"/>
    <w:next w:val="Style_10"/>
    <w:link w:val="Style_11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10"/>
    <w:link w:val="Style_12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10"/>
    <w:link w:val="Style_13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footer"/>
    <w:basedOn w:val="Style_10"/>
    <w:link w:val="Style_14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footer"/>
    <w:basedOn w:val="Style_10_ch"/>
    <w:link w:val="Style_14"/>
  </w:style>
  <w:style w:styleId="Style_15" w:type="paragraph">
    <w:name w:val="toc 7"/>
    <w:next w:val="Style_10"/>
    <w:link w:val="Style_15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10"/>
    <w:link w:val="Style_1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5" w:type="paragraph">
    <w:name w:val="ConsPlusNormal"/>
    <w:link w:val="Style_5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5_ch" w:type="character">
    <w:name w:val="ConsPlusNormal"/>
    <w:link w:val="Style_5"/>
    <w:rPr>
      <w:rFonts w:ascii="Arial" w:hAnsi="Arial"/>
      <w:sz w:val="20"/>
    </w:rPr>
  </w:style>
  <w:style w:styleId="Style_8" w:type="paragraph">
    <w:name w:val="List Paragraph"/>
    <w:basedOn w:val="Style_10"/>
    <w:link w:val="Style_8_ch"/>
    <w:pPr>
      <w:widowControl w:val="0"/>
      <w:ind w:firstLine="0" w:left="720"/>
      <w:contextualSpacing w:val="1"/>
    </w:pPr>
  </w:style>
  <w:style w:styleId="Style_8_ch" w:type="character">
    <w:name w:val="List Paragraph"/>
    <w:basedOn w:val="Style_10_ch"/>
    <w:link w:val="Style_8"/>
  </w:style>
  <w:style w:styleId="Style_4" w:type="paragraph">
    <w:name w:val="ConsPlusTitle"/>
    <w:link w:val="Style_4_ch"/>
    <w:pPr>
      <w:widowControl w:val="0"/>
      <w:spacing w:after="0" w:line="240" w:lineRule="auto"/>
      <w:ind/>
    </w:pPr>
    <w:rPr>
      <w:rFonts w:ascii="Times New Roman" w:hAnsi="Times New Roman"/>
      <w:b w:val="1"/>
      <w:sz w:val="24"/>
    </w:rPr>
  </w:style>
  <w:style w:styleId="Style_4_ch" w:type="character">
    <w:name w:val="ConsPlusTitle"/>
    <w:link w:val="Style_4"/>
    <w:rPr>
      <w:rFonts w:ascii="Times New Roman" w:hAnsi="Times New Roman"/>
      <w:b w:val="1"/>
      <w:sz w:val="24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Balloon Text"/>
    <w:basedOn w:val="Style_10"/>
    <w:link w:val="Style_19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10_ch"/>
    <w:link w:val="Style_19"/>
    <w:rPr>
      <w:rFonts w:ascii="Segoe UI" w:hAnsi="Segoe UI"/>
      <w:sz w:val="18"/>
    </w:rPr>
  </w:style>
  <w:style w:styleId="Style_20" w:type="paragraph">
    <w:name w:val="toc 3"/>
    <w:next w:val="Style_10"/>
    <w:link w:val="Style_20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" w:type="paragraph">
    <w:name w:val="Номер страницы1"/>
    <w:basedOn w:val="Style_18"/>
    <w:link w:val="Style_2_ch"/>
  </w:style>
  <w:style w:styleId="Style_2_ch" w:type="character">
    <w:name w:val="Номер страницы1"/>
    <w:basedOn w:val="Style_18_ch"/>
    <w:link w:val="Style_2"/>
  </w:style>
  <w:style w:styleId="Style_21" w:type="paragraph">
    <w:name w:val="heading 5"/>
    <w:next w:val="Style_10"/>
    <w:link w:val="Style_2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1_ch" w:type="character">
    <w:name w:val="heading 5"/>
    <w:link w:val="Style_21"/>
    <w:rPr>
      <w:rFonts w:ascii="XO Thames" w:hAnsi="XO Thames"/>
      <w:b w:val="1"/>
    </w:rPr>
  </w:style>
  <w:style w:styleId="Style_22" w:type="paragraph">
    <w:name w:val="heading 1"/>
    <w:next w:val="Style_10"/>
    <w:link w:val="Style_2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1" w:type="paragraph">
    <w:name w:val="header"/>
    <w:basedOn w:val="Style_10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header"/>
    <w:basedOn w:val="Style_10_ch"/>
    <w:link w:val="Style_1"/>
    <w:rPr>
      <w:rFonts w:ascii="Times New Roman" w:hAnsi="Times New Roman"/>
      <w:sz w:val="24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0"/>
      <w:ind w:firstLine="851" w:left="0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10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10"/>
    <w:link w:val="Style_27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28" w:type="paragraph">
    <w:name w:val="toc 8"/>
    <w:next w:val="Style_10"/>
    <w:link w:val="Style_28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Слабое выделение1"/>
    <w:basedOn w:val="Style_18"/>
    <w:link w:val="Style_29_ch"/>
    <w:rPr>
      <w:i w:val="1"/>
      <w:color w:themeColor="text1" w:themeTint="7F" w:val="808080"/>
    </w:rPr>
  </w:style>
  <w:style w:styleId="Style_29_ch" w:type="character">
    <w:name w:val="Слабое выделение1"/>
    <w:basedOn w:val="Style_18_ch"/>
    <w:link w:val="Style_29"/>
    <w:rPr>
      <w:i w:val="1"/>
      <w:color w:themeColor="text1" w:themeTint="7F" w:val="808080"/>
    </w:rPr>
  </w:style>
  <w:style w:styleId="Style_30" w:type="paragraph">
    <w:name w:val="toc 5"/>
    <w:next w:val="Style_10"/>
    <w:link w:val="Style_30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Гиперссылка1"/>
    <w:link w:val="Style_31_ch"/>
    <w:rPr>
      <w:color w:val="0000FF"/>
      <w:u w:val="single"/>
    </w:rPr>
  </w:style>
  <w:style w:styleId="Style_31_ch" w:type="character">
    <w:name w:val="Гиперссылка1"/>
    <w:link w:val="Style_31"/>
    <w:rPr>
      <w:color w:val="0000FF"/>
      <w:u w:val="single"/>
    </w:rPr>
  </w:style>
  <w:style w:styleId="Style_32" w:type="paragraph">
    <w:name w:val="Subtitle"/>
    <w:next w:val="Style_10"/>
    <w:link w:val="Style_3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Title"/>
    <w:next w:val="Style_10"/>
    <w:link w:val="Style_3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10"/>
    <w:link w:val="Style_3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10"/>
    <w:link w:val="Style_3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6" w:type="paragraph">
    <w:name w:val="No Spacing"/>
    <w:link w:val="Style_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6_ch" w:type="character">
    <w:name w:val="No Spacing"/>
    <w:link w:val="Style_6"/>
    <w:rPr>
      <w:rFonts w:ascii="Times New Roman" w:hAnsi="Times New Roman"/>
      <w:sz w:val="24"/>
    </w:rPr>
  </w:style>
  <w:style w:styleId="Style_7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2025-07-24T03:26:45Z</dcterms:created>
  <dcterms:modified xsi:type="dcterms:W3CDTF">2025-09-17T09:44:22Z</dcterms:modified>
</cp:coreProperties>
</file>