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right"/>
      </w:pPr>
    </w:p>
    <w:p w14:paraId="03000000">
      <w:pPr>
        <w:widowControl w:val="0"/>
        <w:ind/>
        <w:jc w:val="right"/>
      </w:pPr>
    </w:p>
    <w:p w14:paraId="04000000">
      <w:pPr>
        <w:widowControl w:val="0"/>
        <w:ind/>
        <w:jc w:val="right"/>
      </w:pP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8000000">
      <w:pPr>
        <w:widowControl w:val="0"/>
        <w:tabs>
          <w:tab w:leader="none" w:pos="6684" w:val="left"/>
        </w:tabs>
        <w:ind/>
        <w:jc w:val="center"/>
        <w:rPr>
          <w:b w:val="1"/>
          <w:sz w:val="28"/>
        </w:rPr>
      </w:pPr>
      <w:r>
        <w:rPr>
          <w:sz w:val="28"/>
        </w:rPr>
        <w:t>от «___»_____________2025 г. № ______</w:t>
      </w:r>
    </w:p>
    <w:p w14:paraId="09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A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B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C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D000000">
      <w:pPr>
        <w:pStyle w:val="Style_1"/>
        <w:spacing w:before="0" w:line="276" w:lineRule="auto"/>
        <w:ind w:firstLine="0" w:left="0" w:right="-6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О внесении изменений в приложение 11 постановления </w:t>
      </w:r>
      <w:r>
        <w:rPr>
          <w:rFonts w:ascii="XO Thames" w:hAnsi="XO Thames"/>
          <w:color w:val="22272F"/>
          <w:sz w:val="28"/>
          <w:highlight w:val="white"/>
        </w:rPr>
        <w:t>Правительства Республики Саха (Якутия)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22272F"/>
          <w:sz w:val="28"/>
          <w:highlight w:val="white"/>
        </w:rPr>
        <w:t>от 5 декабря 2014 г. № 437</w:t>
      </w:r>
      <w:r>
        <w:rPr>
          <w:rFonts w:ascii="XO Thames" w:hAnsi="XO Thames"/>
          <w:sz w:val="28"/>
        </w:rPr>
        <w:t xml:space="preserve"> «</w:t>
      </w:r>
      <w:r>
        <w:rPr>
          <w:rFonts w:ascii="XO Thames" w:hAnsi="XO Thames"/>
          <w:color w:val="22272F"/>
          <w:sz w:val="28"/>
          <w:highlight w:val="white"/>
        </w:rPr>
        <w:t xml:space="preserve">Об изменении категории ресурсных резерватов республиканского значения «Большое </w:t>
      </w:r>
      <w:r>
        <w:rPr>
          <w:rFonts w:ascii="XO Thames" w:hAnsi="XO Thames"/>
          <w:color w:val="22272F"/>
          <w:sz w:val="28"/>
          <w:highlight w:val="white"/>
        </w:rPr>
        <w:t>Токко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Кыталык</w:t>
      </w:r>
      <w:r>
        <w:rPr>
          <w:rFonts w:ascii="XO Thames" w:hAnsi="XO Thames"/>
          <w:color w:val="22272F"/>
          <w:sz w:val="28"/>
          <w:highlight w:val="white"/>
        </w:rPr>
        <w:t>», «Медвежьи острова», «</w:t>
      </w:r>
      <w:r>
        <w:rPr>
          <w:rFonts w:ascii="XO Thames" w:hAnsi="XO Thames"/>
          <w:color w:val="22272F"/>
          <w:sz w:val="28"/>
          <w:highlight w:val="white"/>
        </w:rPr>
        <w:t>Пилька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Суннагино-Силиглинский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Сылгы-Ытар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Томпорук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Тукулан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Ундюлюнг</w:t>
      </w:r>
      <w:r>
        <w:rPr>
          <w:rFonts w:ascii="XO Thames" w:hAnsi="XO Thames"/>
          <w:color w:val="22272F"/>
          <w:sz w:val="28"/>
          <w:highlight w:val="white"/>
        </w:rPr>
        <w:t>», «</w:t>
      </w:r>
      <w:r>
        <w:rPr>
          <w:rFonts w:ascii="XO Thames" w:hAnsi="XO Thames"/>
          <w:color w:val="22272F"/>
          <w:sz w:val="28"/>
          <w:highlight w:val="white"/>
        </w:rPr>
        <w:t>Хамра</w:t>
      </w:r>
      <w:r>
        <w:rPr>
          <w:rFonts w:ascii="XO Thames" w:hAnsi="XO Thames"/>
          <w:color w:val="22272F"/>
          <w:sz w:val="28"/>
          <w:highlight w:val="white"/>
        </w:rPr>
        <w:t>», «Чабда» и «</w:t>
      </w:r>
      <w:r>
        <w:rPr>
          <w:rFonts w:ascii="XO Thames" w:hAnsi="XO Thames"/>
          <w:color w:val="22272F"/>
          <w:sz w:val="28"/>
          <w:highlight w:val="white"/>
        </w:rPr>
        <w:t>Эргеджей</w:t>
      </w:r>
      <w:r>
        <w:rPr>
          <w:rFonts w:ascii="XO Thames" w:hAnsi="XO Thames"/>
          <w:color w:val="22272F"/>
          <w:sz w:val="28"/>
          <w:highlight w:val="white"/>
        </w:rPr>
        <w:t>» (</w:t>
      </w:r>
      <w:r>
        <w:rPr>
          <w:rFonts w:ascii="XO Thames" w:hAnsi="XO Thames"/>
          <w:color w:val="22272F"/>
          <w:sz w:val="28"/>
          <w:highlight w:val="white"/>
        </w:rPr>
        <w:t>Сунтарский</w:t>
      </w:r>
      <w:r>
        <w:rPr>
          <w:rFonts w:ascii="XO Thames" w:hAnsi="XO Thames"/>
          <w:color w:val="22272F"/>
          <w:sz w:val="28"/>
          <w:highlight w:val="white"/>
        </w:rPr>
        <w:t xml:space="preserve"> улус) на категорию государственных природных заказников Республики Саха (Якутия)»</w:t>
      </w:r>
    </w:p>
    <w:p w14:paraId="0E000000">
      <w:pPr>
        <w:pStyle w:val="Style_1"/>
        <w:spacing w:before="0" w:line="276" w:lineRule="auto"/>
        <w:ind w:firstLine="0" w:left="0" w:right="-6"/>
        <w:rPr>
          <w:sz w:val="28"/>
        </w:rPr>
      </w:pPr>
    </w:p>
    <w:p w14:paraId="0F000000">
      <w:pPr>
        <w:pStyle w:val="Style_1"/>
        <w:spacing w:before="0" w:line="276" w:lineRule="auto"/>
        <w:ind w:firstLine="0" w:left="0" w:right="-6"/>
        <w:rPr>
          <w:sz w:val="28"/>
        </w:rPr>
      </w:pPr>
    </w:p>
    <w:p w14:paraId="10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11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соответствии с частью 1 статьи 80 </w:t>
      </w:r>
      <w:r>
        <w:rPr>
          <w:rFonts w:ascii="XO Thames" w:hAnsi="XO Thames"/>
          <w:sz w:val="28"/>
          <w:highlight w:val="white"/>
        </w:rPr>
        <w:t>Закона Республики Саха (Якутия) от 23 марта 2023 г. 2609-З № 1129-VI «Экологический кодекс Республики Саха (Якутия)»</w:t>
      </w:r>
      <w:r>
        <w:rPr>
          <w:rFonts w:ascii="XO Thames" w:hAnsi="XO Thames"/>
          <w:sz w:val="28"/>
        </w:rPr>
        <w:t xml:space="preserve"> Правительство Республики Саха (Якутия)                                 </w:t>
      </w: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о с т а н о в л я е т:</w:t>
      </w:r>
    </w:p>
    <w:p w14:paraId="12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 xml:space="preserve">1. Внести </w:t>
      </w:r>
      <w:r>
        <w:rPr>
          <w:rFonts w:ascii="XO Thames" w:hAnsi="XO Thames"/>
          <w:b w:val="0"/>
          <w:sz w:val="28"/>
        </w:rPr>
        <w:t xml:space="preserve">в приложение 11 постановления </w:t>
      </w:r>
      <w:r>
        <w:rPr>
          <w:rFonts w:ascii="XO Thames" w:hAnsi="XO Thames"/>
          <w:b w:val="0"/>
          <w:sz w:val="28"/>
          <w:highlight w:val="white"/>
        </w:rPr>
        <w:t>Правительства Республики Саха (Якутия)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  <w:highlight w:val="white"/>
        </w:rPr>
        <w:t>от 5 декабря 2014 г. № 437</w:t>
      </w:r>
      <w:r>
        <w:rPr>
          <w:rFonts w:ascii="XO Thames" w:hAnsi="XO Thames"/>
          <w:b w:val="0"/>
          <w:sz w:val="28"/>
        </w:rPr>
        <w:t xml:space="preserve"> «</w:t>
      </w:r>
      <w:r>
        <w:rPr>
          <w:rFonts w:ascii="XO Thames" w:hAnsi="XO Thames"/>
          <w:b w:val="0"/>
          <w:sz w:val="28"/>
          <w:highlight w:val="white"/>
        </w:rPr>
        <w:t xml:space="preserve">Об изменении категории ресурсных резерватов республиканского значения «Большое </w:t>
      </w:r>
      <w:r>
        <w:rPr>
          <w:rFonts w:ascii="XO Thames" w:hAnsi="XO Thames"/>
          <w:b w:val="0"/>
          <w:sz w:val="28"/>
          <w:highlight w:val="white"/>
        </w:rPr>
        <w:t>Токко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Кыталык</w:t>
      </w:r>
      <w:r>
        <w:rPr>
          <w:rFonts w:ascii="XO Thames" w:hAnsi="XO Thames"/>
          <w:b w:val="0"/>
          <w:sz w:val="28"/>
          <w:highlight w:val="white"/>
        </w:rPr>
        <w:t>», «Медвежьи острова», «</w:t>
      </w:r>
      <w:r>
        <w:rPr>
          <w:rFonts w:ascii="XO Thames" w:hAnsi="XO Thames"/>
          <w:b w:val="0"/>
          <w:sz w:val="28"/>
          <w:highlight w:val="white"/>
        </w:rPr>
        <w:t>Пилька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Суннагино-Силиглинский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Сылгы-Ытар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Томпорук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Тукулан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Ундюлюнг</w:t>
      </w:r>
      <w:r>
        <w:rPr>
          <w:rFonts w:ascii="XO Thames" w:hAnsi="XO Thames"/>
          <w:b w:val="0"/>
          <w:sz w:val="28"/>
          <w:highlight w:val="white"/>
        </w:rPr>
        <w:t>», «</w:t>
      </w:r>
      <w:r>
        <w:rPr>
          <w:rFonts w:ascii="XO Thames" w:hAnsi="XO Thames"/>
          <w:b w:val="0"/>
          <w:sz w:val="28"/>
          <w:highlight w:val="white"/>
        </w:rPr>
        <w:t>Хамра</w:t>
      </w:r>
      <w:r>
        <w:rPr>
          <w:rFonts w:ascii="XO Thames" w:hAnsi="XO Thames"/>
          <w:b w:val="0"/>
          <w:sz w:val="28"/>
          <w:highlight w:val="white"/>
        </w:rPr>
        <w:t>», «Чабда» и «</w:t>
      </w:r>
      <w:r>
        <w:rPr>
          <w:rFonts w:ascii="XO Thames" w:hAnsi="XO Thames"/>
          <w:b w:val="0"/>
          <w:sz w:val="28"/>
          <w:highlight w:val="white"/>
        </w:rPr>
        <w:t>Эргеджей</w:t>
      </w:r>
      <w:r>
        <w:rPr>
          <w:rFonts w:ascii="XO Thames" w:hAnsi="XO Thames"/>
          <w:b w:val="0"/>
          <w:sz w:val="28"/>
          <w:highlight w:val="white"/>
        </w:rPr>
        <w:t>» (</w:t>
      </w:r>
      <w:r>
        <w:rPr>
          <w:rFonts w:ascii="XO Thames" w:hAnsi="XO Thames"/>
          <w:b w:val="0"/>
          <w:sz w:val="28"/>
          <w:highlight w:val="white"/>
        </w:rPr>
        <w:t>Сунтарский</w:t>
      </w:r>
      <w:r>
        <w:rPr>
          <w:rFonts w:ascii="XO Thames" w:hAnsi="XO Thames"/>
          <w:b w:val="0"/>
          <w:sz w:val="28"/>
          <w:highlight w:val="white"/>
        </w:rPr>
        <w:t xml:space="preserve"> улус) на категорию государственных природных заказников Республики Саха (Якутия)»</w:t>
      </w:r>
      <w:r>
        <w:rPr>
          <w:b w:val="0"/>
          <w:sz w:val="28"/>
        </w:rPr>
        <w:t xml:space="preserve"> следующие изменения:</w:t>
      </w:r>
    </w:p>
    <w:p w14:paraId="13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 В пункте 6.1.:</w:t>
      </w:r>
    </w:p>
    <w:p w14:paraId="14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1.1.1. Абзац 5 изложить в следующей редакции:</w:t>
      </w:r>
    </w:p>
    <w:p w14:paraId="15000000">
      <w:pPr>
        <w:pStyle w:val="Style_1"/>
        <w:spacing w:before="0" w:line="360" w:lineRule="auto"/>
        <w:ind w:firstLine="709" w:left="0" w:right="-6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color w:val="22272F"/>
          <w:sz w:val="28"/>
          <w:highlight w:val="white"/>
        </w:rPr>
        <w:t>рубка главного пользования и другие виды рубок, заготовка живицы, сенокошение, выпас скота, заготовка и сбор грибов, ягод, орехов, плодов, семян, лекарственных и иных растений, другие виды пользования растительным миром</w:t>
      </w:r>
      <w:r>
        <w:rPr>
          <w:rFonts w:ascii="XO Thames" w:hAnsi="XO Thames"/>
          <w:b w:val="0"/>
          <w:sz w:val="28"/>
        </w:rPr>
        <w:t>, за исключением рубок для осуществления видов деятельности, указанных в абзаце 8 п. 6.2. настоящего Положения;».</w:t>
      </w:r>
    </w:p>
    <w:p w14:paraId="16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1.1.2. Абзац 11 изложить в следующей редакции:</w:t>
      </w:r>
    </w:p>
    <w:p w14:paraId="17000000">
      <w:pPr>
        <w:pStyle w:val="Style_1"/>
        <w:spacing w:before="0" w:line="360" w:lineRule="auto"/>
        <w:ind w:firstLine="709" w:left="0" w:right="-6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«строительство зданий и сооружений, дорог и трубопроводов и прочих коммуникаций, за исключением линий электропередач, волоконно-оптических линий связи, </w:t>
      </w:r>
      <w:r>
        <w:rPr>
          <w:b w:val="0"/>
          <w:color w:val="000000"/>
          <w:sz w:val="28"/>
        </w:rPr>
        <w:t xml:space="preserve">предусмотренных схемой территориального планирования Российской Федерации и </w:t>
      </w:r>
      <w:r>
        <w:rPr>
          <w:b w:val="0"/>
          <w:color w:val="000000"/>
          <w:sz w:val="28"/>
        </w:rPr>
        <w:t xml:space="preserve">расположенных в одном коридоре с существующими </w:t>
      </w:r>
      <w:r>
        <w:rPr>
          <w:b w:val="0"/>
          <w:color w:val="000000"/>
          <w:sz w:val="28"/>
        </w:rPr>
        <w:t>ВЛ</w:t>
      </w:r>
      <w:r>
        <w:rPr>
          <w:b w:val="0"/>
          <w:color w:val="000000"/>
          <w:sz w:val="28"/>
        </w:rPr>
        <w:t xml:space="preserve"> 220 кВ Городская – Нюя № 1 и </w:t>
      </w:r>
      <w:r>
        <w:rPr>
          <w:b w:val="0"/>
          <w:color w:val="000000"/>
          <w:sz w:val="28"/>
        </w:rPr>
        <w:t xml:space="preserve">ВЛ 220 кВ Городская – Нюя </w:t>
      </w:r>
      <w:r>
        <w:rPr>
          <w:b w:val="0"/>
          <w:color w:val="000000"/>
          <w:sz w:val="28"/>
        </w:rPr>
        <w:t>№ 2 с заходом на территорию заказника на минимально возможное расстояние от его границы (</w:t>
      </w:r>
      <w:r>
        <w:rPr>
          <w:b w:val="0"/>
          <w:color w:val="000000"/>
          <w:sz w:val="28"/>
        </w:rPr>
        <w:t>не более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30</w:t>
      </w:r>
      <w:r>
        <w:rPr>
          <w:b w:val="0"/>
          <w:color w:val="000000"/>
          <w:sz w:val="28"/>
        </w:rPr>
        <w:t>0</w:t>
      </w:r>
      <w:r>
        <w:rPr>
          <w:b w:val="0"/>
          <w:color w:val="000000"/>
          <w:sz w:val="28"/>
        </w:rPr>
        <w:t xml:space="preserve"> метров</w:t>
      </w:r>
      <w:r>
        <w:rPr>
          <w:b w:val="0"/>
          <w:color w:val="000000"/>
          <w:sz w:val="28"/>
        </w:rPr>
        <w:t xml:space="preserve"> с учетом соблюдения норм проектирования</w:t>
      </w:r>
      <w:r>
        <w:rPr>
          <w:b w:val="0"/>
          <w:color w:val="000000"/>
          <w:sz w:val="28"/>
        </w:rPr>
        <w:t>,</w:t>
      </w:r>
      <w:r>
        <w:rPr>
          <w:b w:val="0"/>
          <w:color w:val="000000"/>
          <w:sz w:val="28"/>
        </w:rPr>
        <w:t xml:space="preserve"> особенностей рельефа</w:t>
      </w:r>
      <w:r>
        <w:rPr>
          <w:b w:val="0"/>
          <w:color w:val="000000"/>
          <w:sz w:val="28"/>
        </w:rPr>
        <w:t xml:space="preserve"> и</w:t>
      </w:r>
      <w:r>
        <w:rPr>
          <w:b w:val="0"/>
          <w:color w:val="000000"/>
          <w:sz w:val="28"/>
        </w:rPr>
        <w:t xml:space="preserve"> перспективного расширения объектов электросетевого хозяйства в коридоре существующих коммуникаций</w:t>
      </w:r>
      <w:r>
        <w:rPr>
          <w:b w:val="0"/>
          <w:color w:val="000000"/>
          <w:sz w:val="28"/>
        </w:rPr>
        <w:t>)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с учетом минимизации воздействия на природные комплексы</w:t>
      </w:r>
      <w:r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.</w:t>
      </w:r>
    </w:p>
    <w:p w14:paraId="18000000">
      <w:pPr>
        <w:pStyle w:val="Style_1"/>
        <w:spacing w:before="0" w:line="360" w:lineRule="auto"/>
        <w:ind w:firstLine="709" w:left="0" w:right="-6"/>
        <w:jc w:val="both"/>
        <w:rPr>
          <w:b w:val="0"/>
          <w:sz w:val="28"/>
        </w:rPr>
      </w:pPr>
      <w:r>
        <w:rPr>
          <w:b w:val="0"/>
          <w:sz w:val="28"/>
        </w:rPr>
        <w:t>1.2. Пункт 6.2. дополнить абзацем 8 следующего содержания:</w:t>
      </w:r>
    </w:p>
    <w:p w14:paraId="19000000">
      <w:pPr>
        <w:pStyle w:val="Style_1"/>
        <w:spacing w:before="0" w:line="360" w:lineRule="auto"/>
        <w:ind w:firstLine="709" w:left="0" w:right="-6"/>
        <w:jc w:val="both"/>
        <w:rPr>
          <w:b w:val="0"/>
          <w:color w:val="000000"/>
          <w:sz w:val="28"/>
        </w:rPr>
      </w:pPr>
      <w:r>
        <w:rPr>
          <w:b w:val="0"/>
          <w:sz w:val="28"/>
        </w:rPr>
        <w:t>«в установленном законодательством порядке инженерные изыскания для подготовки проектной документации, строительства и реконструкции линий электропередачи, волоконно-оптических линий</w:t>
      </w:r>
      <w:r>
        <w:rPr>
          <w:b w:val="0"/>
          <w:color w:val="00B0F0"/>
          <w:sz w:val="28"/>
        </w:rPr>
        <w:t xml:space="preserve"> </w:t>
      </w:r>
      <w:r>
        <w:rPr>
          <w:b w:val="0"/>
          <w:sz w:val="28"/>
        </w:rPr>
        <w:t>связи и их неотъемлемых частей, строительство, реконструкция этих объектов и их неотъемлемых частей,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 xml:space="preserve">предусмотренных схемой территориального планирования Российской Федерации и </w:t>
      </w:r>
      <w:r>
        <w:rPr>
          <w:b w:val="0"/>
          <w:color w:val="000000"/>
          <w:sz w:val="28"/>
        </w:rPr>
        <w:t xml:space="preserve">расположенных в одном коридоре с существующими </w:t>
      </w:r>
      <w:r>
        <w:rPr>
          <w:b w:val="0"/>
          <w:color w:val="000000"/>
          <w:sz w:val="28"/>
        </w:rPr>
        <w:t>ВЛ</w:t>
      </w:r>
      <w:r>
        <w:rPr>
          <w:b w:val="0"/>
          <w:color w:val="000000"/>
          <w:sz w:val="28"/>
        </w:rPr>
        <w:t xml:space="preserve"> 220 кВ Городская – Нюя № 1 и </w:t>
      </w:r>
      <w:r>
        <w:rPr>
          <w:b w:val="0"/>
          <w:color w:val="000000"/>
          <w:sz w:val="28"/>
        </w:rPr>
        <w:t xml:space="preserve">ВЛ 220 кВ Городская – Нюя </w:t>
      </w:r>
      <w:r>
        <w:rPr>
          <w:b w:val="0"/>
          <w:color w:val="000000"/>
          <w:sz w:val="28"/>
        </w:rPr>
        <w:t xml:space="preserve">№ 2 с заходом на территорию заказника на минимально возможное расстояние от его границы </w:t>
      </w:r>
      <w:r>
        <w:rPr>
          <w:b w:val="0"/>
          <w:color w:val="000000"/>
          <w:sz w:val="28"/>
        </w:rPr>
        <w:t>(не более 300 метров с учетом соблюдения норм проектирования, особенностей рельефа и перспективного расширения объектов электросетевого хозяйства в коридоре существующих коммуникаций</w:t>
      </w:r>
      <w:r>
        <w:rPr>
          <w:b w:val="0"/>
          <w:color w:val="000000"/>
          <w:sz w:val="28"/>
        </w:rPr>
        <w:t>)</w:t>
      </w:r>
      <w:r>
        <w:rPr>
          <w:b w:val="0"/>
          <w:color w:val="000000"/>
          <w:sz w:val="28"/>
        </w:rPr>
        <w:t xml:space="preserve"> с учетом минимизации воздействия на природные комплексы</w:t>
      </w:r>
      <w:r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.</w:t>
      </w:r>
    </w:p>
    <w:p w14:paraId="1A000000">
      <w:pPr>
        <w:widowControl w:val="0"/>
        <w:tabs>
          <w:tab w:leader="none" w:pos="1276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 Опубликовать настоящее постановление в официальных средствах массовой информации.</w:t>
      </w:r>
    </w:p>
    <w:p w14:paraId="1B000000">
      <w:pPr>
        <w:spacing w:line="360" w:lineRule="auto"/>
        <w:ind w:firstLine="708" w:left="0"/>
        <w:jc w:val="both"/>
        <w:rPr>
          <w:sz w:val="28"/>
        </w:rPr>
      </w:pPr>
    </w:p>
    <w:p w14:paraId="1C000000">
      <w:pPr>
        <w:spacing w:line="360" w:lineRule="auto"/>
        <w:ind w:firstLine="708" w:left="0"/>
        <w:jc w:val="both"/>
        <w:rPr>
          <w:sz w:val="28"/>
        </w:rPr>
      </w:pPr>
    </w:p>
    <w:p w14:paraId="1D000000">
      <w:pPr>
        <w:ind w:right="-6"/>
        <w:rPr>
          <w:sz w:val="28"/>
        </w:rPr>
      </w:pPr>
      <w:r>
        <w:rPr>
          <w:sz w:val="28"/>
        </w:rPr>
        <w:t>Председатель Правительства</w:t>
      </w:r>
    </w:p>
    <w:p w14:paraId="1E000000">
      <w:pPr>
        <w:rPr>
          <w:sz w:val="28"/>
        </w:rPr>
      </w:pPr>
      <w:r>
        <w:rPr>
          <w:sz w:val="28"/>
        </w:rPr>
        <w:t>Республики Саха (Якутия)                                                         К. БЫЧКОВ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formattext"/>
    <w:basedOn w:val="Style_2"/>
    <w:link w:val="Style_8_ch"/>
    <w:pPr>
      <w:spacing w:afterAutospacing="on" w:beforeAutospacing="on"/>
      <w:ind/>
    </w:pPr>
  </w:style>
  <w:style w:styleId="Style_8_ch" w:type="character">
    <w:name w:val="formattext"/>
    <w:basedOn w:val="Style_2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val="0000FF"/>
      <w:u w:val="single"/>
    </w:rPr>
  </w:style>
  <w:style w:styleId="Style_11_ch" w:type="character">
    <w:name w:val="Гиперссылка1"/>
    <w:basedOn w:val="Style_12_ch"/>
    <w:link w:val="Style_11"/>
    <w:rPr>
      <w:color w:val="0000FF"/>
      <w:u w:val="singl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" w:type="paragraph">
    <w:name w:val="Block Text"/>
    <w:basedOn w:val="Style_2"/>
    <w:link w:val="Style_1_ch"/>
    <w:pPr>
      <w:widowControl w:val="0"/>
      <w:spacing w:before="200" w:line="516" w:lineRule="auto"/>
      <w:ind w:firstLine="0" w:left="1639" w:right="1599"/>
      <w:jc w:val="center"/>
    </w:pPr>
    <w:rPr>
      <w:b w:val="1"/>
      <w:sz w:val="22"/>
    </w:rPr>
  </w:style>
  <w:style w:styleId="Style_1_ch" w:type="character">
    <w:name w:val="Block Text"/>
    <w:basedOn w:val="Style_2_ch"/>
    <w:link w:val="Style_1"/>
    <w:rPr>
      <w:b w:val="1"/>
      <w:sz w:val="22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Normal (Web)"/>
    <w:basedOn w:val="Style_2"/>
    <w:link w:val="Style_17_ch"/>
    <w:pPr>
      <w:spacing w:afterAutospacing="on" w:beforeAutospacing="on"/>
      <w:ind/>
    </w:pPr>
  </w:style>
  <w:style w:styleId="Style_17_ch" w:type="character">
    <w:name w:val="Normal (Web)"/>
    <w:basedOn w:val="Style_2_ch"/>
    <w:link w:val="Style_17"/>
  </w:style>
  <w:style w:styleId="Style_18" w:type="paragraph">
    <w:name w:val="ConsPlusNormal"/>
    <w:link w:val="Style_18_ch"/>
    <w:pPr>
      <w:widowControl w:val="0"/>
      <w:spacing w:after="0" w:line="240" w:lineRule="auto"/>
      <w:ind/>
    </w:pPr>
    <w:rPr>
      <w:rFonts w:ascii="Calibri" w:hAnsi="Calibri"/>
    </w:rPr>
  </w:style>
  <w:style w:styleId="Style_18_ch" w:type="character">
    <w:name w:val="ConsPlusNormal"/>
    <w:link w:val="Style_18"/>
    <w:rPr>
      <w:rFonts w:ascii="Calibri" w:hAnsi="Calibri"/>
    </w:rPr>
  </w:style>
  <w:style w:styleId="Style_19" w:type="paragraph">
    <w:name w:val="Обычный1"/>
    <w:link w:val="Style_19_ch"/>
    <w:rPr>
      <w:rFonts w:ascii="Times New Roman" w:hAnsi="Times New Roman"/>
      <w:sz w:val="24"/>
    </w:rPr>
  </w:style>
  <w:style w:styleId="Style_19_ch" w:type="character">
    <w:name w:val="Обычный1"/>
    <w:link w:val="Style_19"/>
    <w:rPr>
      <w:rFonts w:ascii="Times New Roman" w:hAnsi="Times New Roman"/>
      <w:sz w:val="24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heading 5"/>
    <w:next w:val="Style_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heading 1"/>
    <w:next w:val="Style_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Обычный1"/>
    <w:link w:val="Style_30_ch"/>
    <w:rPr>
      <w:rFonts w:ascii="Times New Roman" w:hAnsi="Times New Roman"/>
      <w:sz w:val="24"/>
    </w:rPr>
  </w:style>
  <w:style w:styleId="Style_30_ch" w:type="character">
    <w:name w:val="Обычный1"/>
    <w:link w:val="Style_30"/>
    <w:rPr>
      <w:rFonts w:ascii="Times New Roman" w:hAnsi="Times New Roman"/>
      <w:sz w:val="24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toc 5"/>
    <w:next w:val="Style_2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apple-converted-space"/>
    <w:basedOn w:val="Style_12"/>
    <w:link w:val="Style_35_ch"/>
  </w:style>
  <w:style w:styleId="Style_35_ch" w:type="character">
    <w:name w:val="apple-converted-space"/>
    <w:basedOn w:val="Style_12_ch"/>
    <w:link w:val="Style_35"/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2025-04-07T07:30:29Z</dcterms:modified>
</cp:coreProperties>
</file>