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709" w:left="0" w:right="-28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</w:p>
    <w:p w14:paraId="08000000">
      <w:pPr>
        <w:spacing w:after="0" w:line="240" w:lineRule="auto"/>
        <w:ind w:firstLine="0" w:left="0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9000000">
      <w:pPr>
        <w:spacing w:after="0" w:line="240" w:lineRule="auto"/>
        <w:ind w:firstLine="0" w:left="0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результатах </w:t>
      </w:r>
      <w:r>
        <w:rPr>
          <w:rFonts w:ascii="Times New Roman" w:hAnsi="Times New Roman"/>
          <w:b w:val="1"/>
          <w:sz w:val="28"/>
        </w:rPr>
        <w:t>про</w:t>
      </w:r>
      <w:r>
        <w:rPr>
          <w:rStyle w:val="Style_2_ch"/>
          <w:rFonts w:ascii="Times New Roman" w:hAnsi="Times New Roman"/>
          <w:b w:val="1"/>
          <w:sz w:val="28"/>
        </w:rPr>
        <w:t>ведения оценки регулирующего</w:t>
      </w:r>
      <w:r>
        <w:rPr>
          <w:rStyle w:val="Style_2_ch"/>
          <w:rFonts w:ascii="Times New Roman" w:hAnsi="Times New Roman"/>
          <w:b w:val="1"/>
          <w:sz w:val="28"/>
        </w:rPr>
        <w:t xml:space="preserve"> воздействия</w:t>
      </w:r>
    </w:p>
    <w:p w14:paraId="0A000000">
      <w:pPr>
        <w:spacing w:after="15" w:line="240" w:lineRule="auto"/>
        <w:ind w:firstLine="0" w:left="0" w:right="-2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проекта </w:t>
      </w:r>
      <w:r>
        <w:rPr>
          <w:rStyle w:val="Style_2_ch"/>
          <w:rFonts w:ascii="Times New Roman" w:hAnsi="Times New Roman"/>
          <w:b w:val="1"/>
          <w:sz w:val="28"/>
        </w:rPr>
        <w:t>постановления Правительства Республики Саха (Якутия)</w:t>
      </w:r>
      <w:r>
        <w:br/>
      </w:r>
      <w:r>
        <w:rPr>
          <w:rStyle w:val="Style_2_ch"/>
          <w:rFonts w:ascii="Times New Roman" w:hAnsi="Times New Roman"/>
          <w:b w:val="1"/>
          <w:sz w:val="28"/>
        </w:rPr>
        <w:t>«</w:t>
      </w:r>
      <w:r>
        <w:rPr>
          <w:rStyle w:val="Style_2_ch"/>
          <w:rFonts w:ascii="Times New Roman" w:hAnsi="Times New Roman"/>
          <w:b w:val="1"/>
          <w:sz w:val="28"/>
        </w:rPr>
        <w:t>О</w:t>
      </w:r>
      <w:r>
        <w:rPr>
          <w:rStyle w:val="Style_2_ch"/>
          <w:rFonts w:ascii="Times New Roman" w:hAnsi="Times New Roman"/>
          <w:b w:val="1"/>
          <w:sz w:val="28"/>
        </w:rPr>
        <w:t xml:space="preserve">б утверждении </w:t>
      </w:r>
      <w:r>
        <w:rPr>
          <w:rStyle w:val="Style_2_ch"/>
          <w:rFonts w:ascii="Times New Roman" w:hAnsi="Times New Roman"/>
          <w:b w:val="1"/>
          <w:sz w:val="28"/>
        </w:rPr>
        <w:t xml:space="preserve">Порядка </w:t>
      </w:r>
      <w:r>
        <w:rPr>
          <w:rStyle w:val="Style_2_ch"/>
          <w:rFonts w:ascii="Times New Roman" w:hAnsi="Times New Roman"/>
          <w:b w:val="1"/>
          <w:sz w:val="28"/>
        </w:rPr>
        <w:t xml:space="preserve">предоставления субсидий </w:t>
      </w:r>
      <w:r>
        <w:rPr>
          <w:rStyle w:val="Style_2_ch"/>
          <w:rFonts w:ascii="Times New Roman" w:hAnsi="Times New Roman"/>
          <w:b w:val="1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Style w:val="Style_2_ch"/>
          <w:rFonts w:ascii="Times New Roman" w:hAnsi="Times New Roman"/>
          <w:b w:val="1"/>
          <w:sz w:val="28"/>
        </w:rPr>
        <w:t>Республики Саха (Якутия)</w:t>
      </w:r>
      <w:r>
        <w:rPr>
          <w:rStyle w:val="Style_2_ch"/>
          <w:rFonts w:ascii="Times New Roman" w:hAnsi="Times New Roman"/>
          <w:b w:val="1"/>
          <w:sz w:val="28"/>
        </w:rPr>
        <w:t>»</w:t>
      </w:r>
    </w:p>
    <w:p w14:paraId="0B000000">
      <w:pPr>
        <w:pStyle w:val="Style_3"/>
        <w:ind w:firstLine="709" w:left="0" w:right="-285"/>
        <w:jc w:val="center"/>
        <w:rPr>
          <w:sz w:val="28"/>
        </w:rPr>
      </w:pPr>
    </w:p>
    <w:p w14:paraId="0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14:paraId="0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Орган-разработчик:</w:t>
      </w:r>
    </w:p>
    <w:p w14:paraId="0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single"/>
        </w:rPr>
        <w:t xml:space="preserve"> Республики Саха (Якутия)</w:t>
      </w:r>
      <w:r>
        <w:rPr>
          <w:rFonts w:ascii="Times New Roman" w:hAnsi="Times New Roman"/>
          <w:sz w:val="28"/>
          <w:u w:val="single"/>
        </w:rPr>
        <w:t>, (Министерство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0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Вид и на</w:t>
      </w:r>
      <w:r>
        <w:rPr>
          <w:rStyle w:val="Style_2_ch"/>
          <w:rFonts w:ascii="Times New Roman" w:hAnsi="Times New Roman"/>
          <w:sz w:val="28"/>
        </w:rPr>
        <w:t>именование проекта нормативного правового акта:</w:t>
      </w:r>
    </w:p>
    <w:p w14:paraId="10000000">
      <w:pPr>
        <w:spacing w:after="15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</w:t>
      </w:r>
      <w:r>
        <w:rPr>
          <w:rStyle w:val="Style_2_ch"/>
          <w:rFonts w:ascii="Times New Roman" w:hAnsi="Times New Roman"/>
          <w:sz w:val="28"/>
        </w:rPr>
        <w:t xml:space="preserve">роект </w:t>
      </w:r>
      <w:r>
        <w:rPr>
          <w:rStyle w:val="Style_2_ch"/>
          <w:rFonts w:ascii="Times New Roman" w:hAnsi="Times New Roman"/>
          <w:sz w:val="28"/>
        </w:rPr>
        <w:t>постановления Правительства Республики Саха (Якутия) «</w:t>
      </w:r>
      <w:r>
        <w:rPr>
          <w:rStyle w:val="Style_2_ch"/>
          <w:rFonts w:ascii="Times New Roman" w:hAnsi="Times New Roman"/>
          <w:sz w:val="28"/>
        </w:rPr>
        <w:t>О</w:t>
      </w:r>
      <w:r>
        <w:rPr>
          <w:rStyle w:val="Style_2_ch"/>
          <w:rFonts w:ascii="Times New Roman" w:hAnsi="Times New Roman"/>
          <w:sz w:val="28"/>
        </w:rPr>
        <w:t xml:space="preserve">б утверждении </w:t>
      </w:r>
      <w:r>
        <w:rPr>
          <w:rStyle w:val="Style_2_ch"/>
          <w:rFonts w:ascii="Times New Roman" w:hAnsi="Times New Roman"/>
          <w:sz w:val="28"/>
        </w:rPr>
        <w:t xml:space="preserve">Порядка </w:t>
      </w:r>
      <w:r>
        <w:rPr>
          <w:rStyle w:val="Style_2_ch"/>
          <w:rFonts w:ascii="Times New Roman" w:hAnsi="Times New Roman"/>
          <w:sz w:val="28"/>
        </w:rPr>
        <w:t xml:space="preserve">предоставления субсидий </w:t>
      </w:r>
      <w:r>
        <w:rPr>
          <w:rStyle w:val="Style_2_ch"/>
          <w:rFonts w:ascii="Times New Roman" w:hAnsi="Times New Roman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Style w:val="Style_2_ch"/>
          <w:rFonts w:ascii="Times New Roman" w:hAnsi="Times New Roman"/>
          <w:sz w:val="28"/>
        </w:rPr>
        <w:t>Республики Саха (Якутия)</w:t>
      </w:r>
      <w:r>
        <w:rPr>
          <w:rStyle w:val="Style_2_ch"/>
          <w:rFonts w:ascii="Times New Roman" w:hAnsi="Times New Roman"/>
          <w:sz w:val="28"/>
        </w:rPr>
        <w:t>»</w:t>
      </w:r>
      <w:r>
        <w:rPr>
          <w:rStyle w:val="Style_2_ch"/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Краткое описание проблемы, на решение которой направлено предлагаемое правовое регулирование:</w:t>
      </w:r>
    </w:p>
    <w:p w14:paraId="1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Разработанным </w:t>
      </w:r>
      <w:r>
        <w:rPr>
          <w:rStyle w:val="Style_2_ch"/>
          <w:rFonts w:ascii="Times New Roman" w:hAnsi="Times New Roman"/>
          <w:sz w:val="28"/>
        </w:rPr>
        <w:t xml:space="preserve">проектом </w:t>
      </w:r>
      <w:r>
        <w:rPr>
          <w:rStyle w:val="Style_2_ch"/>
          <w:rFonts w:ascii="Times New Roman" w:hAnsi="Times New Roman"/>
          <w:sz w:val="28"/>
        </w:rPr>
        <w:t>постановления Правительства Республики Саха (Якутия) «</w:t>
      </w:r>
      <w:r>
        <w:rPr>
          <w:rStyle w:val="Style_2_ch"/>
          <w:rFonts w:ascii="Times New Roman" w:hAnsi="Times New Roman"/>
          <w:sz w:val="28"/>
        </w:rPr>
        <w:t>О</w:t>
      </w:r>
      <w:r>
        <w:rPr>
          <w:rStyle w:val="Style_2_ch"/>
          <w:rFonts w:ascii="Times New Roman" w:hAnsi="Times New Roman"/>
          <w:sz w:val="28"/>
        </w:rPr>
        <w:t xml:space="preserve">б утверждении </w:t>
      </w:r>
      <w:r>
        <w:rPr>
          <w:rStyle w:val="Style_2_ch"/>
          <w:rFonts w:ascii="Times New Roman" w:hAnsi="Times New Roman"/>
          <w:sz w:val="28"/>
        </w:rPr>
        <w:t xml:space="preserve">Порядка </w:t>
      </w:r>
      <w:r>
        <w:rPr>
          <w:rStyle w:val="Style_2_ch"/>
          <w:rFonts w:ascii="Times New Roman" w:hAnsi="Times New Roman"/>
          <w:sz w:val="28"/>
        </w:rPr>
        <w:t xml:space="preserve">предоставления субсидий </w:t>
      </w:r>
      <w:r>
        <w:rPr>
          <w:rStyle w:val="Style_2_ch"/>
          <w:rFonts w:ascii="Times New Roman" w:hAnsi="Times New Roman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Style w:val="Style_2_ch"/>
          <w:rFonts w:ascii="Times New Roman" w:hAnsi="Times New Roman"/>
          <w:sz w:val="28"/>
        </w:rPr>
        <w:t>Республики Саха (Якутия)</w:t>
      </w:r>
      <w:r>
        <w:rPr>
          <w:rStyle w:val="Style_2_ch"/>
          <w:rFonts w:ascii="Times New Roman" w:hAnsi="Times New Roman"/>
          <w:sz w:val="28"/>
        </w:rPr>
        <w:t>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предполагается:</w:t>
      </w:r>
    </w:p>
    <w:p w14:paraId="1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принятия акта:</w:t>
      </w:r>
    </w:p>
    <w:p w14:paraId="14000000">
      <w:pPr>
        <w:numPr>
          <w:numId w:val="1"/>
        </w:num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</w:rPr>
        <w:t xml:space="preserve">от 30.12.2017 </w:t>
      </w:r>
      <w:r>
        <w:br/>
      </w:r>
      <w:r>
        <w:rPr>
          <w:rFonts w:ascii="Times New Roman" w:hAnsi="Times New Roman"/>
          <w:sz w:val="28"/>
        </w:rPr>
        <w:t xml:space="preserve">№ 1710 «Об утверждении государственной программы Российской Федерации «Обеспечение доступным и комфортным жильем </w:t>
      </w:r>
      <w:r>
        <w:rPr>
          <w:rFonts w:ascii="Times New Roman" w:hAnsi="Times New Roman"/>
          <w:sz w:val="28"/>
        </w:rPr>
        <w:t>и коммунальными услугами граждан Российской Федерации»</w:t>
      </w:r>
      <w:r>
        <w:rPr>
          <w:rFonts w:ascii="Times New Roman" w:hAnsi="Times New Roman"/>
          <w:sz w:val="28"/>
        </w:rPr>
        <w:t>.</w:t>
      </w:r>
    </w:p>
    <w:p w14:paraId="15000000">
      <w:pPr>
        <w:numPr>
          <w:numId w:val="2"/>
        </w:numPr>
        <w:spacing w:after="0" w:line="240" w:lineRule="auto"/>
        <w:ind w:firstLine="709" w:left="0" w:right="-285"/>
        <w:jc w:val="both"/>
        <w:rPr>
          <w:rFonts w:ascii="PT Astra Serif" w:hAnsi="PT Astra Serif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Республики Саха (Якутия) от 18.07.2022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</w:t>
      </w:r>
      <w:r>
        <w:rPr>
          <w:rFonts w:ascii="PT Astra Serif" w:hAnsi="PT Astra Serif"/>
          <w:sz w:val="28"/>
        </w:rPr>
        <w:t>.</w:t>
      </w:r>
    </w:p>
    <w:p w14:paraId="1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целей предлагаемого правового регулирования:</w:t>
      </w:r>
    </w:p>
    <w:p w14:paraId="1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порядка направлен на предоставление субсидии на реализацию мероприятий в рамках </w:t>
      </w:r>
      <w:r>
        <w:rPr>
          <w:rFonts w:ascii="Times New Roman" w:hAnsi="Times New Roman"/>
          <w:sz w:val="28"/>
        </w:rPr>
        <w:t>региональной программы модернизации коммунальной инфраструктуры Республики Саха (Якутия) на период 2025-2030 годы</w:t>
      </w:r>
      <w:r>
        <w:rPr>
          <w:rFonts w:ascii="Times New Roman" w:hAnsi="Times New Roman"/>
          <w:sz w:val="28"/>
        </w:rPr>
        <w:t xml:space="preserve"> утвержденной постановлением Правительства Республики Саха (Якутия) от 25.12.2024 № 643.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Краткое описание содержания предлагаемого правового регулирования:</w:t>
      </w:r>
    </w:p>
    <w:p w14:paraId="1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приказа состоит из преамбулы, 3 пунктов и порядка.</w:t>
      </w:r>
    </w:p>
    <w:p w14:paraId="1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Контактная информация исполнителя в органе-разработчике:</w:t>
      </w:r>
    </w:p>
    <w:p w14:paraId="1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1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Пахомов Виктор Викторович</w:t>
      </w:r>
    </w:p>
    <w:p w14:paraId="1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1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>Департамента коммунального комплекса и государственной службы</w:t>
      </w:r>
      <w:r>
        <w:rPr>
          <w:rFonts w:ascii="Times New Roman" w:hAnsi="Times New Roman"/>
          <w:sz w:val="28"/>
          <w:u w:val="single"/>
        </w:rPr>
        <w:t xml:space="preserve"> Министерства жилищно-коммунального хозяйства и энергетики Республики Саха (Якутия)</w:t>
      </w:r>
    </w:p>
    <w:p w14:paraId="1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(4112) </w:t>
      </w:r>
      <w:r>
        <w:rPr>
          <w:rFonts w:ascii="Times New Roman" w:hAnsi="Times New Roman"/>
          <w:sz w:val="28"/>
          <w:u w:val="single"/>
        </w:rPr>
        <w:t>506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894</w:t>
      </w:r>
    </w:p>
    <w:p w14:paraId="2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mingkx@sakha.gov.ru</w:t>
      </w:r>
    </w:p>
    <w:p w14:paraId="2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Степень регулирующего воздействия проекта нормативного правового акта:</w:t>
      </w:r>
    </w:p>
    <w:p w14:paraId="2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Средняя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степень регулирующего воздействия</w:t>
      </w:r>
    </w:p>
    <w:p w14:paraId="2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 степени регулирующего воздействия:</w:t>
      </w:r>
    </w:p>
    <w:p w14:paraId="2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акта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содержит положения, устанавливающие ранее не предусмотренные действующим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(Якутия) и воздействующие на состояние конкуренции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</w:t>
      </w:r>
    </w:p>
    <w:p w14:paraId="2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Формулировка проблемы: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0" w:right="-28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Проект разработан в целях распределения субсидии из государственного бюджета Республики Саха (Якутия) на финансовое обеспечение затрат на реализацию мероприятий по капитальному ремонту линейных объектов в соответствии с </w:t>
      </w:r>
      <w:r>
        <w:rPr>
          <w:rFonts w:ascii="Times New Roman" w:hAnsi="Times New Roman"/>
          <w:sz w:val="28"/>
        </w:rPr>
        <w:t>региональной программой модернизации коммунальной инфраструктуры Республики Саха (Якутия) на период 2025-2030 годы</w:t>
      </w:r>
      <w:r>
        <w:rPr>
          <w:rFonts w:ascii="PT Astra Serif" w:hAnsi="PT Astra Serif"/>
          <w:sz w:val="28"/>
        </w:rPr>
        <w:t>.</w:t>
      </w:r>
    </w:p>
    <w:p w14:paraId="2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2.2. </w:t>
      </w:r>
      <w:r>
        <w:rPr>
          <w:rFonts w:ascii="XO Thames" w:hAnsi="XO Thames"/>
          <w:sz w:val="28"/>
        </w:rPr>
        <w:t>Информац</w:t>
      </w:r>
      <w:r>
        <w:rPr>
          <w:rFonts w:ascii="Times New Roman" w:hAnsi="Times New Roman"/>
          <w:sz w:val="28"/>
        </w:rPr>
        <w:t>ия о возникновении, выявлении проблемы и мерах, принятых 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-</w:t>
      </w:r>
    </w:p>
    <w:p w14:paraId="2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количественная оценка:</w:t>
      </w:r>
    </w:p>
    <w:p w14:paraId="2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рганы местного самоуправления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ресурсоснабжающие</w:t>
      </w:r>
      <w:r>
        <w:rPr>
          <w:rFonts w:ascii="Times New Roman" w:hAnsi="Times New Roman"/>
          <w:sz w:val="28"/>
          <w:u w:val="single"/>
        </w:rPr>
        <w:t xml:space="preserve"> организации</w:t>
      </w:r>
      <w:r>
        <w:rPr>
          <w:rFonts w:ascii="Times New Roman" w:hAnsi="Times New Roman"/>
          <w:sz w:val="28"/>
          <w:u w:val="single"/>
        </w:rPr>
        <w:t>.</w:t>
      </w:r>
    </w:p>
    <w:p w14:paraId="2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возникающих в связи с наличием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 количественная оценка:</w:t>
      </w:r>
    </w:p>
    <w:p w14:paraId="2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Негативные эффекты, возникающие в</w:t>
      </w:r>
      <w:r>
        <w:rPr>
          <w:rStyle w:val="Style_2_ch"/>
          <w:rFonts w:ascii="Times New Roman" w:hAnsi="Times New Roman"/>
          <w:sz w:val="28"/>
          <w:u w:val="single"/>
        </w:rPr>
        <w:t xml:space="preserve"> связи с </w:t>
      </w:r>
      <w:r>
        <w:rPr>
          <w:rStyle w:val="Style_2_ch"/>
          <w:rFonts w:ascii="Times New Roman" w:hAnsi="Times New Roman"/>
          <w:sz w:val="28"/>
          <w:u w:val="single"/>
        </w:rPr>
        <w:t xml:space="preserve">утверждением </w:t>
      </w:r>
      <w:r>
        <w:rPr>
          <w:rStyle w:val="Style_2_ch"/>
          <w:rFonts w:ascii="Times New Roman" w:hAnsi="Times New Roman"/>
          <w:sz w:val="28"/>
          <w:u w:val="single"/>
        </w:rPr>
        <w:t>постановления Правительства Республики Саха (Якутия) «</w:t>
      </w:r>
      <w:r>
        <w:rPr>
          <w:rStyle w:val="Style_2_ch"/>
          <w:rFonts w:ascii="Times New Roman" w:hAnsi="Times New Roman"/>
          <w:sz w:val="28"/>
          <w:u w:val="single"/>
        </w:rPr>
        <w:t>О</w:t>
      </w:r>
      <w:r>
        <w:rPr>
          <w:rStyle w:val="Style_2_ch"/>
          <w:rFonts w:ascii="Times New Roman" w:hAnsi="Times New Roman"/>
          <w:sz w:val="28"/>
          <w:u w:val="single"/>
        </w:rPr>
        <w:t xml:space="preserve">б утверждении </w:t>
      </w:r>
      <w:r>
        <w:rPr>
          <w:rStyle w:val="Style_2_ch"/>
          <w:rFonts w:ascii="Times New Roman" w:hAnsi="Times New Roman"/>
          <w:sz w:val="28"/>
          <w:u w:val="single"/>
        </w:rPr>
        <w:t xml:space="preserve">Порядка </w:t>
      </w:r>
      <w:r>
        <w:rPr>
          <w:rStyle w:val="Style_2_ch"/>
          <w:rFonts w:ascii="Times New Roman" w:hAnsi="Times New Roman"/>
          <w:sz w:val="28"/>
          <w:u w:val="single"/>
        </w:rPr>
        <w:t xml:space="preserve">предоставления субсидий </w:t>
      </w:r>
      <w:r>
        <w:rPr>
          <w:rStyle w:val="Style_2_ch"/>
          <w:rFonts w:ascii="Times New Roman" w:hAnsi="Times New Roman"/>
          <w:sz w:val="28"/>
          <w:u w:val="single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Style w:val="Style_2_ch"/>
          <w:rFonts w:ascii="Times New Roman" w:hAnsi="Times New Roman"/>
          <w:sz w:val="28"/>
          <w:u w:val="single"/>
        </w:rPr>
        <w:t>Республики Саха (Якутия)</w:t>
      </w:r>
      <w:r>
        <w:rPr>
          <w:rStyle w:val="Style_2_ch"/>
          <w:rFonts w:ascii="Times New Roman" w:hAnsi="Times New Roman"/>
          <w:sz w:val="28"/>
          <w:u w:val="single"/>
        </w:rPr>
        <w:t>»</w:t>
      </w:r>
      <w:r>
        <w:rPr>
          <w:rStyle w:val="Style_2_ch"/>
          <w:rFonts w:ascii="Times New Roman" w:hAnsi="Times New Roman"/>
          <w:sz w:val="28"/>
          <w:u w:val="single"/>
        </w:rPr>
        <w:t>,</w:t>
      </w:r>
      <w:r>
        <w:rPr>
          <w:rStyle w:val="Style_2_ch"/>
          <w:rFonts w:ascii="Times New Roman" w:hAnsi="Times New Roman"/>
          <w:sz w:val="28"/>
          <w:u w:val="single"/>
        </w:rPr>
        <w:t xml:space="preserve"> не выявлены.</w:t>
      </w:r>
    </w:p>
    <w:p w14:paraId="2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существование:</w:t>
      </w:r>
    </w:p>
    <w:p w14:paraId="2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Style w:val="Style_2_ch"/>
          <w:rFonts w:ascii="Times New Roman" w:hAnsi="Times New Roman"/>
          <w:sz w:val="28"/>
        </w:rPr>
        <w:t>Правила предоставления и распределения субсидий из федерального бюджета бюджетам субъектов Российской Федерации и бюджету г. Байконура на софинансирование реализации мероприятий по модернизации коммунальной инфраструктуры, утвержденные п</w:t>
      </w:r>
      <w:r>
        <w:rPr>
          <w:rStyle w:val="Style_2_ch"/>
          <w:rFonts w:ascii="Times New Roman" w:hAnsi="Times New Roman"/>
          <w:sz w:val="28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8"/>
        </w:rPr>
        <w:t xml:space="preserve">от 30.12.2017 № 1710 «Об утверждении государственной программы Российской Федерации «Обеспечение доступным и комфортным жильем </w:t>
      </w:r>
      <w:r>
        <w:rPr>
          <w:rFonts w:ascii="Times New Roman" w:hAnsi="Times New Roman"/>
          <w:sz w:val="28"/>
        </w:rPr>
        <w:t>и коммунальными услугами граждан Российской Федерации»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2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участниками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самостоятельно, без вмешательства государства:</w:t>
      </w:r>
    </w:p>
    <w:p w14:paraId="3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Style w:val="Style_2_ch"/>
          <w:rFonts w:ascii="Times New Roman" w:hAnsi="Times New Roman"/>
          <w:sz w:val="28"/>
        </w:rPr>
        <w:t>Правила предоставления и распределения субсидий из федерального бюджета бюджетам субъектов Российской Федерации и бюджету г. Байконура на софинансирование реализации мероприятий по модернизации коммунальной инфраструктуры, утвержденные п</w:t>
      </w:r>
      <w:r>
        <w:rPr>
          <w:rStyle w:val="Style_2_ch"/>
          <w:rFonts w:ascii="Times New Roman" w:hAnsi="Times New Roman"/>
          <w:sz w:val="28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8"/>
        </w:rPr>
        <w:t xml:space="preserve">от 30.12.2017 № 1710 «Об утверждении государственной программы Российской Федерации «Обеспечение доступным и комфортным жильем </w:t>
      </w:r>
      <w:r>
        <w:rPr>
          <w:rFonts w:ascii="Times New Roman" w:hAnsi="Times New Roman"/>
          <w:sz w:val="28"/>
        </w:rPr>
        <w:t>и коммунальными услугами граждан Российской Федерации»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3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иностранных государствах: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Источники </w:t>
      </w:r>
      <w:r>
        <w:rPr>
          <w:rFonts w:ascii="Times New Roman" w:hAnsi="Times New Roman"/>
          <w:sz w:val="28"/>
        </w:rPr>
        <w:t>данных:</w:t>
      </w:r>
      <w:r>
        <w:rPr>
          <w:rFonts w:ascii="Times New Roman" w:hAnsi="Times New Roman"/>
          <w:sz w:val="28"/>
        </w:rPr>
        <w:t>-</w:t>
      </w:r>
    </w:p>
    <w:p w14:paraId="3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Иная информация о </w:t>
      </w:r>
      <w:r>
        <w:rPr>
          <w:rFonts w:ascii="Times New Roman" w:hAnsi="Times New Roman"/>
          <w:sz w:val="28"/>
        </w:rPr>
        <w:t>проблеме:</w:t>
      </w:r>
      <w:r>
        <w:rPr>
          <w:rFonts w:ascii="Times New Roman" w:hAnsi="Times New Roman"/>
          <w:sz w:val="28"/>
        </w:rPr>
        <w:t>-</w:t>
      </w:r>
    </w:p>
    <w:p w14:paraId="3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оценки их достижения</w:t>
      </w:r>
    </w:p>
    <w:p w14:paraId="3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73"/>
        <w:gridCol w:w="2465"/>
        <w:gridCol w:w="2382"/>
      </w:tblGrid>
      <w:tr>
        <w:trPr>
          <w:trHeight w:hRule="atLeast" w:val="1628"/>
        </w:trPr>
        <w:tc>
          <w:tcPr>
            <w:tcW w:type="dxa" w:w="5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 w:firstLine="709" w:left="0"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5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овышения качества и надежности предоставления коммунальных услуг</w:t>
            </w:r>
          </w:p>
          <w:p w14:paraId="3A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0" w:left="0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момента </w:t>
            </w:r>
            <w:r>
              <w:rPr>
                <w:rFonts w:ascii="Times New Roman" w:hAnsi="Times New Roman"/>
                <w:sz w:val="28"/>
              </w:rPr>
              <w:t>предоставления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3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правовые акты, поручения, другие решения,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вытекает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целей:</w:t>
      </w:r>
    </w:p>
    <w:p w14:paraId="3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Правила предоставления и распределения субсидий из федерального бюджета бюджетам субъектов Российской Федерации и бюджету г. Байконура на софинансирование реализации мероприятий по модернизации коммунальной инфраструктуры, утвержденные п</w:t>
      </w:r>
      <w:r>
        <w:rPr>
          <w:rStyle w:val="Style_2_ch"/>
          <w:rFonts w:ascii="Times New Roman" w:hAnsi="Times New Roman"/>
          <w:sz w:val="28"/>
        </w:rPr>
        <w:t xml:space="preserve">остановлением Правительства Российской Федерации </w:t>
      </w:r>
      <w:r>
        <w:rPr>
          <w:rFonts w:ascii="Times New Roman" w:hAnsi="Times New Roman"/>
          <w:sz w:val="28"/>
        </w:rPr>
        <w:t xml:space="preserve">от 30.12.2017 № 1710 «Об утверждении государственной программы Российской Федерации «Обеспечение доступным и комфортным жильем </w:t>
      </w:r>
      <w:r>
        <w:rPr>
          <w:rFonts w:ascii="Times New Roman" w:hAnsi="Times New Roman"/>
          <w:sz w:val="28"/>
        </w:rPr>
        <w:t>и коммунальными услугами граждан Российской Федерации»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4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08"/>
        <w:gridCol w:w="2445"/>
        <w:gridCol w:w="1559"/>
        <w:gridCol w:w="2552"/>
      </w:tblGrid>
      <w:tr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3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</w:t>
            </w:r>
            <w:r>
              <w:rPr>
                <w:rFonts w:ascii="Times New Roman" w:hAnsi="Times New Roman"/>
                <w:sz w:val="28"/>
              </w:rPr>
              <w:t xml:space="preserve"> качества и надежности предоставления коммунальных услуг</w:t>
            </w:r>
          </w:p>
          <w:p w14:paraId="4600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6"/>
              <w:numPr>
                <w:ilvl w:val="0"/>
                <w:numId w:val="3"/>
              </w:numPr>
              <w:tabs>
                <w:tab w:leader="none" w:pos="520" w:val="left"/>
              </w:tabs>
              <w:spacing w:after="60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</w:p>
          <w:p w14:paraId="48000000">
            <w:pPr>
              <w:pStyle w:val="Style_5"/>
              <w:numPr>
                <w:ilvl w:val="0"/>
                <w:numId w:val="3"/>
              </w:numPr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с нарастающим итогом с 2019 года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6"/>
              <w:numPr>
                <w:ilvl w:val="0"/>
                <w:numId w:val="4"/>
              </w:numPr>
              <w:tabs>
                <w:tab w:leader="none" w:pos="13" w:val="left"/>
              </w:tabs>
              <w:spacing w:after="60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  <w:r>
              <w:rPr>
                <w:rFonts w:ascii="XO Thames" w:hAnsi="XO Thames"/>
                <w:sz w:val="24"/>
              </w:rPr>
              <w:t xml:space="preserve"> - человек;</w:t>
            </w:r>
          </w:p>
          <w:p w14:paraId="4A000000">
            <w:pPr>
              <w:pStyle w:val="Style_5"/>
              <w:numPr>
                <w:ilvl w:val="0"/>
                <w:numId w:val="4"/>
              </w:numPr>
              <w:tabs>
                <w:tab w:leader="none" w:pos="13" w:val="left"/>
              </w:tabs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с нарастающим итогом с 2019 года - ед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6"/>
              <w:numPr>
                <w:ilvl w:val="0"/>
                <w:numId w:val="5"/>
              </w:numPr>
              <w:tabs>
                <w:tab w:leader="none" w:pos="117" w:val="left"/>
              </w:tabs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предоставляемых коммунальных услуг, по годам:</w:t>
            </w:r>
          </w:p>
          <w:p w14:paraId="4C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9 100 человек;</w:t>
            </w:r>
          </w:p>
          <w:p w14:paraId="4D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21 700 человек;</w:t>
            </w:r>
          </w:p>
          <w:p w14:paraId="4E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– 39 200 человек;</w:t>
            </w:r>
          </w:p>
          <w:p w14:paraId="4F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2028 год – 63 700 человек;</w:t>
            </w:r>
          </w:p>
          <w:p w14:paraId="50000000">
            <w:pPr>
              <w:pStyle w:val="Style_6"/>
              <w:tabs>
                <w:tab w:leader="none" w:pos="4210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2029 год – 96 600 ч</w:t>
            </w:r>
            <w:r>
              <w:rPr>
                <w:rStyle w:val="Style_6_ch"/>
                <w:rFonts w:ascii="XO Thames" w:hAnsi="XO Thames"/>
                <w:sz w:val="24"/>
              </w:rPr>
              <w:t>еловек;</w:t>
            </w:r>
          </w:p>
          <w:p w14:paraId="51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Style w:val="Style_6_ch"/>
                <w:rFonts w:ascii="XO Thames" w:hAnsi="XO Thames"/>
                <w:sz w:val="24"/>
              </w:rPr>
              <w:t>2030 год – 140 000 человек.</w:t>
            </w:r>
          </w:p>
          <w:p w14:paraId="52000000">
            <w:pPr>
              <w:pStyle w:val="Style_5"/>
              <w:numPr>
                <w:ilvl w:val="0"/>
                <w:numId w:val="5"/>
              </w:numPr>
              <w:spacing w:after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с нарастающим итогом с 2019 года</w:t>
            </w:r>
            <w:r>
              <w:rPr>
                <w:rFonts w:ascii="XO Thames" w:hAnsi="XO Thames"/>
                <w:sz w:val="24"/>
              </w:rPr>
              <w:t>:</w:t>
            </w:r>
          </w:p>
          <w:p w14:paraId="53000000">
            <w:pPr>
              <w:pStyle w:val="Style_6"/>
              <w:tabs>
                <w:tab w:leader="none" w:pos="3009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</w:t>
            </w:r>
            <w:r>
              <w:rPr>
                <w:rStyle w:val="Style_5_ch"/>
                <w:rFonts w:ascii="XO Thames" w:hAnsi="XO Thames"/>
                <w:sz w:val="24"/>
              </w:rPr>
              <w:t>5 год –  12 ед;</w:t>
            </w:r>
          </w:p>
          <w:p w14:paraId="54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Style w:val="Style_5_ch"/>
                <w:rFonts w:ascii="XO Thames" w:hAnsi="XO Thames"/>
                <w:sz w:val="24"/>
              </w:rPr>
              <w:t>2026 год –  13 ед;</w:t>
            </w:r>
          </w:p>
          <w:p w14:paraId="55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Style w:val="Style_5_ch"/>
                <w:rFonts w:ascii="XO Thames" w:hAnsi="XO Thames"/>
                <w:sz w:val="24"/>
              </w:rPr>
              <w:t>2027 год –  13 ед;</w:t>
            </w:r>
          </w:p>
          <w:p w14:paraId="56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Style w:val="Style_5_ch"/>
                <w:rFonts w:ascii="XO Thames" w:hAnsi="XO Thames"/>
                <w:sz w:val="24"/>
              </w:rPr>
              <w:t>2028 год –  13 ед;</w:t>
            </w:r>
          </w:p>
          <w:p w14:paraId="57000000">
            <w:pPr>
              <w:pStyle w:val="Style_6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Style w:val="Style_5_ch"/>
                <w:rFonts w:ascii="XO Thames" w:hAnsi="XO Thames"/>
                <w:sz w:val="24"/>
              </w:rPr>
              <w:t>2029 год -   14 ед;</w:t>
            </w:r>
          </w:p>
          <w:p w14:paraId="58000000">
            <w:pPr>
              <w:pStyle w:val="Style_2"/>
              <w:rPr>
                <w:rFonts w:ascii="XO Thames" w:hAnsi="XO Thames"/>
                <w:sz w:val="24"/>
              </w:rPr>
            </w:pPr>
            <w:r>
              <w:rPr>
                <w:rStyle w:val="Style_5_ch"/>
                <w:rFonts w:ascii="XO Thames" w:hAnsi="XO Thames"/>
                <w:sz w:val="24"/>
              </w:rPr>
              <w:t>2030 год -  14 ед.</w:t>
            </w:r>
          </w:p>
        </w:tc>
      </w:tr>
    </w:tbl>
    <w:p w14:paraId="5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регулирования, источники информации для расчетов:</w:t>
      </w:r>
      <w:r>
        <w:rPr>
          <w:rFonts w:ascii="Times New Roman" w:hAnsi="Times New Roman"/>
          <w:sz w:val="28"/>
          <w:u w:val="single"/>
        </w:rPr>
        <w:t xml:space="preserve"> -</w:t>
      </w:r>
    </w:p>
    <w:p w14:paraId="5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(методы) оценки 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 предлагаемого правового регулирования:</w:t>
      </w:r>
    </w:p>
    <w:p w14:paraId="5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Периодическая отчетность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</w:p>
    <w:p w14:paraId="5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регулирования:</w:t>
      </w:r>
    </w:p>
    <w:p w14:paraId="5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   </w:rPr>
        <w:t xml:space="preserve"> лимита</w:t>
      </w:r>
      <w:r>
        <w:rPr>
          <w:rFonts w:ascii="Times New Roman" w:hAnsi="Times New Roman"/>
          <w:sz w:val="28"/>
          <w:u w:val="single"/>
        </w:rPr>
        <w:t xml:space="preserve"> бюджетных ассигнований на исполнение полномочий Министерства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</w:t>
      </w:r>
    </w:p>
    <w:p w14:paraId="5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Источники информации для расчета индикаторов: - </w:t>
      </w:r>
    </w:p>
    <w:p w14:paraId="5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(их групп)</w:t>
      </w:r>
    </w:p>
    <w:p w14:paraId="6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Количество участников группы</w:t>
            </w:r>
            <w:r>
              <w:rPr>
                <w:rFonts w:ascii="Times New Roman" w:hAnsi="Times New Roman"/>
                <w:sz w:val="26"/>
              </w:rPr>
              <w:t>, ед.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 w:firstLine="0" w:left="0" w:right="21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ГУП «ЖКХ РС (Я)»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Правила предоставления и распределения субсидий из федерального бюджета бюджетам субъектов Российской Федерации и бюджету г. Байконура на софинансирование реализации мероприятий по модернизации коммунальной инфраструктуры, утвержденных постановлением Правительства Российской Федерации от 30.12.2017 № 1710</w:t>
            </w:r>
          </w:p>
        </w:tc>
      </w:tr>
    </w:tbl>
    <w:p w14:paraId="68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6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701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6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органа государственной власти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u w:val="single"/>
              </w:rPr>
              <w:t>жилищно-коммунального хозяйства и энергетики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Республики Саха (Якутия)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(полном</w:t>
            </w:r>
            <w:r>
              <w:rPr>
                <w:rFonts w:ascii="Times New Roman" w:hAnsi="Times New Roman"/>
                <w:sz w:val="28"/>
              </w:rPr>
              <w:t xml:space="preserve">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Расходы государственного бюджета Республики Саха (Якутия), связанные с созданием необходимых правовых, организационных и информационных условий применения проекта акта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</w:t>
      </w:r>
      <w:r>
        <w:rPr>
          <w:rFonts w:ascii="Times New Roman" w:hAnsi="Times New Roman"/>
          <w:sz w:val="28"/>
        </w:rPr>
        <w:t>деятельность, собственником имущества которых является Республика Саха (Якутия)</w:t>
      </w:r>
      <w:r>
        <w:rPr>
          <w:rFonts w:ascii="Times New Roman" w:hAnsi="Times New Roman"/>
          <w:sz w:val="28"/>
        </w:rPr>
        <w:t>:</w:t>
      </w:r>
    </w:p>
    <w:p w14:paraId="77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рамках правил предоставления и распределения субсидий из федерального бюджета бюджетам субъектов Российской Федерации и бюджету г. Байконура на софинансирование реализации мероприятий по модернизации коммунальной инфраструктуры, утвержденных постановлением Правительства Российской Федерации от 30.12.2017 № 1710</w:t>
      </w:r>
      <w:r>
        <w:rPr>
          <w:rStyle w:val="Style_2_ch"/>
          <w:rFonts w:ascii="Times New Roman" w:hAnsi="Times New Roman"/>
          <w:sz w:val="28"/>
        </w:rPr>
        <w:t>.</w:t>
      </w:r>
    </w:p>
    <w:p w14:paraId="78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>
        <w:rPr>
          <w:rFonts w:ascii="Times New Roman" w:hAnsi="Times New Roman"/>
          <w:sz w:val="28"/>
        </w:rPr>
        <w:t xml:space="preserve"> – дополнительные расходы не возникают</w:t>
      </w:r>
      <w:r>
        <w:rPr>
          <w:rFonts w:ascii="Times New Roman" w:hAnsi="Times New Roman"/>
          <w:sz w:val="28"/>
        </w:rPr>
        <w:t>.</w:t>
      </w:r>
    </w:p>
    <w:p w14:paraId="7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введением предлагаемого правового регулирования:</w:t>
      </w:r>
    </w:p>
    <w:p w14:paraId="7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  <w:r>
        <w:rPr>
          <w:rFonts w:ascii="Times New Roman" w:hAnsi="Times New Roman"/>
          <w:sz w:val="28"/>
          <w:u w:val="single"/>
        </w:rPr>
        <w:t>.</w:t>
      </w:r>
    </w:p>
    <w:p w14:paraId="7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Источники данных:</w:t>
      </w:r>
    </w:p>
    <w:p w14:paraId="7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</w:p>
    <w:p w14:paraId="7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(ограничений)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 с ними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(доходы)</w:t>
      </w:r>
    </w:p>
    <w:p w14:paraId="7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6"/>
              </w:rPr>
              <w:t>пп</w:t>
            </w:r>
            <w:r>
              <w:rPr>
                <w:rFonts w:ascii="Times New Roman" w:hAnsi="Times New Roman"/>
                <w:sz w:val="26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.4.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Количественная оценка, млн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ГУП «ЖКХ РС(Я)»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 w:firstLine="709" w:left="0" w:right="2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14:paraId="8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поддающиеся количественной оценке:</w:t>
      </w:r>
    </w:p>
    <w:p w14:paraId="8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Дополнительный механизм государственной поддержки </w:t>
      </w:r>
      <w:r>
        <w:rPr>
          <w:rFonts w:ascii="Times New Roman" w:hAnsi="Times New Roman"/>
          <w:sz w:val="28"/>
          <w:u w:val="single"/>
        </w:rPr>
        <w:t>населению на улучшение жилищно-коммунальных услуг</w:t>
      </w:r>
      <w:r>
        <w:rPr>
          <w:rFonts w:ascii="Times New Roman" w:hAnsi="Times New Roman"/>
          <w:sz w:val="28"/>
          <w:u w:val="single"/>
        </w:rPr>
        <w:t>.</w:t>
      </w:r>
    </w:p>
    <w:p w14:paraId="8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Источники данных:</w:t>
      </w:r>
    </w:p>
    <w:p w14:paraId="8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  <w:u w:val="single"/>
        </w:rPr>
        <w:t>нет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8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 регулирования</w:t>
      </w:r>
    </w:p>
    <w:p w14:paraId="8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 w:firstLine="0" w:left="0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9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highlight w:val="red"/>
        </w:rPr>
      </w:pPr>
    </w:p>
    <w:p w14:paraId="9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Источники данных:</w:t>
      </w:r>
    </w:p>
    <w:p w14:paraId="9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отсутствуют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</w:t>
      </w:r>
    </w:p>
    <w:p w14:paraId="9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9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4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проекта позволит улучшить уровень жизни и комфорт проживания части населения Республики Саха (Якутия), </w:t>
            </w:r>
          </w:p>
          <w:p w14:paraId="A3000000">
            <w:pPr>
              <w:pStyle w:val="Style_5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повысится</w:t>
            </w:r>
            <w:r>
              <w:rPr>
                <w:rFonts w:ascii="Times New Roman" w:hAnsi="Times New Roman"/>
                <w:sz w:val="26"/>
              </w:rPr>
              <w:t xml:space="preserve"> качество</w:t>
            </w:r>
            <w:r>
              <w:rPr>
                <w:rFonts w:ascii="Times New Roman" w:hAnsi="Times New Roman"/>
                <w:sz w:val="26"/>
              </w:rPr>
              <w:t xml:space="preserve"> и надежность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предоставления коммунальных услуг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A4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увеличится протяженность</w:t>
            </w:r>
            <w:r>
              <w:rPr>
                <w:rFonts w:ascii="Times New Roman" w:hAnsi="Times New Roman"/>
                <w:sz w:val="26"/>
              </w:rPr>
              <w:t xml:space="preserve"> замененных</w:t>
            </w:r>
            <w:r>
              <w:rPr>
                <w:rFonts w:ascii="Times New Roman" w:hAnsi="Times New Roman"/>
                <w:sz w:val="26"/>
              </w:rPr>
              <w:t xml:space="preserve"> инженерных сетей, снизится аварийность коммунальной инфраструктуры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</w:t>
            </w:r>
            <w:r>
              <w:rPr>
                <w:rFonts w:ascii="Times New Roman" w:hAnsi="Times New Roman"/>
                <w:sz w:val="26"/>
              </w:rPr>
              <w:t>модернизации, замены инженерных сетей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части насе</w:t>
            </w:r>
            <w:r>
              <w:rPr>
                <w:rFonts w:ascii="Times New Roman" w:hAnsi="Times New Roman"/>
                <w:sz w:val="26"/>
              </w:rPr>
              <w:t>ления Республики Саха (Якутия)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механизма предоставления финансовой поддержки ППК «Фонд развития территорий», конкурсной отбор по мероприятиям программы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проблемы:</w:t>
      </w:r>
    </w:p>
    <w:p w14:paraId="B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Учитывая проводимую госуда</w:t>
      </w:r>
      <w:r>
        <w:rPr>
          <w:rFonts w:ascii="Times New Roman" w:hAnsi="Times New Roman"/>
          <w:sz w:val="28"/>
          <w:u w:val="single"/>
        </w:rPr>
        <w:t xml:space="preserve">рственную политику в сфере </w:t>
      </w:r>
      <w:r>
        <w:rPr>
          <w:rFonts w:ascii="Times New Roman" w:hAnsi="Times New Roman"/>
          <w:sz w:val="28"/>
          <w:u w:val="single"/>
        </w:rPr>
        <w:t>коммунального комплекса</w:t>
      </w:r>
      <w:r>
        <w:rPr>
          <w:rFonts w:ascii="Times New Roman" w:hAnsi="Times New Roman"/>
          <w:sz w:val="28"/>
          <w:u w:val="single"/>
        </w:rPr>
        <w:t>, предпочтительным является вариант № 1.</w:t>
      </w:r>
    </w:p>
    <w:p w14:paraId="B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 Детальное описание предлагаемого варианта решения проблемы:</w:t>
      </w:r>
    </w:p>
    <w:p w14:paraId="B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риняти</w:t>
      </w:r>
      <w:r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  <w:u w:val="single"/>
        </w:rPr>
        <w:t xml:space="preserve"> акта, </w:t>
      </w:r>
      <w:r>
        <w:rPr>
          <w:rFonts w:ascii="Times New Roman" w:hAnsi="Times New Roman"/>
          <w:sz w:val="28"/>
          <w:u w:val="single"/>
        </w:rPr>
        <w:t>позволит</w:t>
      </w:r>
      <w:r>
        <w:rPr>
          <w:rFonts w:ascii="Times New Roman" w:hAnsi="Times New Roman"/>
          <w:sz w:val="28"/>
          <w:u w:val="single"/>
        </w:rPr>
        <w:t xml:space="preserve"> улучшить уровень жизни и комфорт проживания населения в сельской местности. В перспективе возможно </w:t>
      </w:r>
      <w:r>
        <w:rPr>
          <w:rFonts w:ascii="Times New Roman" w:hAnsi="Times New Roman"/>
          <w:sz w:val="28"/>
          <w:u w:val="single"/>
        </w:rPr>
        <w:t>подключение жилых</w:t>
      </w:r>
      <w:r>
        <w:rPr>
          <w:rFonts w:ascii="Times New Roman" w:hAnsi="Times New Roman"/>
          <w:sz w:val="28"/>
          <w:u w:val="single"/>
        </w:rPr>
        <w:t xml:space="preserve"> домов к централизова</w:t>
      </w:r>
      <w:r>
        <w:rPr>
          <w:rFonts w:ascii="Times New Roman" w:hAnsi="Times New Roman"/>
          <w:sz w:val="28"/>
          <w:u w:val="single"/>
        </w:rPr>
        <w:t>нным источникам теплоснабжения.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B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  <w:r>
        <w:rPr>
          <w:rFonts w:ascii="Times New Roman" w:hAnsi="Times New Roman"/>
          <w:sz w:val="28"/>
        </w:rPr>
        <w:t xml:space="preserve"> </w:t>
      </w:r>
    </w:p>
    <w:p w14:paraId="B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отсутствуют</w:t>
      </w:r>
    </w:p>
    <w:p w14:paraId="B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Предполагаемая дата вступления в силу нормативного правового акта:</w:t>
      </w:r>
    </w:p>
    <w:p w14:paraId="B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single"/>
        </w:rPr>
        <w:t>подписания</w:t>
      </w:r>
    </w:p>
    <w:p w14:paraId="B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введения предлагаемого правового регулирования: </w:t>
      </w:r>
    </w:p>
    <w:p w14:paraId="B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переходного периода: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ранее возникшие отношения: </w:t>
      </w:r>
    </w:p>
    <w:p w14:paraId="C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Период распространения на ранее возникшие отношения: 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 переходного периода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</w:p>
    <w:p w14:paraId="C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  <w:r>
        <w:rPr>
          <w:rFonts w:ascii="Times New Roman" w:hAnsi="Times New Roman"/>
          <w:sz w:val="28"/>
        </w:rPr>
        <w:t>_</w:t>
      </w:r>
    </w:p>
    <w:p w14:paraId="C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сводного отчета:</w:t>
      </w:r>
    </w:p>
    <w:p w14:paraId="C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сроках проведения публичных консультаций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сводному отчету:</w:t>
      </w:r>
    </w:p>
    <w:p w14:paraId="C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принимались предложения в связи с публичными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нормативного правового акта и сводному отчету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оценке регулирующего воздействия:</w:t>
      </w:r>
    </w:p>
    <w:p w14:paraId="C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«13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г.;</w:t>
      </w:r>
    </w:p>
    <w:p w14:paraId="C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окончание: </w:t>
      </w:r>
      <w:r>
        <w:rPr>
          <w:rFonts w:ascii="Times New Roman" w:hAnsi="Times New Roman"/>
          <w:sz w:val="28"/>
        </w:rPr>
        <w:t>«26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г.</w:t>
      </w:r>
    </w:p>
    <w:p w14:paraId="C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предложений, полученных в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  <w:u w:val="single"/>
        </w:rPr>
        <w:t xml:space="preserve">ед. </w:t>
      </w:r>
    </w:p>
    <w:p w14:paraId="C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, из них учтено:</w:t>
      </w:r>
    </w:p>
    <w:p w14:paraId="C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_______, учтено частично: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.</w:t>
      </w:r>
    </w:p>
    <w:p w14:paraId="C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адрес размещения </w:t>
      </w:r>
      <w:r>
        <w:rPr>
          <w:rFonts w:ascii="Times New Roman" w:hAnsi="Times New Roman"/>
          <w:sz w:val="28"/>
        </w:rPr>
        <w:t>сводного отчета</w:t>
      </w:r>
      <w:r>
        <w:rPr>
          <w:rFonts w:ascii="Times New Roman" w:hAnsi="Times New Roman"/>
          <w:sz w:val="28"/>
        </w:rPr>
        <w:t>:</w:t>
      </w:r>
    </w:p>
    <w:p w14:paraId="D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709" w:left="0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Руководитель </w:t>
      </w:r>
    </w:p>
    <w:p w14:paraId="D2000000">
      <w:pPr>
        <w:spacing w:after="0" w:line="240" w:lineRule="auto"/>
        <w:ind w:firstLine="709" w:left="0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регулирующего органа </w:t>
      </w:r>
    </w:p>
    <w:p w14:paraId="D3000000">
      <w:pPr>
        <w:spacing w:after="0" w:line="240" w:lineRule="auto"/>
        <w:ind w:firstLine="709" w:left="0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государственной власти – министр ЖКХ и энергетикиРС (Я)                </w:t>
      </w:r>
      <w:r>
        <w:rPr>
          <w:rFonts w:ascii="XO Thames" w:hAnsi="XO Thames"/>
          <w:b w:val="1"/>
          <w:sz w:val="24"/>
        </w:rPr>
        <w:t>В.П. Емельянов</w:t>
      </w:r>
    </w:p>
    <w:p w14:paraId="D4000000">
      <w:pPr>
        <w:spacing w:after="0" w:line="360" w:lineRule="exact"/>
        <w:ind w:firstLine="709" w:left="0" w:right="-285"/>
        <w:jc w:val="both"/>
        <w:rPr>
          <w:rFonts w:ascii="Times New Roman" w:hAnsi="Times New Roman"/>
          <w:sz w:val="24"/>
        </w:rPr>
      </w:pPr>
    </w:p>
    <w:sectPr>
      <w:headerReference r:id="rId1" w:type="default"/>
      <w:headerReference r:id="rId2" w:type="first"/>
      <w:pgSz w:h="16838" w:orient="portrait" w:w="11905"/>
      <w:pgMar w:bottom="993" w:footer="0" w:gutter="0" w:header="0" w:left="1135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373"/>
      </w:pPr>
    </w:lvl>
    <w:lvl w:ilvl="1">
      <w:start w:val="1"/>
      <w:numFmt w:val="lowerLetter"/>
      <w:lvlText w:val="%2."/>
      <w:lvlJc w:val="left"/>
      <w:pPr>
        <w:ind w:hanging="360" w:left="1093"/>
      </w:pPr>
    </w:lvl>
    <w:lvl w:ilvl="2">
      <w:start w:val="1"/>
      <w:numFmt w:val="lowerRoman"/>
      <w:lvlText w:val="%3."/>
      <w:lvlJc w:val="right"/>
      <w:pPr>
        <w:ind w:hanging="180" w:left="1813"/>
      </w:pPr>
    </w:lvl>
    <w:lvl w:ilvl="3">
      <w:start w:val="1"/>
      <w:numFmt w:val="decimal"/>
      <w:lvlText w:val="%4."/>
      <w:lvlJc w:val="left"/>
      <w:pPr>
        <w:ind w:hanging="360" w:left="2533"/>
      </w:pPr>
    </w:lvl>
    <w:lvl w:ilvl="4">
      <w:start w:val="1"/>
      <w:numFmt w:val="lowerLetter"/>
      <w:lvlText w:val="%5."/>
      <w:lvlJc w:val="left"/>
      <w:pPr>
        <w:ind w:hanging="360" w:left="3253"/>
      </w:pPr>
    </w:lvl>
    <w:lvl w:ilvl="5">
      <w:start w:val="1"/>
      <w:numFmt w:val="lowerRoman"/>
      <w:lvlText w:val="%6."/>
      <w:lvlJc w:val="right"/>
      <w:pPr>
        <w:ind w:hanging="180" w:left="3973"/>
      </w:pPr>
    </w:lvl>
    <w:lvl w:ilvl="6">
      <w:start w:val="1"/>
      <w:numFmt w:val="decimal"/>
      <w:lvlText w:val="%7."/>
      <w:lvlJc w:val="left"/>
      <w:pPr>
        <w:ind w:hanging="360" w:left="4693"/>
      </w:pPr>
    </w:lvl>
    <w:lvl w:ilvl="7">
      <w:start w:val="1"/>
      <w:numFmt w:val="lowerLetter"/>
      <w:lvlText w:val="%8."/>
      <w:lvlJc w:val="left"/>
      <w:pPr>
        <w:ind w:hanging="360" w:left="5413"/>
      </w:pPr>
    </w:lvl>
    <w:lvl w:ilvl="8">
      <w:start w:val="1"/>
      <w:numFmt w:val="lowerRoman"/>
      <w:lvlText w:val="%9."/>
      <w:lvlJc w:val="right"/>
      <w:pPr>
        <w:ind w:hanging="180" w:left="6133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477"/>
      </w:pPr>
    </w:lvl>
    <w:lvl w:ilvl="1">
      <w:start w:val="1"/>
      <w:numFmt w:val="lowerLetter"/>
      <w:lvlText w:val="%2."/>
      <w:lvlJc w:val="left"/>
      <w:pPr>
        <w:ind w:hanging="360" w:left="1197"/>
      </w:pPr>
    </w:lvl>
    <w:lvl w:ilvl="2">
      <w:start w:val="1"/>
      <w:numFmt w:val="lowerRoman"/>
      <w:lvlText w:val="%3."/>
      <w:lvlJc w:val="right"/>
      <w:pPr>
        <w:ind w:hanging="180" w:left="1917"/>
      </w:pPr>
    </w:lvl>
    <w:lvl w:ilvl="3">
      <w:start w:val="1"/>
      <w:numFmt w:val="decimal"/>
      <w:lvlText w:val="%4."/>
      <w:lvlJc w:val="left"/>
      <w:pPr>
        <w:ind w:hanging="360" w:left="2637"/>
      </w:pPr>
    </w:lvl>
    <w:lvl w:ilvl="4">
      <w:start w:val="1"/>
      <w:numFmt w:val="lowerLetter"/>
      <w:lvlText w:val="%5."/>
      <w:lvlJc w:val="left"/>
      <w:pPr>
        <w:ind w:hanging="360" w:left="3357"/>
      </w:pPr>
    </w:lvl>
    <w:lvl w:ilvl="5">
      <w:start w:val="1"/>
      <w:numFmt w:val="lowerRoman"/>
      <w:lvlText w:val="%6."/>
      <w:lvlJc w:val="right"/>
      <w:pPr>
        <w:ind w:hanging="180" w:left="4077"/>
      </w:pPr>
    </w:lvl>
    <w:lvl w:ilvl="6">
      <w:start w:val="1"/>
      <w:numFmt w:val="decimal"/>
      <w:lvlText w:val="%7."/>
      <w:lvlJc w:val="left"/>
      <w:pPr>
        <w:ind w:hanging="360" w:left="4797"/>
      </w:pPr>
    </w:lvl>
    <w:lvl w:ilvl="7">
      <w:start w:val="1"/>
      <w:numFmt w:val="lowerLetter"/>
      <w:lvlText w:val="%8."/>
      <w:lvlJc w:val="left"/>
      <w:pPr>
        <w:ind w:hanging="360" w:left="5517"/>
      </w:pPr>
    </w:lvl>
    <w:lvl w:ilvl="8">
      <w:start w:val="1"/>
      <w:numFmt w:val="lowerRoman"/>
      <w:lvlText w:val="%9."/>
      <w:lvlJc w:val="right"/>
      <w:pPr>
        <w:ind w:hanging="180" w:left="623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6" w:type="paragraph">
    <w:name w:val="Прижатый влево"/>
    <w:basedOn w:val="Style_2"/>
    <w:next w:val="Style_2"/>
    <w:link w:val="Style_6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6_ch" w:type="character">
    <w:name w:val="Прижатый влево"/>
    <w:basedOn w:val="Style_2_ch"/>
    <w:link w:val="Style_6"/>
    <w:rPr>
      <w:rFonts w:ascii="Times New Roman CYR" w:hAnsi="Times New Roman CYR"/>
      <w:sz w:val="24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6"/>
    <w:link w:val="Style_19_ch"/>
    <w:rPr>
      <w:color w:themeColor="hyperlink" w:val="0563C1"/>
      <w:u w:val="single"/>
    </w:rPr>
  </w:style>
  <w:style w:styleId="Style_19_ch" w:type="character">
    <w:name w:val="Hyperlink"/>
    <w:basedOn w:val="Style_16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2_ch"/>
    <w:link w:val="Style_26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2025-03-04T06:54:33Z</dcterms:modified>
</cp:coreProperties>
</file>