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05"/>
        <w:gridCol w:w="1489"/>
        <w:gridCol w:w="4165"/>
      </w:tblGrid>
      <w:tr w:rsidR="00453B74">
        <w:trPr>
          <w:trHeight w:val="1843"/>
        </w:trPr>
        <w:tc>
          <w:tcPr>
            <w:tcW w:w="4105" w:type="dxa"/>
          </w:tcPr>
          <w:p w:rsidR="00453B74" w:rsidRDefault="00453B74">
            <w:pPr>
              <w:ind w:left="0"/>
              <w:jc w:val="center"/>
              <w:rPr>
                <w:rFonts w:ascii="PT Astra Serif" w:hAnsi="PT Astra Serif"/>
                <w:b/>
                <w:caps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caps/>
                <w:sz w:val="26"/>
              </w:rPr>
            </w:pPr>
            <w:r>
              <w:rPr>
                <w:rFonts w:ascii="PT Astra Serif" w:hAnsi="PT Astra Serif"/>
                <w:caps/>
                <w:sz w:val="26"/>
              </w:rPr>
              <w:t>Правительство</w:t>
            </w: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caps/>
                <w:sz w:val="26"/>
              </w:rPr>
            </w:pPr>
            <w:r>
              <w:rPr>
                <w:rFonts w:ascii="PT Astra Serif" w:hAnsi="PT Astra Serif"/>
                <w:caps/>
                <w:sz w:val="26"/>
              </w:rPr>
              <w:t>Республики саха (Якутия)</w:t>
            </w:r>
          </w:p>
          <w:p w:rsidR="00453B74" w:rsidRDefault="00453B74">
            <w:pPr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b/>
                <w:sz w:val="34"/>
              </w:rPr>
            </w:pPr>
            <w:r>
              <w:rPr>
                <w:rFonts w:ascii="PT Astra Serif" w:hAnsi="PT Astra Serif"/>
                <w:b/>
                <w:sz w:val="34"/>
              </w:rPr>
              <w:t>РАСПОРЯЖЕНИЕ</w:t>
            </w:r>
          </w:p>
          <w:p w:rsidR="00453B74" w:rsidRDefault="00453B74">
            <w:pPr>
              <w:spacing w:line="360" w:lineRule="auto"/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г. Якутск</w:t>
            </w:r>
          </w:p>
          <w:p w:rsidR="00453B74" w:rsidRDefault="00453B74">
            <w:pPr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489" w:type="dxa"/>
          </w:tcPr>
          <w:p w:rsidR="00453B74" w:rsidRDefault="00761A13">
            <w:pPr>
              <w:ind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noProof/>
                <w:sz w:val="24"/>
              </w:rPr>
              <w:drawing>
                <wp:inline distT="0" distB="0" distL="0" distR="0">
                  <wp:extent cx="732409" cy="73240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2409" cy="73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</w:tcPr>
          <w:p w:rsidR="00453B74" w:rsidRDefault="00453B74">
            <w:pPr>
              <w:ind w:left="0"/>
              <w:jc w:val="center"/>
              <w:rPr>
                <w:rFonts w:ascii="PT Astra Serif" w:hAnsi="PT Astra Serif"/>
                <w:b/>
                <w:caps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caps/>
                <w:sz w:val="26"/>
              </w:rPr>
            </w:pPr>
            <w:r>
              <w:rPr>
                <w:rFonts w:ascii="PT Astra Serif" w:hAnsi="PT Astra Serif"/>
                <w:caps/>
                <w:sz w:val="26"/>
              </w:rPr>
              <w:t xml:space="preserve">САХА ӨРӨСПҮҮБҮЛҮКЭТИН </w:t>
            </w: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caps/>
                <w:sz w:val="24"/>
              </w:rPr>
            </w:pPr>
            <w:r>
              <w:rPr>
                <w:rFonts w:ascii="PT Astra Serif" w:hAnsi="PT Astra Serif"/>
                <w:caps/>
                <w:sz w:val="24"/>
              </w:rPr>
              <w:t>бырабыытылыстабата</w:t>
            </w:r>
          </w:p>
          <w:p w:rsidR="00453B74" w:rsidRDefault="00453B74">
            <w:pPr>
              <w:ind w:left="0"/>
              <w:jc w:val="center"/>
              <w:rPr>
                <w:rFonts w:ascii="PT Astra Serif" w:hAnsi="PT Astra Serif"/>
                <w:caps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b/>
                <w:caps/>
                <w:sz w:val="34"/>
              </w:rPr>
            </w:pPr>
            <w:r>
              <w:rPr>
                <w:rFonts w:ascii="PT Astra Serif" w:hAnsi="PT Astra Serif"/>
                <w:b/>
                <w:caps/>
                <w:sz w:val="34"/>
              </w:rPr>
              <w:t>ДЬАһал</w:t>
            </w:r>
          </w:p>
          <w:p w:rsidR="00453B74" w:rsidRDefault="00453B74">
            <w:pPr>
              <w:spacing w:line="360" w:lineRule="auto"/>
              <w:ind w:left="0"/>
              <w:jc w:val="center"/>
              <w:rPr>
                <w:rFonts w:ascii="PT Astra Serif" w:hAnsi="PT Astra Serif"/>
                <w:b/>
                <w:caps/>
                <w:spacing w:val="30"/>
                <w:sz w:val="24"/>
              </w:rPr>
            </w:pPr>
          </w:p>
          <w:p w:rsidR="00453B74" w:rsidRDefault="00761A13">
            <w:pPr>
              <w:ind w:left="0"/>
              <w:jc w:val="center"/>
              <w:rPr>
                <w:rFonts w:ascii="PT Astra Serif" w:hAnsi="PT Astra Serif"/>
                <w:b/>
                <w:caps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Дьокуускай к.</w:t>
            </w:r>
          </w:p>
          <w:p w:rsidR="00453B74" w:rsidRDefault="00453B74">
            <w:pPr>
              <w:ind w:left="0"/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</w:tr>
    </w:tbl>
    <w:p w:rsidR="00453B74" w:rsidRDefault="00453B74">
      <w:pPr>
        <w:ind w:left="0"/>
        <w:jc w:val="center"/>
        <w:rPr>
          <w:rFonts w:ascii="PT Astra Serif" w:hAnsi="PT Astra Serif"/>
          <w:b/>
          <w:sz w:val="28"/>
        </w:rPr>
      </w:pPr>
    </w:p>
    <w:p w:rsidR="00453B74" w:rsidRDefault="00453B74">
      <w:pPr>
        <w:ind w:left="0"/>
        <w:jc w:val="center"/>
        <w:rPr>
          <w:rFonts w:ascii="PT Astra Serif" w:hAnsi="PT Astra Serif"/>
          <w:b/>
          <w:sz w:val="28"/>
        </w:rPr>
      </w:pPr>
    </w:p>
    <w:p w:rsidR="00453B74" w:rsidRDefault="00761A13">
      <w:pPr>
        <w:ind w:left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плана мероприятий по реализации Концепции развития охотничьего хозяйства в Республике Саха (Якутия) до</w:t>
      </w:r>
      <w:r>
        <w:rPr>
          <w:rFonts w:ascii="PT Astra Serif" w:hAnsi="PT Astra Serif"/>
          <w:b/>
          <w:sz w:val="28"/>
        </w:rPr>
        <w:t xml:space="preserve"> 2035 года</w:t>
      </w:r>
    </w:p>
    <w:p w:rsidR="00453B74" w:rsidRDefault="00453B74">
      <w:pPr>
        <w:ind w:left="0"/>
        <w:jc w:val="center"/>
        <w:rPr>
          <w:rFonts w:ascii="PT Astra Serif" w:hAnsi="PT Astra Serif"/>
          <w:b/>
          <w:sz w:val="28"/>
        </w:rPr>
      </w:pPr>
    </w:p>
    <w:p w:rsidR="00453B74" w:rsidRDefault="00761A13">
      <w:p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ab/>
      </w:r>
    </w:p>
    <w:p w:rsidR="00453B74" w:rsidRDefault="00761A13">
      <w:p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пунктом 3 распоряжения Главы Республики Саха (Якутия) от 16.12.2024 г. № 915-РГ «Об утверждении Концепции развития охотничьего хозяйства в Республике Саха (Якутия) до 2035 года».</w:t>
      </w:r>
    </w:p>
    <w:p w:rsidR="00453B74" w:rsidRDefault="00761A13">
      <w:pPr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Утвердить прилагаемый план мероприятий по </w:t>
      </w:r>
      <w:r>
        <w:rPr>
          <w:rFonts w:ascii="PT Astra Serif" w:hAnsi="PT Astra Serif"/>
          <w:sz w:val="28"/>
        </w:rPr>
        <w:t>реализации Концепции развития охотничьего хозяйства в Республике Саха (Якутия) до 2035 года.</w:t>
      </w:r>
    </w:p>
    <w:p w:rsidR="00453B74" w:rsidRDefault="00761A13">
      <w:pPr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Координацию исполнения п</w:t>
      </w:r>
      <w:r>
        <w:rPr>
          <w:rFonts w:ascii="PT Astra Serif" w:hAnsi="PT Astra Serif"/>
          <w:sz w:val="28"/>
        </w:rPr>
        <w:t>лана мероприятий по реализации Концепции развития охотничьего хозяйства в Республике Саха (Якутия) до 2035 года</w:t>
      </w:r>
      <w:r>
        <w:rPr>
          <w:rFonts w:ascii="PT Astra Serif" w:hAnsi="PT Astra Serif"/>
          <w:sz w:val="28"/>
          <w:highlight w:val="white"/>
        </w:rPr>
        <w:t xml:space="preserve"> возложить на Министерство э</w:t>
      </w:r>
      <w:r>
        <w:rPr>
          <w:rFonts w:ascii="PT Astra Serif" w:hAnsi="PT Astra Serif"/>
          <w:sz w:val="28"/>
          <w:highlight w:val="white"/>
        </w:rPr>
        <w:t>кологии, природопользования и лесного хозяйства Республики Саха (Якутия).</w:t>
      </w:r>
    </w:p>
    <w:p w:rsidR="00453B74" w:rsidRDefault="00761A13">
      <w:pPr>
        <w:numPr>
          <w:ilvl w:val="0"/>
          <w:numId w:val="1"/>
        </w:numPr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исполнения настоящего распоряжения возложить на заместителя Председателя Правительства Республики Саха (Якутия) Балабкиной О.В.</w:t>
      </w:r>
    </w:p>
    <w:p w:rsidR="00453B74" w:rsidRDefault="00761A13">
      <w:p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 Опубликовать настоящее распоряжение в офиц</w:t>
      </w:r>
      <w:r>
        <w:rPr>
          <w:rFonts w:ascii="PT Astra Serif" w:hAnsi="PT Astra Serif"/>
          <w:sz w:val="28"/>
        </w:rPr>
        <w:t>иальных средствах массовой информации.</w:t>
      </w:r>
    </w:p>
    <w:p w:rsidR="00453B74" w:rsidRDefault="00453B74">
      <w:pPr>
        <w:tabs>
          <w:tab w:val="left" w:pos="993"/>
        </w:tabs>
        <w:spacing w:line="360" w:lineRule="exact"/>
        <w:ind w:left="0" w:firstLine="567"/>
        <w:jc w:val="both"/>
        <w:rPr>
          <w:rFonts w:ascii="PT Astra Serif" w:hAnsi="PT Astra Serif"/>
          <w:sz w:val="28"/>
        </w:rPr>
      </w:pPr>
    </w:p>
    <w:p w:rsidR="00453B74" w:rsidRDefault="00453B74">
      <w:pPr>
        <w:ind w:left="0"/>
        <w:rPr>
          <w:rFonts w:ascii="PT Astra Serif" w:hAnsi="PT Astra Serif"/>
          <w:b/>
          <w:sz w:val="28"/>
        </w:rPr>
      </w:pPr>
    </w:p>
    <w:p w:rsidR="00453B74" w:rsidRDefault="00761A13">
      <w:pPr>
        <w:ind w:left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Председатель Правительства</w:t>
      </w:r>
    </w:p>
    <w:p w:rsidR="00453B74" w:rsidRDefault="00761A13">
      <w:pPr>
        <w:ind w:left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Республики Саха (Якутия)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 К. БЫЧКОВ</w:t>
      </w:r>
    </w:p>
    <w:p w:rsidR="00453B74" w:rsidRDefault="00453B74">
      <w:pPr>
        <w:ind w:left="0" w:firstLine="709"/>
        <w:jc w:val="both"/>
        <w:rPr>
          <w:rFonts w:ascii="PT Astra Serif" w:hAnsi="PT Astra Serif"/>
          <w:sz w:val="28"/>
        </w:rPr>
      </w:pPr>
    </w:p>
    <w:p w:rsidR="00453B74" w:rsidRDefault="00453B74">
      <w:pPr>
        <w:ind w:left="0" w:firstLine="709"/>
        <w:jc w:val="both"/>
        <w:rPr>
          <w:rFonts w:ascii="PT Astra Serif" w:hAnsi="PT Astra Serif"/>
          <w:sz w:val="28"/>
        </w:rPr>
      </w:pPr>
    </w:p>
    <w:p w:rsidR="00453B74" w:rsidRDefault="00453B74">
      <w:pPr>
        <w:ind w:left="0"/>
        <w:jc w:val="both"/>
        <w:rPr>
          <w:rFonts w:ascii="PT Astra Serif" w:hAnsi="PT Astra Serif"/>
          <w:sz w:val="28"/>
        </w:rPr>
      </w:pPr>
    </w:p>
    <w:p w:rsidR="00453B74" w:rsidRDefault="00761A13">
      <w:pPr>
        <w:spacing w:line="380" w:lineRule="exact"/>
        <w:ind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 __________ 2025 г.</w:t>
      </w:r>
    </w:p>
    <w:p w:rsidR="00453B74" w:rsidRDefault="00761A13">
      <w:pPr>
        <w:spacing w:line="380" w:lineRule="exact"/>
        <w:ind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№ ______</w:t>
      </w:r>
    </w:p>
    <w:p w:rsidR="00453B74" w:rsidRDefault="00453B74">
      <w:pPr>
        <w:spacing w:line="380" w:lineRule="exact"/>
        <w:ind w:left="0"/>
        <w:rPr>
          <w:rFonts w:ascii="PT Astra Serif" w:hAnsi="PT Astra Serif"/>
          <w:sz w:val="28"/>
        </w:rPr>
      </w:pPr>
    </w:p>
    <w:p w:rsidR="00453B74" w:rsidRDefault="00453B74"/>
    <w:p w:rsidR="00453B74" w:rsidRDefault="00453B74"/>
    <w:p w:rsidR="00453B74" w:rsidRDefault="00453B74"/>
    <w:p w:rsidR="00453B74" w:rsidRDefault="00453B74"/>
    <w:p w:rsidR="00453B74" w:rsidRDefault="00453B74"/>
    <w:p w:rsidR="00453B74" w:rsidRDefault="00453B74">
      <w:pPr>
        <w:sectPr w:rsidR="00453B74">
          <w:headerReference w:type="default" r:id="rId8"/>
          <w:headerReference w:type="first" r:id="rId9"/>
          <w:pgSz w:w="11908" w:h="16848"/>
          <w:pgMar w:top="1134" w:right="850" w:bottom="1134" w:left="1701" w:header="709" w:footer="709" w:gutter="0"/>
          <w:cols w:space="720"/>
          <w:titlePg/>
        </w:sectPr>
      </w:pPr>
    </w:p>
    <w:p w:rsidR="00453B74" w:rsidRDefault="00761A1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УТВЕРЖДЕНО</w:t>
      </w:r>
    </w:p>
    <w:p w:rsidR="00453B74" w:rsidRDefault="00453B74">
      <w:pPr>
        <w:jc w:val="right"/>
        <w:rPr>
          <w:rFonts w:ascii="PT Astra Serif" w:hAnsi="PT Astra Serif"/>
          <w:sz w:val="28"/>
        </w:rPr>
      </w:pPr>
    </w:p>
    <w:p w:rsidR="00453B74" w:rsidRDefault="00761A1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распоряжением Правительства</w:t>
      </w:r>
    </w:p>
    <w:p w:rsidR="00453B74" w:rsidRDefault="00761A1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Республики Саха (Якутия)</w:t>
      </w:r>
    </w:p>
    <w:p w:rsidR="00453B74" w:rsidRDefault="00761A13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от_____________2025 № _____</w:t>
      </w:r>
    </w:p>
    <w:p w:rsidR="00453B74" w:rsidRDefault="00453B74">
      <w:pPr>
        <w:jc w:val="center"/>
        <w:rPr>
          <w:b/>
          <w:sz w:val="28"/>
        </w:rPr>
      </w:pPr>
    </w:p>
    <w:p w:rsidR="00453B74" w:rsidRDefault="00761A13">
      <w:pPr>
        <w:jc w:val="center"/>
        <w:rPr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План мероприятий по реализации Концепции развития охотничьего хозяйства </w:t>
      </w:r>
    </w:p>
    <w:p w:rsidR="00453B74" w:rsidRDefault="00761A13">
      <w:pPr>
        <w:ind w:left="-142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Республики Саха (Якутия) до 2035 года</w:t>
      </w:r>
    </w:p>
    <w:p w:rsidR="00453B74" w:rsidRDefault="00453B74">
      <w:pPr>
        <w:ind w:left="-142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"/>
        <w:gridCol w:w="3227"/>
        <w:gridCol w:w="2977"/>
        <w:gridCol w:w="2268"/>
        <w:gridCol w:w="2977"/>
        <w:gridCol w:w="2551"/>
      </w:tblGrid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Механизмы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  <w:p w:rsidR="00453B74" w:rsidRDefault="00761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докумен</w:t>
            </w:r>
            <w:r>
              <w:rPr>
                <w:rFonts w:ascii="Times New Roman" w:hAnsi="Times New Roman"/>
                <w:sz w:val="28"/>
              </w:rPr>
              <w:t>та</w:t>
            </w:r>
          </w:p>
          <w:p w:rsidR="00453B74" w:rsidRDefault="00453B7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ind w:left="0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прав на охоту населения республики и взаимодействия с обществами охотников,а также увеличение качества и доступности охоты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Оказание содействия в образовании обществ охотников в муниципальных районах, наслегах, предприятиях,охотничьих угодиях охотпользователей и взаимодействие с обществами охотников в части привлечения их к мероприятиям по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охране и воспроизводству охотничьих ре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сурсов, в развитии культуры охоты среди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Организация работы по проведению семинаров в административных центрах муниципальных районов, наслегах, с охотпользователями.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Участие общественности в мероприятиях по охране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воспроизводству охотничьих ресу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рсов, в развитии культуры охоты среди населения совместно с охотпользователями.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Организация обществ охотников в каждом муниципальном районе, которые будут взаимодействовать с охотпользоват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елями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охотников и 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Администрации муниципальных районов, наслегов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1.2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открытости информации о предоставлении услуги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охотпользователями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Работа с охотпользователями по обеспечению размещения на сайте министерства информации об услугах охотпользователей, в том числе путем организации единого оператора по предоставлению услуг охотпользователей.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доклад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Правительство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Размещения на сайте полной и достоверной информации об услугах охотпользователей.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Доступность разрешений на добычу охотничьих ресурсов, выдаваемых охотпользователями. Увеличение количества оказании услуг в сфере охот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ничьего хозяйства.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Совершенствование механизмов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распределения и выдачи разрешений на добычу охотничьих ресурсов, в том числе внедрение электронных разрешений на добычу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охотничьих ресурсов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Разработка Порядка выдачи разрешений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на добычу охотничьих ресурсов на особо охраняемых природных территорий республиканского и местного значения в соответствии со статьей 13 Закона РС(Я) «Об охоте и о сохранении охотничьих ресурсов».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Внедрение системы выдачи электронных разрешений на добычу охотничьих ресурсов.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декабрь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2026 г. 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Выдача разрешений на добычу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охотничьих ресурсов в электронном виде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Министерство экологии,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0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 xml:space="preserve">Министерство инноваций, цифрового развития и инфокоммуникационных технологий </w:t>
              </w:r>
            </w:hyperlink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Обеспечение предоставления охотпользователями услуг в сфере охоты для 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аселения и экономической устойчивости развития охотничьего хозяйства республики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2.1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Внедрение механизмов, стимулирующих предоставление охотпользователями  охотникам разрешений на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добычу охотничьих ресурсов с организацией охоты и предоставлением охотничьей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инфраструктуры, в том числе путем введения грантов и премий лучшим охотничьим хозяйствам согласно рейтингу, организацией единого оператора по предоставлению доступа к услугам охотничьих хозяйств.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Организация республиканского конкурса «Лучшее охотничье хо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зяйство Республики Саха (Якутия)». Оценка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по результатам работы и бизнес-планов по оказанию услуг в сфере охоты гражданам.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2026 г.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(ежегодно)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Поддержка охотничьих хозяйств, заинтересованность охо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тпользователей в предоставлении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услуг в сфере охоты.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Увеличение количества охотничьих хозяйств, предоставляющих услуги в сфере охоты.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сельского хозяйства и продовольственной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политики РС(Я)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br/>
              <w:t>Министерство предпринимательства, торговли и туризма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охотников и 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2.2.</w:t>
            </w: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сайта информирующего об охотпользователях республики и  реализации разрешений на добычу охотничьих ресурс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ов от охотпользователей.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Организация  единого оператора по предоставлению доступа к услугам охотничьих хозяйств.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июнь 2027 г. 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Открытость информации и отраженность в одном сайте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 охотпользователях.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Возможность реализовать покупки онлайн разрешений на добычу охотничьих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ресурсов от охотпользователей.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Информированность охотников об охотпользователях республики.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Клиентоориентированность, больший охват охотников. (Увеличенная возможность продажи разрешен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ий, т.е. больше налога для бюджета)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Продвижение охотничьего туризма.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инноваций. цифрового развития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инфокоммуникационных технологий РС 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3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вовлечения охотнико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 в мероприятия по охране и воспроизводству охотничьих ресурсов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3.1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Увеличение вовлечения охотников в мероприятия по воспроизводству  численности охотничьих ресурсов, по результатам которых предоставляются разрешения на добычу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охотничьих ресурсов, на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которых устанавливается лимит добычи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Размещение в СМИ статей о роли воспроизводства охотничьих ресурсов в развитии охотничьего хозяйства, роликов по подкормке диких животных;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Организация консультативно-методической  работы с обществами охотников, с обществ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ами ветеранов боевых действий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Организация консультативно-методической работы среди охотпользователей и охотников, желающих участвовать в биотехнических мероприятиях с возможностью льготного получения разрешений на добычу лимитируемых видов охотничьих ресур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сов на закрепленных за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охотпользователями охотничьих угодий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Вовлечение охотников в мероприятия по охране и воспроизводству охотничьих ресурсов в общедоступных охотничьих угодьях и закрепленн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охотничьих угодьях 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Общественные организации охотников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Введение нормативных правовых механизмов закрепления охотничьих угодий за местными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коллективами охотников, основной уставной деятельностью которых является реализация прав охотников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Подготовка проекта федерального закона «О внесении изменений в Федеральный закон от 24.07.2009 № 209-ФЗ «Об охоте и о сохранении охотничьих ресурсов ...»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части приоритетного закрепления охотничьих угодий за местными коллективами охотников, основной уставной деятельностью которых является реализация прав охотников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Направление проекта федеральн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ого закона «О внесении изменений в Федеральный закон от 24.07.2009 № 209-ФЗ «Об охоте и о сохранении охотничьих ресурсов ...» в Государственную Думу РФ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ов и 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3.3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Поддержка общественных инициатив, направленных на повышение охраны и воспроизводство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охотничьих ресурсов и совершенствование законодательства в области охоты и сохранения охотничьих 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Проведение совещаний с обществами охотников по совершенствованию законодательства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сфере охоты и сохранения охотничьих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Формирования предложений по совершенствованию законодательств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а в сфере охоты и сохранения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охотничьих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Общественные организации охотников и охотпользователей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Обеспечение социальных прав и гарантий промыслового охотника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4.1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государственной поддержки охотпользователей, которые создают рабочие места и трудоустраивают промысловых охотников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и направление предложений по внесению изменений в законодательство по определению и расширению статуса промыслового охотника в зак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онодательстве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июль 2027 г.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Увеличение количества охотничьих хозяйств, оказывающих трудоустройство промысловых охотников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сел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ьского хозяйства и продовольственной политики РС(Я)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br/>
            </w:r>
            <w:hyperlink r:id="rId11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труда и социального развития РС(Я)</w:t>
              </w:r>
            </w:hyperlink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4.2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Создание системы заготовки, переработки, сбыта продукции охоты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Организация цехов по заготовке,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переработке, сбыту продукции охоты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 2027 года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Увеличение продукции собственного производства на рынке сбыта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сельского хозяйства и продовольствен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ной политики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промышленн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ости и геологии РС 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4.3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работы по определению и расширению статуса промыслового охотника в законодательстве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Работа по использованию налоговых льгот и участию в государственных программах с финансовой поддержкой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 2026 года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доклад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статуса промыслового охотника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сельского хозяйства и продовольственной политики РС(Я)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br/>
            </w:r>
            <w:hyperlink r:id="rId12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труда и социального развития РС(Я)</w:t>
              </w:r>
            </w:hyperlink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5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механизмов поддержки охотхозяйственной деятельности и повышения инвестиционной привлекательности охотничьих хозяйств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5.1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Внедрение передовых технологий ведения охотничьего хозяйства по сохранению и воспроизводству охотничьих хозяйств на примере воспроизводственного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участка «Кенкеме» и «Кюлюпчю»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Распространение опыта по проведению биотехнических мероприятий на примере воспрои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зводственного участка «Кенкеме» 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«Кюлюпчю» с размещением в СМИ статей, роликов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Пропаганда бережного отношения к окружающей природе, повышение культуры охоты среди охотни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ков.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Увеличение численности охотничьих ресурсов по охотничьим хозяйствам.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5.2</w:t>
            </w: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брошюр с методическими рекомендациями по проведению биотехнических мероприятий по воспроизводству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охотничьих ресурсов на примере воспроизводственного участка «Кенкеме» и «Кюлюпчю»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качества проводимых биотехнических и воспроизводственных мероприятий. Увеличение численности охот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ничьих ресурсов по охотничьим хозяйствам.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5.3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Внедрение мер государственной поддержки увеличения количества охотничьих хозяйств, занимающихся переработкой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реализацией охотничьего сырья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Организация условий, рекомендаций по переработке пищевой охотничьей продукции, созданию брэнда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охотничьей продукции.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Внедрение мер государственной поддержки охотпользователей, работающих в сфере товарного производства: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субсидия на возмещение части затрат 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а приобретение техники высокой проходимости;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субсидия на возмещение части затрат на строительство маршрутных домиков охотников;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государственная поддержка торгово логистических цетров по зпгтовке продукции охотничьих промыслов и сбора дикороссов.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Увеличение финансовой обеспеченности охотничьих хозяйств за счет товарооборота продукции охоты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сельского хозяйства и продовольственной политики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3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промышленност</w:t>
              </w:r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lastRenderedPageBreak/>
                <w:t>и и геологии РС(Я)</w:t>
              </w:r>
            </w:hyperlink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5.4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Организация условий для развития охотничьего туризма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методический рекомендаций по организации охотничьего туризма на массовые виды охотничьих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июнь 2026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г.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Увеличение финансовой обеспеченности охотничьих хозяйства за счет предоставления услуг по организации охотничьего туризма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хозяйства РС(Я),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 предпринимательства, торговли и туризма РС(Я)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5.5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Организация работы среди охотпользователей по оформлению в аренду лесных участков для размещения объектов охотничьей инфраструктуры, а также соблюдения ими Правил использования лесов для осуществления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видов деятельности в сфере охотничьего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методических рекомендаций по организации работы среди охотпользователей по оформлению в аренду лесных участков для размещения объектов охотничьей инфраструктуры, а также соблюдения ими Правил испо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льзования лесов для осуществления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видов деятельности в сфере охотничьего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Развитие охотничьей инфраструктуры с соблюдением лесного законодательства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ьзования и лесного хозяйства РС(Я)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Совершенствование законодательства в области охоты и сохранения охотничьих ресурсов на основе гласности и доступности содержания правовых норм</w:t>
            </w: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6.1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Внесение изменений в федеральное и республиканское законодательство,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учитывающее природно-климатические и социальные особенности Республики Саха (Якутия) при осуществлении охоты и ведения охотничьего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и направления предложений по внесению изменений в федеральное и республиканское законодательство, учитыв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ающее природно-климатические и социальные особенности Республики Саха (Якутия) при осуществлении охоты и ведения охотничьего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Рациональное использование охотничьих ресурсов.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Создани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 благоприятных условий для ведения охотничьего хозяйства, осуществления охоты.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Получение наиболее ценной продукции охоты.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охотников и охотпользователей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Сохранение и увеличение численности основных охотничьих видов животных до уровня, соответствующего экологической емкости среды их обитания и снижение нелегальной добычи охотничьих ресурсов</w:t>
            </w:r>
          </w:p>
        </w:tc>
      </w:tr>
      <w:tr w:rsidR="00453B74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своевременного проведения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мониторинга численности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охотничьих видов животных, в том числе путем внедрения альтернативных методов учета численности охотничьих ресурсов с учетом природных особенностей республики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Своевременное, периодическое проведение работ по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учету численности охотничьих ресурсов, в том чис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ле: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учетных работ на качественном уровне;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регулярное проведение учетных работ по определению численности и половозрастной структуры тундровых популяций дикого северного оленя;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- разработка и утверждение альтернативных методов учета численности с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нежного барана;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и утверждение альтернативных методов учета кабарги.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июнь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Получение достоверных данных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численности   охотничьих ресурсов в целях их рационального использования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экологии, природопользов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Научные учреждения</w:t>
            </w:r>
          </w:p>
        </w:tc>
      </w:tr>
      <w:tr w:rsidR="00453B74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условий по увеличению воспроизводственного потенциала охотничьих ресурсов, вовлечение общественности в мероприятиях по сохранению и воспроизводству охотничьих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ресурсов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акций по проведению биотехнических мероприятий среди населения.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Увеличение количества проводимых биотехнических мероприятий.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охотников и охотпользователей</w:t>
            </w:r>
          </w:p>
        </w:tc>
      </w:tr>
      <w:tr w:rsidR="00453B74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7.3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Утверждение методических рекомендаций по проведению биотехнических мероприятий по воспроизводству охотничьих ресурсов и опубликования их в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доклад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качества проводимых биотехнических мероприятий.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Пропаганда в СМИ и социальных сетях информацию о выдаче разрешений на добычу охотни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чьих ресурсов, на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которых устанавливается лимит добычи, во внеочередном порядке лицам, принявшим участие в мероприятиях по охране и воспроизводству охотничьих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Увеличение количества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проводимых биотехнических мероприятий.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Создание пунктов реабилитации диких животных, попавших в бедственное положение.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Строительство пункта реабилитации диких животных, попавших в бед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ственное положение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Сохранение охотничьих ресурсов, попавших в бедственное положение. Пропаганда гуманного отношения к диким животным.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Усиление федерального государственного охотничьего надзора в каждом муниципальном районе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в каждом муниципальном районе не менее 3 государственных охотничьих инспекторов;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доклад в Правительство Республики Саха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качества проводимых профилактических,  контрольно-рейдовых мероприятий и повышение качества предоставления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государственных услуг.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7.7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Обеспечение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материально-техническими средствами для полноценного осуществления переданных полномочий по осуществлению федерального государственного охотничьего контроля (надзора)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Повышения уровня выявления нару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шений Правил охоты.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Сокращение правонарушений в области охраны животного мира.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Усиление контрольно - надзорной работы на территории закрепленных охотничьих угодий силами производственных охотничьих инспекторов (не менее одного производственного инспектора в охотничьем хозяйстве)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и координация их работы по охране охотничьих ресурсов,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оказание консультативно-методической помощи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Работа с охотпользователями, заключившими охотхозяйственное соглашение, по организации производственного охотничьего контроля.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март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Увеличение количества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производственных охотничьих инспекторов. Повышение качества охраны охотничьих ресурсов.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Охотпользователи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7.9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Координация работы производственных охотничьих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инспекторов и проведение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совместных контрольно-надзорных мероприятий в охотничьих угодьях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январь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Повышение качества охраны охотничьих ресурсов.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Совершенствование знаний производственных охотничьих инспекторов.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экологии, природопользов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Охотпользователи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Регулирование численности хищных видов животных, наносящих ущерб животному миру и среде их обитания до минимально возможного уровня, с использованием современных технологий,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том числе беспилотных летательных аппаратов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Создание полностью оснащенных бригад охотников, занимающихся регулированием численности хищников, представляющих угрозу жизни граждан, и наносящих ущерб животному миру и среде их обитания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январь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доклад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Своевременное устранение угрозы жизни граждан и животному миру.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7.11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методических рекомендаций по регулированию численности хищников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Разработка методических рекомендаций по регулированию численности хищников с использованием современных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технологий, в том числе беспилотных летательных аппаратов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январь 2026 г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качества проводимых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мероприятий по регулированию численности хищных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Организация ежегодных семинаров охотников-волчатников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 рамках республиканского праздика День охотника проведение семинаров 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хотников-волчатников в г. Якутске.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апрель 2026 г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Обмен опытом среди охотников-волчатников и изучение передовых методов регулирования численности волков.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Министерство экологии, природопользования и лесного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7.13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Стимулирование (субсидирование) добычи хищных животных, наносящих ущерб охотничьим ресурсам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Предоставление субсидии на организованную закупку шкур волков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январь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заинт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ересованности охотников в регулировании численности хищных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7.16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Предоставление грантов Главы Республики Саха (Якутия) юридическим лицам и индивидуальным предпринимателям, 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также физическим лицам добывшим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наибольшее количество волков по итогам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июнь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заинтересованности охотничьих хозяйств в регулировании численности волков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7.15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Выдача разрешений во внеочередном порядке, физическим лицам принявшим участие в регулировании численности хищных животных.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январь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заинтересованности охотников в регулировании численности х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ищных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7.16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Создание государственных опытных охотничьих хозяйств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проекта государственного опытного охотничьего хозяйства на базе воспроизводственного участка «Кенкеме»,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ресурсных резерватов «Кэнкэмэ», «Харыйалахский», «Белоозерский».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 2029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Внедрение эффективных методов ведения охотничьего хозяйства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8</w:t>
            </w: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информационной и научной обеспеченности органов государственной власти для принятия решений в сфере охотничьего хозяйства и реализации принципов настоящей Концепции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8.1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Развитие системы подготовки кадров, повышения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квалификации специалистов 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руководителей органов исполнительной власти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Проведение работы, заключение соглашений 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сотрудничестве с высшими и средними учебными заведениями по подготовке кадров в области охотоведения и повышения квалификации действующих сотрудников министерства, а та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кже с охотпользователями по обеспечению специалистами охотоведами охотничьи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Обеспечение компетентными высококвалифициро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ванными специалистами в отрасли охотничьего хозяйства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ерство экологии, природопользов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ания и лесного хозяйства РС(Я),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4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образования и науки Республики Саха (Якутия)</w:t>
              </w:r>
            </w:hyperlink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сельского хозяйства и продовольственной политики РС(Я|)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Образовательные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учебные заведения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Общественные организации охотников и охотпользователей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Охотпользователи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8.2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Развитие методов мониторинга численности охотничьих ресурсов с применением дистанционного зондирования Земли, авиаучетных работ с использованием воздушных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судов и беспилотных летательных аппаратов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Изучение опыта других регионов и стран по применению современных методов учета численности животного мира и разработка методов для применения в республике, в том числе с применением ДЗЗ, БПЛА и искусственного интел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лекта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 2030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Совершенствование методов учета и получение наиболее достоверных данных по численности охотничьих ресурсов для рационального их использования.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инноваций. ц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ифрового развития и инфокоммуникационных технологий РС 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8.3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Консультативно-методическая работа с охотпользователями по применению передовых методов учета численности охотничьих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 2030 года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Повышения качества проводимых учетных работ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 получение наиболее достоверных данных по численности охотничьих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8.4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Внедрение и развитие цифровых технологий и инструментов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контрольно-надзорной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Обеспечение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планшетами, БПЛА инспекторский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состав Министерства и подведомственных учреждений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эффективности осуществления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федерального государственного охотничьего контроля (надзора)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8.5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Осуществление научных исследований в сфере сохранения, расширенного воспроизводства и устойчивого использования охотничьих животных, а также совершенствование системы профильного образования и научных разработок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Проведение  научных исследований в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сфере сохранения, расширенного воспроизводства и устойчивого использования охотничьих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Обеспечение принятия управленческих решений в сфере охраны и рациональному использованию охотни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чьих ресурсов на основании научных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5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образования и науки Республики Саха (Якутия)</w:t>
              </w:r>
            </w:hyperlink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Научные учреждения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8.6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Участие студентов профильных учебных заведений в проведении научных исследований в сфере сохранения, расширенного воспроизводства и устойчивого использования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охотничьих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кв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алификации студентов и заинтересованности в трудоустройстве в отрасли охотничьего хозяйства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6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 xml:space="preserve">Министерство образования и науки Республики Саха </w:t>
              </w:r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(Якутия)</w:t>
              </w:r>
            </w:hyperlink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Учебные заведения по подготовке профильных специалистов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8.7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Организация и развитие межрегионального, международного сотрудничества в сфере охотничьего хозяйства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Изучение опыта ведения охотничьего хозяйства в других регионах, странах.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Заключение соглашений по взаимодействию, сотрудничеству, обмену опытом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эффективности работы в сфере охраны, воспроизводства и использования охотничьих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по внешним связям и делам народов РС 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9</w:t>
            </w: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При решении задач по повышению этики и культуры охоты, традиционных видов и способов охоты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9.1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Внедрение механизмов по поддержке охотничьего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собаководства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работы по признанию и регистрации в РКФ новой породы собаки «Якутская охотничья лайка»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2030 год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Возрождение и продвижение бренда «Якутской охотничьей лайки». Якутская охотничья лайка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обладает высокими охотничьими навыками и пользуется спросом у многих охотников в остальной  части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Российской Федерации.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сельского хозяйства и продовольственной политики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 xml:space="preserve">ЯНЦ СО РАН «Якутский научно-исследовательский институт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highlight w:val="white"/>
              </w:rPr>
              <w:lastRenderedPageBreak/>
              <w:t>сельского х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  <w:highlight w:val="white"/>
              </w:rPr>
              <w:t>озяйства имени М.Г. Сафронова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»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Общественные организации охотников и охотпользователей 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9.2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Популяризация культуры охоты через СМИ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и публикация статей и роликов по популяризации культуры охоты в СМИ, по телевидению и в социальных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постоян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культуры охоты среди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7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 xml:space="preserve">Министерство инноваций, цифрового развития и инфокоммуникационных технологий </w:t>
              </w:r>
            </w:hyperlink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Государственные СМИ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9.3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Введение в школах тематических занятий по биотехническим мероприятиям и знанию охотминимума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Заключение соглашения с Министерством науки и образования  РС(Я) о проведении в школах тематических занятий по биотехническим мероприятиям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 по охотминимуму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2026 год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культуры охоты и самосознания о необходимости беречь природу с раннего возраста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науки и образования 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9.4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тематических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занятий по биотехническим мероприятиям и по охотминимуму в каждом муниципальном районе и городском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ежеквартально с 2026-2027 учебного года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9.5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Организация и проведение тематических выставок, форумов и конференций с привлечением широкого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круга общественности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 рамках мероприятий, приуроченных ко Дню охотника РС (Я) организация и проведение тематических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выставок, форумов и конференций.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Ежегодно, первая неделя апреля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Формирование и разработка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предложений по совершенствованию законодательства в сфере охоты и сохранения охотничьих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ресурсов, по принятию управленческих решений в сфере охраны и использования охотничьих ресурсов.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9.6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Ежегодное проведение Дня охотника Республики Саха (Якутия) на высоком уровне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мероприятий, приуроченных ко Дню охотника РС (Я)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Ежегодно, первая неделя апреля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Повышение культуры охоты, воспитания охотничьих традиций, ценности сохранения охотничьих ресурсов и охоты как фактора обеспечение экологической и продовольственной безопасности республики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Общественные организации охотников и охотпользователей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9.7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Установка памятника охотнику Республики Саха (Якутия), как хранителю традиций и обычаев народов республики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Организация работ по выделению места, финансирования и установка памятника охотнику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Рес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публики Саха (Якутия)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 2035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статуса охотника среди населения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Общественные организации охотников и охотпользователей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9.8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Усиление пропаганды соблюдения охотниками Правил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пожарной безопасности, санитарной безопасности в лесах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Распространение памяток по соблюдению пожарной безопасности в лесах при выдача разрешений на добычу охотничьих ресурсов, публикация информации, статей в СМИ, соцсетях, проведение инструктажей по пожарн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ой безопасности в ходе контрольно-надзорных мероприятий в охотничьих угодьях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ежегодно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пожарной безопасности в охотничьих угодьях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Охотпользователи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10</w:t>
            </w: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Сохранение традиционного образа жизни коренных малочисленных народов Севера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10.1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Определение места охоты в целях обеспечения ведения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традиционного образа жизни и осуществления традиционной хозяйственной деятельности коренных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 малочисленных народов Севера и приравненных к ним лиц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Совершенствование законодательства в сфере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регулирования прав коренных малочисленных народов Севера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Декабрь </w:t>
            </w: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2026 год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доклад в Правительство Республики Саха (Якутия)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 xml:space="preserve">Регулирование вопросов осуществления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охоты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и приравненных к ним лиц в республике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Министерство экологии, при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родопользов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8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по развитию Арктики и делам народов Севера РС(Я)</w:t>
              </w:r>
            </w:hyperlink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10.2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Разработка механизмов установления объемов добычи охотничьих ресурсов для удовлетворения личных нужд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 квот добычи на лимитируемые виды охотничьих ресурсов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10.3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Возложение полномочий органам местного самоуправления по выдаче справок о ведении традиционного образа жизни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10.4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Внесение изменений в законодательство по приоритетному закреплению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охотничьих угодий для общин КМНС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Разработка и направление предложения в Государственную Думу РФ по внесению изменений в Федеральный Закон от 24.07.2009 № 209-ФЗ «Об охоте и о сохранении охотничьих ресурсов» в части приоритетного закрепления охотничьих угод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ий для общин КМНС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Декабрь 2026 г.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Расширение прав представителей КМНС в части закрепления охотничьих угодий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19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по развитию Арктики и делам народов Севера РС(Я)</w:t>
              </w:r>
            </w:hyperlink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10.5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Документирование традиционных знаний и популяризация традиционных способов ведения охоты КМНС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Проведение работы по документированию традиционных знаний КМ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НС в сфере охоты;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Популяризация традиционных способов ведения охоты КМНС в СМИ и соцсетях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Повышение культуры охоты и традиционных знаний КМНС в целях обеспечения рационального использования и сохранения охотничьих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hyperlink r:id="rId20" w:history="1">
              <w:r>
                <w:rPr>
                  <w:rStyle w:val="ae"/>
                  <w:rFonts w:ascii="Times New Roman" w:hAnsi="Times New Roman"/>
                  <w:i w:val="0"/>
                  <w:color w:val="000000"/>
                  <w:sz w:val="28"/>
                </w:rPr>
                <w:t>Министерство по развитию Арктики и делам народов Севера РС(Я)</w:t>
              </w:r>
            </w:hyperlink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1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Регулирование вопросов организации охоты на особо охраняемых природных территориях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Нормативное правовоерегулирование организации охоты на особо охраняемых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природных территориях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Реализация норм Закона РС(Я) № 63-7 «О внесении изменений в статью 13 Закона Республики Саха (Якутия)«Об охоте и о сохранении охотничьих ресурсов», принятого 27.11.2024 года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июнь 2026 г</w:t>
            </w:r>
          </w:p>
          <w:p w:rsidR="00453B74" w:rsidRDefault="00453B74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</w:p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доклад в Правительство Республики Саха (Якутия)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Регулирование осуществления охоты на ООПТ регионального и местного значения. Усиление проведения профилактических работ и контроля за осуществлением охоты на ООПТ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  <w:tr w:rsidR="00453B74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11.2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Совершенствование правовых норм, регулирующих вопросы осуществления деятельности охотпользователей на ООПТ, в том числе размещение охотничьих угодий, предоставленных юридическим лицам, индивидуальным предпринимателям до вступления в законную силу Федеральн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 xml:space="preserve">ого Закона 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lastRenderedPageBreak/>
              <w:t>от 24 июля 2009 г. № 209-ФЗ «Об охоте и о сохранении охотничьих ресурсов и о внесении изменений в отдельные законодательные акты Российской Федерации», до окончания срока действия охотхозяйственных соглашений, в пределах, не противоречащих режим</w:t>
            </w: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у ООПТ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453B7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Регулирование вопросов осуществления охотхозяйственной деятельности на ООПТ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74" w:rsidRDefault="00761A13">
            <w:pP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Style w:val="ae"/>
                <w:rFonts w:ascii="Times New Roman" w:hAnsi="Times New Roman"/>
                <w:i w:val="0"/>
                <w:color w:val="000000"/>
                <w:sz w:val="28"/>
              </w:rPr>
              <w:t>Министерство экологии, природопользования и лесного хозяйства РС(Я)</w:t>
            </w:r>
          </w:p>
        </w:tc>
      </w:tr>
    </w:tbl>
    <w:p w:rsidR="00453B74" w:rsidRDefault="00453B74">
      <w:pPr>
        <w:rPr>
          <w:rStyle w:val="ae"/>
          <w:rFonts w:ascii="Times New Roman" w:hAnsi="Times New Roman"/>
          <w:i w:val="0"/>
          <w:color w:val="000000"/>
          <w:sz w:val="24"/>
        </w:rPr>
      </w:pPr>
    </w:p>
    <w:p w:rsidR="00453B74" w:rsidRDefault="00453B74">
      <w:pPr>
        <w:rPr>
          <w:rStyle w:val="ae"/>
          <w:rFonts w:ascii="Times New Roman" w:hAnsi="Times New Roman"/>
          <w:i w:val="0"/>
          <w:color w:val="000000"/>
          <w:sz w:val="24"/>
        </w:rPr>
      </w:pPr>
    </w:p>
    <w:p w:rsidR="00453B74" w:rsidRDefault="00761A13">
      <w:pPr>
        <w:rPr>
          <w:rStyle w:val="ae"/>
          <w:rFonts w:ascii="Times New Roman" w:hAnsi="Times New Roman"/>
          <w:i w:val="0"/>
          <w:color w:val="000000"/>
          <w:sz w:val="24"/>
        </w:rPr>
      </w:pPr>
      <w:r>
        <w:rPr>
          <w:rStyle w:val="ae"/>
          <w:rFonts w:ascii="Times New Roman" w:hAnsi="Times New Roman"/>
          <w:i w:val="0"/>
          <w:color w:val="000000"/>
          <w:sz w:val="24"/>
        </w:rPr>
        <w:t>______________________________________________</w:t>
      </w:r>
    </w:p>
    <w:p w:rsidR="00453B74" w:rsidRDefault="00453B74">
      <w:pPr>
        <w:rPr>
          <w:rStyle w:val="ae"/>
          <w:rFonts w:ascii="Times New Roman" w:hAnsi="Times New Roman"/>
          <w:i w:val="0"/>
          <w:color w:val="000000"/>
          <w:sz w:val="24"/>
        </w:rPr>
      </w:pPr>
    </w:p>
    <w:sectPr w:rsidR="00453B74">
      <w:headerReference w:type="default" r:id="rId21"/>
      <w:headerReference w:type="first" r:id="rId22"/>
      <w:pgSz w:w="16848" w:h="11908" w:orient="landscape"/>
      <w:pgMar w:top="1134" w:right="850" w:bottom="1134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1A13">
      <w:r>
        <w:separator/>
      </w:r>
    </w:p>
  </w:endnote>
  <w:endnote w:type="continuationSeparator" w:id="0">
    <w:p w:rsidR="00000000" w:rsidRDefault="0076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1A13">
      <w:r>
        <w:separator/>
      </w:r>
    </w:p>
  </w:footnote>
  <w:footnote w:type="continuationSeparator" w:id="0">
    <w:p w:rsidR="00000000" w:rsidRDefault="0076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4" w:rsidRDefault="00453B74">
    <w:pPr>
      <w:pStyle w:val="ac"/>
      <w:jc w:val="center"/>
    </w:pPr>
  </w:p>
  <w:p w:rsidR="00453B74" w:rsidRDefault="00453B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4" w:rsidRDefault="00761A13">
    <w:pPr>
      <w:pStyle w:val="ac"/>
      <w:jc w:val="right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4" w:rsidRDefault="00761A13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453B74" w:rsidRDefault="00453B7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4" w:rsidRDefault="00761A13">
    <w:pPr>
      <w:pStyle w:val="ac"/>
      <w:jc w:val="right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647"/>
    <w:multiLevelType w:val="multilevel"/>
    <w:tmpl w:val="1A72C8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74"/>
    <w:rsid w:val="00453B74"/>
    <w:rsid w:val="007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31300-6B45-4832-8D4B-47D788A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left="284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13"/>
    <w:rPr>
      <w:color w:val="800080"/>
      <w:u w:val="single"/>
    </w:rPr>
  </w:style>
  <w:style w:type="character" w:customStyle="1" w:styleId="13">
    <w:name w:val="Просмотренная гиперссылка1"/>
    <w:link w:val="12"/>
    <w:rPr>
      <w:color w:val="800080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xl800">
    <w:name w:val="xl80"/>
    <w:basedOn w:val="1"/>
    <w:link w:val="xl80"/>
    <w:rPr>
      <w:rFonts w:ascii="Times New Roman" w:hAnsi="Times New Roman"/>
      <w:b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114">
    <w:name w:val="xl114"/>
    <w:basedOn w:val="a"/>
    <w:link w:val="xl114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84">
    <w:name w:val="xl84"/>
    <w:basedOn w:val="a"/>
    <w:link w:val="xl84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32">
    <w:name w:val="xl132"/>
    <w:basedOn w:val="a"/>
    <w:link w:val="xl132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b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ind w:left="0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b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180">
    <w:name w:val="xl118"/>
    <w:basedOn w:val="1"/>
    <w:link w:val="xl118"/>
    <w:rPr>
      <w:rFonts w:ascii="Times New Roman" w:hAnsi="Times New Roman"/>
      <w:b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0"/>
    </w:rPr>
  </w:style>
  <w:style w:type="paragraph" w:customStyle="1" w:styleId="msonormal0">
    <w:name w:val="msonormal"/>
    <w:basedOn w:val="a"/>
    <w:link w:val="msonormal1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b/>
      <w:sz w:val="20"/>
    </w:rPr>
  </w:style>
  <w:style w:type="paragraph" w:styleId="a5">
    <w:name w:val="Body Text First Indent"/>
    <w:basedOn w:val="a"/>
    <w:link w:val="a6"/>
    <w:pPr>
      <w:widowControl w:val="0"/>
      <w:ind w:left="0" w:firstLine="709"/>
      <w:jc w:val="both"/>
    </w:pPr>
    <w:rPr>
      <w:rFonts w:ascii="PT Astra Serif" w:hAnsi="PT Astra Serif"/>
      <w:sz w:val="28"/>
    </w:rPr>
  </w:style>
  <w:style w:type="character" w:customStyle="1" w:styleId="a6">
    <w:name w:val="Красная строка Знак"/>
    <w:basedOn w:val="1"/>
    <w:link w:val="a5"/>
    <w:rPr>
      <w:rFonts w:ascii="PT Astra Serif" w:hAnsi="PT Astra Serif"/>
      <w:sz w:val="28"/>
    </w:rPr>
  </w:style>
  <w:style w:type="paragraph" w:customStyle="1" w:styleId="xl121">
    <w:name w:val="xl121"/>
    <w:basedOn w:val="a"/>
    <w:link w:val="xl121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16">
    <w:name w:val="xl116"/>
    <w:basedOn w:val="a"/>
    <w:link w:val="xl116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0"/>
    </w:rPr>
  </w:style>
  <w:style w:type="paragraph" w:customStyle="1" w:styleId="xl126">
    <w:name w:val="xl126"/>
    <w:basedOn w:val="a"/>
    <w:link w:val="xl126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ind w:left="0"/>
      <w:jc w:val="right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xl88">
    <w:name w:val="xl88"/>
    <w:basedOn w:val="a"/>
    <w:link w:val="xl88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2"/>
    </w:rPr>
  </w:style>
  <w:style w:type="paragraph" w:customStyle="1" w:styleId="xl101">
    <w:name w:val="xl101"/>
    <w:basedOn w:val="a"/>
    <w:link w:val="xl101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paragraph" w:customStyle="1" w:styleId="24">
    <w:name w:val="Основной шрифт абзаца2"/>
    <w:link w:val="xl86"/>
  </w:style>
  <w:style w:type="paragraph" w:customStyle="1" w:styleId="xl86">
    <w:name w:val="xl86"/>
    <w:basedOn w:val="a"/>
    <w:link w:val="xl86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0"/>
    </w:rPr>
  </w:style>
  <w:style w:type="paragraph" w:customStyle="1" w:styleId="xl119">
    <w:name w:val="xl119"/>
    <w:basedOn w:val="a"/>
    <w:link w:val="xl119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b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ind w:left="0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0">
    <w:name w:val="xl100"/>
    <w:basedOn w:val="a"/>
    <w:link w:val="xl100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b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/>
      <w:ind w:left="0"/>
      <w:jc w:val="right"/>
    </w:pPr>
    <w:rPr>
      <w:rFonts w:ascii="Times New Roman" w:hAnsi="Times New Roman"/>
      <w:b/>
      <w:sz w:val="20"/>
    </w:rPr>
  </w:style>
  <w:style w:type="character" w:customStyle="1" w:styleId="xl1340">
    <w:name w:val="xl134"/>
    <w:basedOn w:val="1"/>
    <w:link w:val="xl134"/>
    <w:rPr>
      <w:rFonts w:ascii="Times New Roman" w:hAnsi="Times New Roman"/>
      <w:b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sz w:val="20"/>
    </w:rPr>
  </w:style>
  <w:style w:type="paragraph" w:customStyle="1" w:styleId="1c">
    <w:name w:val="Слабое выделение1"/>
    <w:basedOn w:val="24"/>
    <w:link w:val="ae"/>
    <w:rPr>
      <w:i/>
      <w:color w:val="404040" w:themeColor="text1" w:themeTint="BF"/>
    </w:rPr>
  </w:style>
  <w:style w:type="character" w:styleId="ae">
    <w:name w:val="Subtle Emphasis"/>
    <w:basedOn w:val="a0"/>
    <w:link w:val="1c"/>
    <w:rPr>
      <w:i/>
      <w:color w:val="404040" w:themeColor="text1" w:themeTint="BF"/>
    </w:rPr>
  </w:style>
  <w:style w:type="paragraph" w:customStyle="1" w:styleId="xl77">
    <w:name w:val="xl77"/>
    <w:basedOn w:val="a"/>
    <w:link w:val="xl77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  <w:ind w:left="0"/>
    </w:pPr>
    <w:rPr>
      <w:rFonts w:ascii="Times New Roman" w:hAnsi="Times New Roman"/>
      <w:b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b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ind w:left="0"/>
      <w:jc w:val="center"/>
    </w:pPr>
    <w:rPr>
      <w:rFonts w:ascii="Times New Roman" w:hAnsi="Times New Roman"/>
      <w:b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/>
      <w:ind w:left="0"/>
      <w:jc w:val="center"/>
    </w:pPr>
    <w:rPr>
      <w:rFonts w:ascii="Times New Roman" w:hAnsi="Times New Roman"/>
      <w:b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ind w:left="0"/>
    </w:pPr>
    <w:rPr>
      <w:rFonts w:ascii="Times New Roman" w:hAnsi="Times New Roman"/>
      <w:sz w:val="20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  <w:ind w:left="0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nprom.sakha.gov.ru/" TargetMode="External"/><Relationship Id="rId18" Type="http://schemas.openxmlformats.org/officeDocument/2006/relationships/hyperlink" Target="https://arktika.sakha.gov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mintrud.sakha.gov.ru/" TargetMode="External"/><Relationship Id="rId17" Type="http://schemas.openxmlformats.org/officeDocument/2006/relationships/hyperlink" Target="https://mininnovation.sakha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sakha.gov.ru/" TargetMode="External"/><Relationship Id="rId20" Type="http://schemas.openxmlformats.org/officeDocument/2006/relationships/hyperlink" Target="https://arktika.sakha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ud.sakha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nobrnauki.sakha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innovation.sakha.gov.ru/" TargetMode="External"/><Relationship Id="rId19" Type="http://schemas.openxmlformats.org/officeDocument/2006/relationships/hyperlink" Target="https://arktika.sakha.go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minobrnauki.sakha.gov.ru/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5195</Words>
  <Characters>29615</Characters>
  <Application>Microsoft Office Word</Application>
  <DocSecurity>0</DocSecurity>
  <Lines>246</Lines>
  <Paragraphs>69</Paragraphs>
  <ScaleCrop>false</ScaleCrop>
  <Company/>
  <LinksUpToDate>false</LinksUpToDate>
  <CharactersWithSpaces>34741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Дмитриев Артур Васильевич</cp:lastModifiedBy>
  <cp:revision>2</cp:revision>
  <dcterms:created xsi:type="dcterms:W3CDTF">2025-02-28T00:59:00Z</dcterms:created>
  <dcterms:modified xsi:type="dcterms:W3CDTF">2025-02-28T01:09:00Z</dcterms:modified>
</cp:coreProperties>
</file>