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жилищно-коммунального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хозяйства и энергетики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Саха Өрөспүүбүлүкэтин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олорор дьиэҕэ, коммунальнай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хаhаайыстыбаҕа уонна энергетикэҕэ министиэристибэтэ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Кирова, д. 13, г. Якутск, 677000,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(4112) 34-19-33, факс: (4112) 42-27-39</w:t>
      </w:r>
    </w:p>
    <w:p>
      <w:pPr>
        <w:pBdr>
          <w:bottom w:val="double" w:color="auto" w:sz="6" w:space="0"/>
        </w:pBd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"http://www.sakha.gov.ru/minjkh" </w:instrText>
      </w:r>
      <w:r>
        <w:fldChar w:fldCharType="separate"/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minjkh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"mailto:mingkx@sakha.gov.ru" </w:instrText>
      </w:r>
      <w:r>
        <w:fldChar w:fldCharType="separate"/>
      </w:r>
      <w:r>
        <w:rPr>
          <w:sz w:val="20"/>
          <w:szCs w:val="20"/>
          <w:lang w:val="en-US"/>
        </w:rPr>
        <w:t>mingkx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</w:p>
    <w:p>
      <w:pPr>
        <w:rPr>
          <w:b/>
          <w:i/>
          <w:szCs w:val="20"/>
        </w:rPr>
      </w:pPr>
    </w:p>
    <w:p/>
    <w:p>
      <w:pPr>
        <w:jc w:val="center"/>
        <w:rPr>
          <w:b/>
          <w:bCs/>
        </w:rPr>
      </w:pPr>
      <w:r>
        <w:rPr>
          <w:b/>
          <w:bCs/>
        </w:rPr>
        <w:t>СВОДНЫЙ ОТЧЕТ</w:t>
      </w:r>
    </w:p>
    <w:p>
      <w:pPr>
        <w:jc w:val="center"/>
        <w:rPr>
          <w:b/>
          <w:bCs/>
        </w:rPr>
      </w:pPr>
      <w:r>
        <w:rPr>
          <w:b/>
          <w:bCs/>
        </w:rPr>
        <w:t>о проведени</w:t>
      </w:r>
      <w:r>
        <w:rPr>
          <w:b/>
          <w:bCs/>
          <w:lang w:val="ru-RU"/>
        </w:rPr>
        <w:t>и</w:t>
      </w:r>
      <w:r>
        <w:rPr>
          <w:b/>
          <w:bCs/>
        </w:rPr>
        <w:t xml:space="preserve"> оценки регулирующего воздействия проекта нормативного правового акта</w:t>
      </w:r>
    </w:p>
    <w:p/>
    <w:p>
      <w:pPr>
        <w:pStyle w:val="4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Орган-разработчик: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Министерство жилищно-коммунального хозяйства и энергетики Республики Саха (Якутия).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Вид и наименование проекта нормативного правового акта: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Проект </w:t>
      </w:r>
      <w:r>
        <w:rPr>
          <w:rFonts w:hint="default" w:cs="Times New Roman"/>
          <w:sz w:val="24"/>
          <w:szCs w:val="24"/>
          <w:lang w:val="ru-RU"/>
        </w:rPr>
        <w:t>постановления Правительства Республики Саха (Якутия)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Республики Саха (Якутия) от 02 сентября 2024 г. № 407 «Об утверждении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отходами»».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Краткое описание проблемы, на решение которой направлено предлагаемое правовое регулирование:</w:t>
      </w:r>
    </w:p>
    <w:p>
      <w:pPr>
        <w:pStyle w:val="43"/>
        <w:numPr>
          <w:ilvl w:val="0"/>
          <w:numId w:val="0"/>
        </w:numPr>
        <w:spacing w:line="276" w:lineRule="auto"/>
        <w:ind w:firstLine="708" w:firstLineChars="0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u w:val="none"/>
          <w:lang w:val="ru-RU"/>
        </w:rPr>
        <w:t xml:space="preserve">В настоящий момент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поряд</w:t>
      </w:r>
      <w:r>
        <w:rPr>
          <w:rFonts w:hint="default" w:cs="Times New Roman"/>
          <w:sz w:val="24"/>
          <w:szCs w:val="24"/>
          <w:lang w:val="ru-RU"/>
        </w:rPr>
        <w:t>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  <w:r>
        <w:rPr>
          <w:rFonts w:hint="default" w:cs="Times New Roman"/>
          <w:sz w:val="24"/>
          <w:szCs w:val="24"/>
          <w:lang w:val="ru-RU"/>
        </w:rPr>
        <w:t xml:space="preserve">, утвержденный постановлением Правительства Республики Саха (Якутия)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hint="default" w:cs="Times New Roman"/>
          <w:sz w:val="24"/>
          <w:szCs w:val="24"/>
          <w:lang w:val="ru-RU"/>
        </w:rPr>
        <w:t>.09.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 xml:space="preserve">407 не соответствует федеральному законодательству. </w:t>
      </w:r>
    </w:p>
    <w:p>
      <w:pPr>
        <w:pStyle w:val="43"/>
        <w:numPr>
          <w:ilvl w:val="0"/>
          <w:numId w:val="0"/>
        </w:numPr>
        <w:spacing w:line="276" w:lineRule="auto"/>
        <w:ind w:firstLine="708" w:firstLineChars="0"/>
        <w:rPr>
          <w:rFonts w:hint="default" w:cs="Times New Roman"/>
          <w:sz w:val="24"/>
          <w:szCs w:val="24"/>
          <w:lang w:val="ru-RU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Краткое описание целей предлагаемого правового регулирования:</w:t>
      </w:r>
    </w:p>
    <w:p>
      <w:pPr>
        <w:pStyle w:val="45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привидения в соответствие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pStyle w:val="45"/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Краткое описание содержания предлагаемого правового регулирования:</w:t>
      </w:r>
    </w:p>
    <w:p>
      <w:pPr>
        <w:pStyle w:val="43"/>
        <w:numPr>
          <w:ilvl w:val="0"/>
          <w:numId w:val="0"/>
        </w:numPr>
        <w:spacing w:line="276" w:lineRule="auto"/>
        <w:ind w:firstLine="708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sz w:val="24"/>
          <w:szCs w:val="24"/>
          <w:lang w:val="ru-RU"/>
        </w:rPr>
        <w:t>Проект приводит в соответствие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</w:p>
    <w:p>
      <w:pPr>
        <w:pStyle w:val="43"/>
        <w:numPr>
          <w:ilvl w:val="0"/>
          <w:numId w:val="0"/>
        </w:numPr>
        <w:spacing w:line="276" w:lineRule="auto"/>
        <w:ind w:left="567" w:leftChars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Контактная информация исполнителя в органе-разработчике:</w:t>
      </w:r>
    </w:p>
    <w:p>
      <w:pPr>
        <w:spacing w:line="276" w:lineRule="auto"/>
        <w:ind w:firstLine="567"/>
        <w:jc w:val="both"/>
        <w:rPr>
          <w:rFonts w:hint="default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Ф.И.О.: </w:t>
      </w:r>
      <w:r>
        <w:rPr>
          <w:rFonts w:hint="default" w:cs="Times New Roman"/>
          <w:sz w:val="24"/>
          <w:szCs w:val="24"/>
          <w:highlight w:val="none"/>
          <w:lang w:val="ru-RU"/>
        </w:rPr>
        <w:t>Кюндяйцев Айаал Вениаминович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Должность: </w:t>
      </w:r>
      <w:r>
        <w:rPr>
          <w:rFonts w:hint="default" w:cs="Times New Roman"/>
          <w:sz w:val="24"/>
          <w:szCs w:val="24"/>
          <w:highlight w:val="none"/>
          <w:lang w:val="ru-RU"/>
        </w:rPr>
        <w:t>Заместитель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директора ГАУ РС(Я) «Центр развития жилищно-коммунального хозяйства и повышения энергоэффективности»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335" t="5715" r="5715" b="12065"/>
                <wp:wrapTopAndBottom/>
                <wp:docPr id="1159758464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05pt;margin-top:13.5pt;height:0.1pt;width:450pt;mso-position-horizontal-relative:page;mso-wrap-distance-bottom:0pt;mso-wrap-distance-top:0pt;z-index:-251656192;mso-width-relative:page;mso-height-relative:page;" filled="f" stroked="t" coordsize="9000,1" o:gfxdata="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DIHDILVAgAA+wUAAA4AAAAAAAAAAQAgAAAA&#10;OgEAAGRycy9lMm9Eb2MueG1sUEsBAhQAFAAAAAgAh07iQJhMoG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Телефон (4112) 50</w:t>
      </w:r>
      <w:r>
        <w:rPr>
          <w:rFonts w:hint="default" w:cs="Times New Roman"/>
          <w:sz w:val="24"/>
          <w:szCs w:val="24"/>
          <w:highlight w:val="none"/>
          <w:lang w:val="ru-RU"/>
        </w:rPr>
        <w:t>9861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Адрес электронной почты: </w:t>
      </w:r>
      <w:r>
        <w:rPr>
          <w:rFonts w:hint="default" w:cs="Times New Roman"/>
          <w:sz w:val="24"/>
          <w:szCs w:val="24"/>
          <w:highlight w:val="none"/>
          <w:lang w:val="ru-RU"/>
        </w:rPr>
        <w:fldChar w:fldCharType="begin"/>
      </w:r>
      <w:r>
        <w:rPr>
          <w:rFonts w:hint="default" w:cs="Times New Roman"/>
          <w:sz w:val="24"/>
          <w:szCs w:val="24"/>
          <w:highlight w:val="none"/>
          <w:lang w:val="ru-RU"/>
        </w:rPr>
        <w:instrText xml:space="preserve"> HYPERLINK "mailto:omim@centerjkh.ru" </w:instrText>
      </w:r>
      <w:r>
        <w:rPr>
          <w:rFonts w:hint="default" w:cs="Times New Roman"/>
          <w:sz w:val="24"/>
          <w:szCs w:val="24"/>
          <w:highlight w:val="none"/>
          <w:lang w:val="ru-RU"/>
        </w:rPr>
        <w:fldChar w:fldCharType="separate"/>
      </w:r>
      <w:r>
        <w:rPr>
          <w:rStyle w:val="9"/>
          <w:rFonts w:hint="default" w:cs="Times New Roman"/>
          <w:sz w:val="24"/>
          <w:szCs w:val="24"/>
          <w:highlight w:val="none"/>
          <w:lang w:val="ru-RU"/>
        </w:rPr>
        <w:t>omim@centerjkh.ru</w:t>
      </w:r>
      <w:r>
        <w:rPr>
          <w:rFonts w:hint="default" w:cs="Times New Roman"/>
          <w:sz w:val="24"/>
          <w:szCs w:val="24"/>
          <w:highlight w:val="none"/>
          <w:lang w:val="ru-RU"/>
        </w:rPr>
        <w:fldChar w:fldCharType="end"/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Степень регулирующего воздействия проекта нормативного правового акта: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Низкая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Обоснование отнесения проекта нормативного правового акта к определенной степени регулирующего воздействия:</w:t>
      </w:r>
    </w:p>
    <w:p>
      <w:pPr>
        <w:spacing w:line="276" w:lineRule="auto"/>
        <w:ind w:firstLine="567"/>
        <w:jc w:val="both"/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роект 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постановления Правительства РС(Я)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 содержит положений, предусмотренных абзацами вторым, третьим пункта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1.12 Указ Главы Республики Саха (Якутия) от 19.07.2023 № 2911«Об утверждении Положения об оценке регулирующего воздействия проектов нормативных правовых актов Республики Саха (Якутия), мониторинге фактического воздействия нормативных правовых актов Республики Саха (Якутия) и экспертизе нормативных правовых актов Республики Саха (Якутия)» 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направлен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повышение устойчивости экономики Республики Саха (Якутия) в условиях санкций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и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обеспечени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санитарно-эпидемиологического благополучия населения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Таким образом, проект нормативного правового акта относиться к </w:t>
      </w:r>
      <w:r>
        <w:rPr>
          <w:rFonts w:hint="default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низкой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степени регулирующего воздействия.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ОПИСАНИЕ ПРОБЛЕМЫ, НА РЕШЕНИЕ КОТОРОЙ НАПРАВЛЕНО ПРЕДЛАГАЕМОЕ ПРАВОВОЕ РЕГУЛИРОВАНИЕ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Формулировка проблемы:</w:t>
      </w:r>
    </w:p>
    <w:p>
      <w:pPr>
        <w:pStyle w:val="43"/>
        <w:numPr>
          <w:ilvl w:val="0"/>
          <w:numId w:val="0"/>
        </w:numPr>
        <w:spacing w:line="276" w:lineRule="auto"/>
        <w:ind w:firstLine="708" w:firstLineChars="0"/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u w:val="none"/>
          <w:lang w:val="ru-RU"/>
        </w:rPr>
      </w:pP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u w:val="none"/>
          <w:lang w:val="ru-RU"/>
        </w:rPr>
        <w:t>В соответствии с пунктом 8 постановления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pStyle w:val="43"/>
        <w:numPr>
          <w:numId w:val="0"/>
        </w:numPr>
        <w:spacing w:line="276" w:lineRule="auto"/>
        <w:ind w:firstLine="708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u w:val="none"/>
          <w:lang w:val="ru-RU"/>
        </w:rPr>
        <w:t xml:space="preserve">В настоящий момент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поряд</w:t>
      </w:r>
      <w:r>
        <w:rPr>
          <w:rFonts w:hint="default" w:cs="Times New Roman"/>
          <w:sz w:val="24"/>
          <w:szCs w:val="24"/>
          <w:lang w:val="ru-RU"/>
        </w:rPr>
        <w:t>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  <w:r>
        <w:rPr>
          <w:rFonts w:hint="default" w:cs="Times New Roman"/>
          <w:sz w:val="24"/>
          <w:szCs w:val="24"/>
          <w:lang w:val="ru-RU"/>
        </w:rPr>
        <w:t xml:space="preserve"> утверждена постановлением Правительства Республики Саха (Якутия)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hint="default" w:cs="Times New Roman"/>
          <w:sz w:val="24"/>
          <w:szCs w:val="24"/>
          <w:lang w:val="ru-RU"/>
        </w:rPr>
        <w:t>.09.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407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Отсутствует.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Социальные группы, заинтересованные в устранении проблемы, их количественная оценка: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Юридические лица, которые имеют статус регионального оператора по обращению с твердыми коммунальными отходами присвоенного в порядке, установленном Правительством Российской Федерации, заключившие соглашение с Министерством в порядке, установленном постановлением Правительства Республики Саха (Якутия) от 04 мая 2017 года № 159 «Об организации деятельности по обращению с твердыми коммунальными отходами на территории Республики Саха (Якутия)»;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hint="default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cs="Times New Roman"/>
          <w:sz w:val="24"/>
          <w:szCs w:val="24"/>
          <w:lang w:val="ru-RU"/>
        </w:rPr>
        <w:t>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.202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Республике Саха (Якутия) 12 региональных операторов.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оценка:</w:t>
      </w:r>
    </w:p>
    <w:p>
      <w:pPr>
        <w:pStyle w:val="43"/>
        <w:numPr>
          <w:ilvl w:val="0"/>
          <w:numId w:val="0"/>
        </w:numPr>
        <w:spacing w:line="276" w:lineRule="auto"/>
        <w:ind w:left="0" w:leftChars="0" w:firstLine="480" w:firstLineChars="20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Невозможность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редоставления субсидии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Причины возникновения проблемы и факторы, поддерживающие ее существование:</w:t>
      </w:r>
    </w:p>
    <w:p>
      <w:pPr>
        <w:pStyle w:val="43"/>
        <w:numPr>
          <w:ilvl w:val="0"/>
          <w:numId w:val="0"/>
        </w:numPr>
        <w:spacing w:line="276" w:lineRule="auto"/>
        <w:ind w:firstLine="708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оряд</w:t>
      </w:r>
      <w:r>
        <w:rPr>
          <w:rFonts w:hint="default" w:cs="Times New Roman"/>
          <w:sz w:val="24"/>
          <w:szCs w:val="24"/>
          <w:lang w:val="ru-RU"/>
        </w:rPr>
        <w:t>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  <w:r>
        <w:rPr>
          <w:rFonts w:hint="default" w:cs="Times New Roman"/>
          <w:sz w:val="24"/>
          <w:szCs w:val="24"/>
          <w:lang w:val="ru-RU"/>
        </w:rPr>
        <w:t xml:space="preserve">, утвержденный постановлением Правительства Республики Саха (Якутия)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от </w:t>
      </w:r>
      <w:r>
        <w:rPr>
          <w:rFonts w:hint="default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hint="default" w:cs="Times New Roman"/>
          <w:sz w:val="24"/>
          <w:szCs w:val="24"/>
          <w:lang w:val="ru-RU"/>
        </w:rPr>
        <w:t>.09.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407 не соответствует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Опыт решения аналогичных проблем в других субъектах Российской Федерации, иностранных государствах: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данных: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Иная информация о проблеме: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9"/>
        <w:gridCol w:w="2817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4269" w:type="dxa"/>
          </w:tcPr>
          <w:p>
            <w:pPr>
              <w:pStyle w:val="43"/>
              <w:numPr>
                <w:ilvl w:val="1"/>
                <w:numId w:val="1"/>
              </w:numPr>
              <w:ind w:left="296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817" w:type="dxa"/>
          </w:tcPr>
          <w:p>
            <w:pPr>
              <w:pStyle w:val="43"/>
              <w:numPr>
                <w:ilvl w:val="1"/>
                <w:numId w:val="1"/>
              </w:numPr>
              <w:ind w:left="147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Сроки достижения целей предлагаемого</w:t>
            </w:r>
          </w:p>
          <w:p>
            <w:pPr>
              <w:widowControl w:val="0"/>
              <w:autoSpaceDE w:val="0"/>
              <w:autoSpaceDN w:val="0"/>
              <w:ind w:left="147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правового регулирования</w:t>
            </w:r>
          </w:p>
        </w:tc>
        <w:tc>
          <w:tcPr>
            <w:tcW w:w="2412" w:type="dxa"/>
          </w:tcPr>
          <w:p>
            <w:pPr>
              <w:pStyle w:val="43"/>
              <w:numPr>
                <w:ilvl w:val="1"/>
                <w:numId w:val="1"/>
              </w:numPr>
              <w:ind w:left="162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Периодичность мониторинга</w:t>
            </w:r>
          </w:p>
          <w:p>
            <w:pPr>
              <w:widowControl w:val="0"/>
              <w:autoSpaceDE w:val="0"/>
              <w:autoSpaceDN w:val="0"/>
              <w:ind w:left="162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достижения целей предлагаемого правового регулирования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269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Обеспечение своевременного и обоснованного предоставления субсидий.</w:t>
            </w:r>
          </w:p>
        </w:tc>
        <w:tc>
          <w:tcPr>
            <w:tcW w:w="2817" w:type="dxa"/>
            <w:shd w:val="clear" w:color="auto" w:fill="FFFFFF" w:themeFill="background1"/>
          </w:tcPr>
          <w:p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Со дня вступления нормативного правового акта в законную силу</w:t>
            </w:r>
          </w:p>
        </w:tc>
        <w:tc>
          <w:tcPr>
            <w:tcW w:w="2412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Ежегодно</w:t>
            </w:r>
          </w:p>
        </w:tc>
      </w:tr>
    </w:tbl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Статья 78 Бюджетного кодекса Российской Федерации;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Постановление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2381"/>
        <w:gridCol w:w="170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839" w:type="dxa"/>
          </w:tcPr>
          <w:p>
            <w:pPr>
              <w:pStyle w:val="43"/>
              <w:numPr>
                <w:ilvl w:val="1"/>
                <w:numId w:val="1"/>
              </w:numPr>
              <w:ind w:left="142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381" w:type="dxa"/>
          </w:tcPr>
          <w:p>
            <w:pPr>
              <w:pStyle w:val="43"/>
              <w:numPr>
                <w:ilvl w:val="1"/>
                <w:numId w:val="1"/>
              </w:numPr>
              <w:ind w:left="142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Индикаторы достижения целей</w:t>
            </w:r>
          </w:p>
          <w:p>
            <w:pPr>
              <w:widowControl w:val="0"/>
              <w:autoSpaceDE w:val="0"/>
              <w:autoSpaceDN w:val="0"/>
              <w:ind w:left="142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предлагаемого правового регулирования</w:t>
            </w:r>
          </w:p>
        </w:tc>
        <w:tc>
          <w:tcPr>
            <w:tcW w:w="1702" w:type="dxa"/>
          </w:tcPr>
          <w:p>
            <w:pPr>
              <w:pStyle w:val="43"/>
              <w:numPr>
                <w:ilvl w:val="1"/>
                <w:numId w:val="1"/>
              </w:numPr>
              <w:ind w:left="142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Единица измерения индикаторов</w:t>
            </w:r>
          </w:p>
        </w:tc>
        <w:tc>
          <w:tcPr>
            <w:tcW w:w="1859" w:type="dxa"/>
          </w:tcPr>
          <w:p>
            <w:pPr>
              <w:pStyle w:val="43"/>
              <w:numPr>
                <w:ilvl w:val="1"/>
                <w:numId w:val="1"/>
              </w:numPr>
              <w:ind w:left="142" w:right="140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Целевые начения</w:t>
            </w:r>
          </w:p>
          <w:p>
            <w:pPr>
              <w:widowControl w:val="0"/>
              <w:autoSpaceDE w:val="0"/>
              <w:autoSpaceDN w:val="0"/>
              <w:ind w:left="142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индикаторов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839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Обеспечение своевременного и обоснованного предоставления субсидий</w:t>
            </w:r>
          </w:p>
        </w:tc>
        <w:tc>
          <w:tcPr>
            <w:tcW w:w="2381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Своевременность предоставления субсидий</w:t>
            </w:r>
          </w:p>
        </w:tc>
        <w:tc>
          <w:tcPr>
            <w:tcW w:w="1702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Ед.</w:t>
            </w:r>
          </w:p>
        </w:tc>
        <w:tc>
          <w:tcPr>
            <w:tcW w:w="1859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0</w:t>
            </w:r>
          </w:p>
        </w:tc>
      </w:tr>
    </w:tbl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Отчет об использовании предоставленных субсидий, предоставляемый получателями субсидий во исполнение условий Порядком и соглашением о предоставлении субсидий.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Проведение мониторинга и иные способы (методы) оценки достижения целей предлагаемого правового регулирования: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затрат на проведение мониторинга достижения целей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предлагаемого правового регулирования: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информации для расчета индикаторов:</w:t>
      </w:r>
    </w:p>
    <w:p>
      <w:pPr>
        <w:tabs>
          <w:tab w:val="left" w:pos="426"/>
        </w:tabs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Отчет об использовании предоставленных субсидий, предоставляемый получателями субсидий во исполнения условий Порядком и соглашением о предоставлении субсидий.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086" w:type="dxa"/>
          </w:tcPr>
          <w:p>
            <w:pPr>
              <w:pStyle w:val="43"/>
              <w:numPr>
                <w:ilvl w:val="1"/>
                <w:numId w:val="1"/>
              </w:numPr>
              <w:ind w:left="142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Группы потенциальных адресатов предлагаемого правового</w:t>
            </w:r>
          </w:p>
          <w:p>
            <w:pPr>
              <w:widowControl w:val="0"/>
              <w:autoSpaceDE w:val="0"/>
              <w:autoSpaceDN w:val="0"/>
              <w:ind w:left="142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>
            <w:pPr>
              <w:pStyle w:val="43"/>
              <w:numPr>
                <w:ilvl w:val="1"/>
                <w:numId w:val="1"/>
              </w:numPr>
              <w:ind w:left="142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Количество участников группы</w:t>
            </w:r>
          </w:p>
        </w:tc>
        <w:tc>
          <w:tcPr>
            <w:tcW w:w="2002" w:type="dxa"/>
          </w:tcPr>
          <w:p>
            <w:pPr>
              <w:pStyle w:val="43"/>
              <w:numPr>
                <w:ilvl w:val="1"/>
                <w:numId w:val="1"/>
              </w:numPr>
              <w:ind w:left="142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 xml:space="preserve">Источникиданных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86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Юридические лица, которые имеют статус регионального оператора по обращению с твердыми коммунальными отходами присвоенного в порядке, установленном Правительством Российской Федерации, заключившие соглашение с Министерством в порядке, установленном постановлением Правительства Республики Саха (Якутия) от 04 мая 2017 года № 159 «Об организации деятельности по обращению с твердыми коммунальными отходами на территории Республики Саха (Якутия)»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Более 1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Ведомственная информация уполномоченного органа</w:t>
            </w:r>
          </w:p>
        </w:tc>
      </w:tr>
    </w:tbl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требуется.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701"/>
        <w:gridCol w:w="1701"/>
        <w:gridCol w:w="175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29" w:type="dxa"/>
            <w:tcBorders>
              <w:bottom w:val="nil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54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 обязанности или права)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214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Характер функции (новая/ изменяемая /отменяемая)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504" w:right="199" w:hanging="504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276" w:lineRule="auto"/>
              <w:ind w:right="199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Предпологае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right="199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ый порядок реализации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7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изменения трудовых затрат (чел./час. в год), изменения трудовых затрат (чел./час в год), изменения численности сотрудников (чел.)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5" w:right="133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изменен я потребностей в других ресурсах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329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39" w:type="dxa"/>
            <w:gridSpan w:val="5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Наименование органа государственной власти:</w:t>
            </w:r>
          </w:p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Министерство жилищно-коммунального хозяйства и энергетики Республики Саха (Якутия):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29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 обязанность или право) 1.1.,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</w:tbl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 предоставлению субсидий, не потребуется.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261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579" w:right="398" w:hanging="425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(полномочия, обязанности или права)</w:t>
            </w:r>
          </w:p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(в соответствии с подпунктом 5.1)</w:t>
            </w:r>
          </w:p>
        </w:tc>
        <w:tc>
          <w:tcPr>
            <w:tcW w:w="4394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297" w:hanging="792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Виды расходов (возможных поступлений) государственного бюджета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left="297" w:hanging="792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Республики Саха (Якутия) (местных бюджетов)</w:t>
            </w:r>
          </w:p>
        </w:tc>
        <w:tc>
          <w:tcPr>
            <w:tcW w:w="1984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0" w:hanging="608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0" w:hanging="608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Количественная оценка расходов и возможных поступлений,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639" w:type="dxa"/>
            <w:gridSpan w:val="3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Наименование органа государственной власти (органа местного самоуправления) (от 1 до K):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Министерство жилищно-коммунального хозяйства и энергетики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(полномочие, обязанность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или право) 1.1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Единовременные расходы (от 1 до N) в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Периодические расходы (от 1 до N)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Возможные доходы (от 1 до N) за период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(полномочие, обязанность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или право) 1.N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Единовременные расходы (от 1 до N) в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Периодические расходы (от 1 до N)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Возможные доходы (от 1 до N) за период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единовременные расходы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периодические расходы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возможные доходы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</w:tbl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потребуется.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данных: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Ведомственная информация уполномоченного органа.</w:t>
      </w:r>
    </w:p>
    <w:p>
      <w:pPr>
        <w:spacing w:line="276" w:lineRule="auto"/>
        <w:ind w:firstLine="284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41"/>
        <w:tblpPr w:leftFromText="180" w:rightFromText="180" w:vertAnchor="text" w:horzAnchor="margin" w:tblpXSpec="center" w:tblpY="230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552"/>
        <w:gridCol w:w="1701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6" w:hRule="atLeast"/>
        </w:trPr>
        <w:tc>
          <w:tcPr>
            <w:tcW w:w="3964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0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Группы потенциальных</w:t>
            </w:r>
          </w:p>
          <w:p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адресатов предлагаемого правового регулирования (в соответствии с пп. 4.1 сводного отчета)</w:t>
            </w:r>
          </w:p>
        </w:tc>
        <w:tc>
          <w:tcPr>
            <w:tcW w:w="2552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3" w:right="300" w:hanging="29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Новые обязанности и ограничения, изменения существующих обязанностей и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left="3" w:right="300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-136" w:right="155" w:firstLine="136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Описание расходов и возможных доходов,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left="126" w:right="155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связанных с введением предлагаемого правового регулирования</w:t>
            </w:r>
          </w:p>
        </w:tc>
        <w:tc>
          <w:tcPr>
            <w:tcW w:w="1896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0" w:right="151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Количественная оценка,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3964" w:type="dxa"/>
          </w:tcPr>
          <w:p>
            <w:pPr>
              <w:widowControl w:val="0"/>
              <w:autoSpaceDE w:val="0"/>
              <w:autoSpaceDN w:val="0"/>
              <w:ind w:right="131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юридические лица, которые имеют статус регионального оператора по обращению с твердыми коммунальными отходами присвоенного в порядке, установленном Правительством Российской Федерации, заключившие соглашение с Министерством в порядке, установленном постановлением Правительства Республики Саха (Якутия) от 04 мая 2017 года № 159 «Об организации деятельности по обращению с твердыми коммунальными отходами на территории Республики Саха (Якутия)»;  </w:t>
            </w:r>
          </w:p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Расходы не предполагаются</w:t>
            </w:r>
          </w:p>
        </w:tc>
        <w:tc>
          <w:tcPr>
            <w:tcW w:w="1896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</w:tr>
    </w:tbl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данных: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pStyle w:val="43"/>
        <w:numPr>
          <w:ilvl w:val="0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рисков неблагоприятных последствий применения предлагаемого правового регулирования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6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381"/>
        <w:gridCol w:w="241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22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54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Виды рисков</w:t>
            </w:r>
          </w:p>
        </w:tc>
        <w:tc>
          <w:tcPr>
            <w:tcW w:w="2381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34" w:firstLine="142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вероятности наступления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left="134" w:firstLine="142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неблагоприятных последствий</w:t>
            </w:r>
          </w:p>
        </w:tc>
        <w:tc>
          <w:tcPr>
            <w:tcW w:w="2410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7" w:firstLine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Методы контроля рисков</w:t>
            </w:r>
          </w:p>
        </w:tc>
        <w:tc>
          <w:tcPr>
            <w:tcW w:w="2410" w:type="dxa"/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0" w:firstLine="13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Степень контроля рисков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firstLine="13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(полный/частичный</w:t>
            </w:r>
          </w:p>
          <w:p>
            <w:pPr>
              <w:widowControl w:val="0"/>
              <w:autoSpaceDE w:val="0"/>
              <w:autoSpaceDN w:val="0"/>
              <w:spacing w:line="276" w:lineRule="auto"/>
              <w:ind w:firstLine="13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/отсутствует)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22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Риск 1</w:t>
            </w:r>
          </w:p>
        </w:tc>
        <w:tc>
          <w:tcPr>
            <w:tcW w:w="2381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</w:tr>
    </w:tbl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данных: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pStyle w:val="43"/>
        <w:numPr>
          <w:ilvl w:val="0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Сравнение возможных вариантов решения проблемы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924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977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widowControl w:val="0"/>
              <w:autoSpaceDE w:val="0"/>
              <w:autoSpaceDN w:val="0"/>
              <w:spacing w:line="276" w:lineRule="auto"/>
              <w:ind w:left="144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Вариант 1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Вариант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Содержание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варианта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решения проблемы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Принятие настоящего проекта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</w:t>
            </w:r>
            <w:r>
              <w:rPr>
                <w:rFonts w:hint="default" w:cs="Times New Roman" w:eastAsiaTheme="minorHAnsi"/>
                <w:sz w:val="24"/>
                <w:szCs w:val="24"/>
                <w:lang w:val="ru-RU" w:eastAsia="en-US"/>
              </w:rPr>
              <w:t xml:space="preserve"> принятие настоящего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cs="Times New Roman" w:eastAsiaTheme="minorHAnsi"/>
                <w:sz w:val="24"/>
                <w:szCs w:val="24"/>
                <w:lang w:val="ru-RU" w:eastAsia="en-US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Своевременное и обоснованное предоставление субсидий.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Увеличение убытков организаций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cs="Times New Roman" w:eastAsiaTheme="minorHAnsi"/>
                <w:sz w:val="24"/>
                <w:szCs w:val="24"/>
                <w:highlight w:val="none"/>
                <w:lang w:val="ru-RU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cs="Times New Roman" w:eastAsiaTheme="minorHAnsi"/>
                <w:sz w:val="24"/>
                <w:szCs w:val="24"/>
                <w:highlight w:val="none"/>
                <w:lang w:val="ru-RU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эффективно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 эффективно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рисков неблагоприятных последствий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Качественное и своевременное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предоставление услуги по обращению с ТКО на территории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Республики Саха (Якутия)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 к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ачественное и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своевременное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предоставление услуги по обращению с ТКО на территории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Республики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Саха(Якутия)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numPr>
                <w:ilvl w:val="1"/>
                <w:numId w:val="1"/>
              </w:numPr>
              <w:spacing w:line="276" w:lineRule="auto"/>
              <w:ind w:left="144" w:right="196" w:firstLine="0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и иные мероприятия, общий объем затрат</w:t>
            </w:r>
          </w:p>
        </w:tc>
        <w:tc>
          <w:tcPr>
            <w:tcW w:w="297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widowControl w:val="0"/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нет</w:t>
            </w:r>
          </w:p>
        </w:tc>
      </w:tr>
    </w:tbl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Обоснование выбора предпочтительного варианта решения выявленной проблемы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Первый вариант предпочтительнее в целях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 w:eastAsiaTheme="minorHAnsi"/>
          <w:sz w:val="24"/>
          <w:szCs w:val="24"/>
          <w:lang w:val="en-US" w:eastAsia="en-US"/>
        </w:rPr>
        <w:t>ачественно</w:t>
      </w:r>
      <w:r>
        <w:rPr>
          <w:rFonts w:hint="default" w:ascii="Times New Roman" w:hAnsi="Times New Roman" w:cs="Times New Roman" w:eastAsiaTheme="minorHAnsi"/>
          <w:sz w:val="24"/>
          <w:szCs w:val="24"/>
          <w:lang w:val="ru-RU" w:eastAsia="en-US"/>
        </w:rPr>
        <w:t>го</w:t>
      </w:r>
      <w:r>
        <w:rPr>
          <w:rFonts w:hint="default" w:ascii="Times New Roman" w:hAnsi="Times New Roman" w:cs="Times New Roman" w:eastAsiaTheme="minorHAnsi"/>
          <w:sz w:val="24"/>
          <w:szCs w:val="24"/>
          <w:lang w:val="en-US" w:eastAsia="en-US"/>
        </w:rPr>
        <w:t xml:space="preserve"> и своевременно</w:t>
      </w:r>
      <w:r>
        <w:rPr>
          <w:rFonts w:hint="default" w:ascii="Times New Roman" w:hAnsi="Times New Roman" w:cs="Times New Roman" w:eastAsiaTheme="minorHAnsi"/>
          <w:sz w:val="24"/>
          <w:szCs w:val="24"/>
          <w:lang w:val="ru-RU" w:eastAsia="en-US"/>
        </w:rPr>
        <w:t>го</w:t>
      </w:r>
      <w:r>
        <w:rPr>
          <w:rFonts w:hint="default" w:ascii="Times New Roman" w:hAnsi="Times New Roman" w:cs="Times New Roman" w:eastAsiaTheme="minorHAnsi"/>
          <w:sz w:val="24"/>
          <w:szCs w:val="24"/>
          <w:lang w:val="en-US" w:eastAsia="en-US"/>
        </w:rPr>
        <w:t xml:space="preserve"> </w:t>
      </w:r>
      <w:r>
        <w:rPr>
          <w:rFonts w:hint="default" w:ascii="Times New Roman" w:hAnsi="Times New Roman" w:cs="Times New Roman" w:eastAsiaTheme="minorHAnsi"/>
          <w:sz w:val="24"/>
          <w:szCs w:val="24"/>
          <w:lang w:val="ru-RU" w:eastAsia="en-US"/>
        </w:rPr>
        <w:t>предоставления услуги по обращению с ТКО на территории</w:t>
      </w:r>
      <w:r>
        <w:rPr>
          <w:rFonts w:hint="default" w:ascii="Times New Roman" w:hAnsi="Times New Roman" w:cs="Times New Roman" w:eastAsiaTheme="minorHAnsi"/>
          <w:sz w:val="24"/>
          <w:szCs w:val="24"/>
          <w:lang w:val="en-US" w:eastAsia="en-US"/>
        </w:rPr>
        <w:t xml:space="preserve"> Республики</w:t>
      </w:r>
      <w:r>
        <w:rPr>
          <w:rFonts w:hint="default" w:ascii="Times New Roman" w:hAnsi="Times New Roman" w:cs="Times New Roman" w:eastAsiaTheme="minorHAnsi"/>
          <w:sz w:val="24"/>
          <w:szCs w:val="24"/>
          <w:lang w:val="ru-RU" w:eastAsia="en-US"/>
        </w:rPr>
        <w:t>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715000" cy="1270"/>
                <wp:effectExtent l="13335" t="11430" r="5715" b="6350"/>
                <wp:wrapTopAndBottom/>
                <wp:docPr id="1639989299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05pt;margin-top:15.85pt;height:0.1pt;width:450pt;mso-position-horizontal-relative:page;mso-wrap-distance-bottom:0pt;mso-wrap-distance-top:0pt;z-index:-251655168;mso-width-relative:page;mso-height-relative:page;" filled="f" stroked="t" coordsize="9000,1" o:gfxdata="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MyS/XzVAgAA+wUAAA4AAAAAAAAAAQAgAAAA&#10;OgEAAGRycy9lMm9Eb2MueG1sUEsBAhQAFAAAAAgAh07iQEerxT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</w:t>
      </w:r>
    </w:p>
    <w:p>
      <w:pPr>
        <w:spacing w:line="276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ПРАВОВОГО РЕГУЛИРОВАНИЯ НА РАНЕЕ ВОЗНИКШИЕ ОТНОШЕНИЯ: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Предполагаемая дата вступления в силу нормативного правового акта:</w:t>
      </w:r>
    </w:p>
    <w:p>
      <w:pPr>
        <w:pStyle w:val="43"/>
        <w:numPr>
          <w:ilvl w:val="0"/>
          <w:numId w:val="0"/>
        </w:numPr>
        <w:spacing w:line="276" w:lineRule="auto"/>
        <w:ind w:left="567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март 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срок переходного периода: нет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нет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требуется.</w:t>
      </w:r>
    </w:p>
    <w:p>
      <w:pPr>
        <w:pStyle w:val="43"/>
        <w:numPr>
          <w:ilvl w:val="2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Период распространения на ранее возникшие отношения: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требуется.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spacing w:line="276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0"/>
          <w:numId w:val="1"/>
        </w:numPr>
        <w:spacing w:line="276" w:lineRule="auto"/>
        <w:ind w:left="0"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ИНФОРМАЦИЯ О СРОКАХ ПРОВЕДЕНИЯ ПУБЛИЧНЫХ КОНСУЛЬТАЦИЙ ПО ПРОЕКТУ НОРМАТИВНОГО ПРАВОВОГО АКТА И СВОДНОМУ ОТЧЕТУ:</w:t>
      </w:r>
    </w:p>
    <w:p>
      <w:pPr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43"/>
        <w:numPr>
          <w:ilvl w:val="1"/>
          <w:numId w:val="1"/>
        </w:numPr>
        <w:spacing w:line="276" w:lineRule="auto"/>
        <w:ind w:left="0" w:firstLine="567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предложения не поступили.</w:t>
      </w:r>
    </w:p>
    <w:p>
      <w:pPr>
        <w:jc w:val="both"/>
      </w:pPr>
      <w:bookmarkStart w:id="0" w:name="_GoBack"/>
      <w:bookmarkEnd w:id="0"/>
    </w:p>
    <w:sectPr>
      <w:footerReference r:id="rId5" w:type="first"/>
      <w:headerReference r:id="rId3" w:type="even"/>
      <w:footerReference r:id="rId4" w:type="even"/>
      <w:pgSz w:w="11906" w:h="16838"/>
      <w:pgMar w:top="851" w:right="850" w:bottom="993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57</w:t>
    </w:r>
    <w:r>
      <w:rPr>
        <w:rStyle w:val="1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t>(Документ создан в электронной форме в Министерстве жилищно-коммунального хозяйства и энергетики Республики Саха (Якутия)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060A6"/>
    <w:multiLevelType w:val="multilevel"/>
    <w:tmpl w:val="3C606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C"/>
    <w:rsid w:val="0000067F"/>
    <w:rsid w:val="00000CF9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4FC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FE4"/>
    <w:rsid w:val="00074671"/>
    <w:rsid w:val="00074702"/>
    <w:rsid w:val="00074A2E"/>
    <w:rsid w:val="000813F5"/>
    <w:rsid w:val="00081B0B"/>
    <w:rsid w:val="00082CE9"/>
    <w:rsid w:val="00090373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C7BF3"/>
    <w:rsid w:val="000D003F"/>
    <w:rsid w:val="000D0611"/>
    <w:rsid w:val="000D3680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0E99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4873"/>
    <w:rsid w:val="00275699"/>
    <w:rsid w:val="00277D45"/>
    <w:rsid w:val="002800F4"/>
    <w:rsid w:val="0028078B"/>
    <w:rsid w:val="00284F5E"/>
    <w:rsid w:val="00287393"/>
    <w:rsid w:val="0029022B"/>
    <w:rsid w:val="00291474"/>
    <w:rsid w:val="00291E62"/>
    <w:rsid w:val="002950FD"/>
    <w:rsid w:val="00295319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522E"/>
    <w:rsid w:val="002E5D6C"/>
    <w:rsid w:val="003006A3"/>
    <w:rsid w:val="00302AE3"/>
    <w:rsid w:val="003066D7"/>
    <w:rsid w:val="003116B8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2FC6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35D"/>
    <w:rsid w:val="004164CC"/>
    <w:rsid w:val="0041721C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A2F"/>
    <w:rsid w:val="00457DB1"/>
    <w:rsid w:val="00473E3E"/>
    <w:rsid w:val="00475FAA"/>
    <w:rsid w:val="0047766A"/>
    <w:rsid w:val="00477B1C"/>
    <w:rsid w:val="0048005A"/>
    <w:rsid w:val="00480E9D"/>
    <w:rsid w:val="00484672"/>
    <w:rsid w:val="004855F8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1421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52C"/>
    <w:rsid w:val="00511FD5"/>
    <w:rsid w:val="005124FE"/>
    <w:rsid w:val="005143FC"/>
    <w:rsid w:val="00515306"/>
    <w:rsid w:val="005165A5"/>
    <w:rsid w:val="005170A0"/>
    <w:rsid w:val="00517567"/>
    <w:rsid w:val="005216F6"/>
    <w:rsid w:val="005225C9"/>
    <w:rsid w:val="0052436D"/>
    <w:rsid w:val="005245C0"/>
    <w:rsid w:val="00530022"/>
    <w:rsid w:val="005311F6"/>
    <w:rsid w:val="0053226F"/>
    <w:rsid w:val="00533066"/>
    <w:rsid w:val="005333AE"/>
    <w:rsid w:val="00534217"/>
    <w:rsid w:val="0053570B"/>
    <w:rsid w:val="005362AF"/>
    <w:rsid w:val="005368D0"/>
    <w:rsid w:val="00547308"/>
    <w:rsid w:val="00547AF1"/>
    <w:rsid w:val="00550657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76368"/>
    <w:rsid w:val="005800DF"/>
    <w:rsid w:val="0058032E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2A57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6587"/>
    <w:rsid w:val="006175FD"/>
    <w:rsid w:val="0062090F"/>
    <w:rsid w:val="00621DBA"/>
    <w:rsid w:val="00622218"/>
    <w:rsid w:val="006229F3"/>
    <w:rsid w:val="00623DE9"/>
    <w:rsid w:val="00625947"/>
    <w:rsid w:val="00627AB9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380"/>
    <w:rsid w:val="006655D3"/>
    <w:rsid w:val="006672EB"/>
    <w:rsid w:val="0067459D"/>
    <w:rsid w:val="006755AB"/>
    <w:rsid w:val="00675DF9"/>
    <w:rsid w:val="00677923"/>
    <w:rsid w:val="00683891"/>
    <w:rsid w:val="00685BAC"/>
    <w:rsid w:val="00686594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B5582"/>
    <w:rsid w:val="006C175A"/>
    <w:rsid w:val="006C51C0"/>
    <w:rsid w:val="006C5E80"/>
    <w:rsid w:val="006D2384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32A"/>
    <w:rsid w:val="0072267E"/>
    <w:rsid w:val="0072473F"/>
    <w:rsid w:val="00725006"/>
    <w:rsid w:val="00725D7E"/>
    <w:rsid w:val="00731657"/>
    <w:rsid w:val="0073240E"/>
    <w:rsid w:val="007344EE"/>
    <w:rsid w:val="00735B9E"/>
    <w:rsid w:val="007377EB"/>
    <w:rsid w:val="0074037F"/>
    <w:rsid w:val="0074474D"/>
    <w:rsid w:val="00747EDE"/>
    <w:rsid w:val="007502C3"/>
    <w:rsid w:val="00750761"/>
    <w:rsid w:val="0075659C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C613E"/>
    <w:rsid w:val="008D0FCC"/>
    <w:rsid w:val="008D1A5A"/>
    <w:rsid w:val="008D4C93"/>
    <w:rsid w:val="008D5077"/>
    <w:rsid w:val="008E1523"/>
    <w:rsid w:val="008E5A4B"/>
    <w:rsid w:val="008E5A69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17401"/>
    <w:rsid w:val="00920A9D"/>
    <w:rsid w:val="00921FBB"/>
    <w:rsid w:val="00922E29"/>
    <w:rsid w:val="00922F4F"/>
    <w:rsid w:val="00923432"/>
    <w:rsid w:val="00925140"/>
    <w:rsid w:val="00931E62"/>
    <w:rsid w:val="00933006"/>
    <w:rsid w:val="0093584A"/>
    <w:rsid w:val="009363E0"/>
    <w:rsid w:val="00940766"/>
    <w:rsid w:val="00941B11"/>
    <w:rsid w:val="00943798"/>
    <w:rsid w:val="00944989"/>
    <w:rsid w:val="00945425"/>
    <w:rsid w:val="00946D3A"/>
    <w:rsid w:val="00947786"/>
    <w:rsid w:val="00953481"/>
    <w:rsid w:val="00954EC0"/>
    <w:rsid w:val="0095716B"/>
    <w:rsid w:val="00961637"/>
    <w:rsid w:val="00965A8A"/>
    <w:rsid w:val="00966249"/>
    <w:rsid w:val="00967604"/>
    <w:rsid w:val="00976041"/>
    <w:rsid w:val="0097729B"/>
    <w:rsid w:val="00984075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22EB"/>
    <w:rsid w:val="009B5011"/>
    <w:rsid w:val="009C1B78"/>
    <w:rsid w:val="009C2BDD"/>
    <w:rsid w:val="009E3613"/>
    <w:rsid w:val="009E3617"/>
    <w:rsid w:val="009E5282"/>
    <w:rsid w:val="009E731C"/>
    <w:rsid w:val="009F01CA"/>
    <w:rsid w:val="009F367B"/>
    <w:rsid w:val="009F3CD0"/>
    <w:rsid w:val="009F5F8F"/>
    <w:rsid w:val="009F6378"/>
    <w:rsid w:val="00A03A69"/>
    <w:rsid w:val="00A0659C"/>
    <w:rsid w:val="00A079CA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6177"/>
    <w:rsid w:val="00A77A3C"/>
    <w:rsid w:val="00A8775E"/>
    <w:rsid w:val="00A87923"/>
    <w:rsid w:val="00A9158D"/>
    <w:rsid w:val="00A94C57"/>
    <w:rsid w:val="00A95804"/>
    <w:rsid w:val="00AA1919"/>
    <w:rsid w:val="00AA1AF6"/>
    <w:rsid w:val="00AA23A2"/>
    <w:rsid w:val="00AA29D7"/>
    <w:rsid w:val="00AA5848"/>
    <w:rsid w:val="00AB0F0D"/>
    <w:rsid w:val="00AB559C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06AC"/>
    <w:rsid w:val="00B0454B"/>
    <w:rsid w:val="00B0513D"/>
    <w:rsid w:val="00B160C1"/>
    <w:rsid w:val="00B168DE"/>
    <w:rsid w:val="00B16A17"/>
    <w:rsid w:val="00B17D28"/>
    <w:rsid w:val="00B17E38"/>
    <w:rsid w:val="00B21A89"/>
    <w:rsid w:val="00B22FAF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786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2104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3819"/>
    <w:rsid w:val="00BD47A7"/>
    <w:rsid w:val="00BD7975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36307"/>
    <w:rsid w:val="00C43A48"/>
    <w:rsid w:val="00C47AE2"/>
    <w:rsid w:val="00C47FDE"/>
    <w:rsid w:val="00C51A4C"/>
    <w:rsid w:val="00C52E83"/>
    <w:rsid w:val="00C54866"/>
    <w:rsid w:val="00C54A69"/>
    <w:rsid w:val="00C565E8"/>
    <w:rsid w:val="00C57EF6"/>
    <w:rsid w:val="00C634B1"/>
    <w:rsid w:val="00C63A92"/>
    <w:rsid w:val="00C666E8"/>
    <w:rsid w:val="00C72E1F"/>
    <w:rsid w:val="00C73790"/>
    <w:rsid w:val="00C746F1"/>
    <w:rsid w:val="00C81BE2"/>
    <w:rsid w:val="00C82F5F"/>
    <w:rsid w:val="00C83F23"/>
    <w:rsid w:val="00C86225"/>
    <w:rsid w:val="00C906A2"/>
    <w:rsid w:val="00C909EF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8D"/>
    <w:rsid w:val="00CC069A"/>
    <w:rsid w:val="00CC521E"/>
    <w:rsid w:val="00CC72E9"/>
    <w:rsid w:val="00CD419A"/>
    <w:rsid w:val="00CE65EF"/>
    <w:rsid w:val="00CE6F0C"/>
    <w:rsid w:val="00CF3D33"/>
    <w:rsid w:val="00CF4042"/>
    <w:rsid w:val="00CF56D3"/>
    <w:rsid w:val="00CF6856"/>
    <w:rsid w:val="00CF77D9"/>
    <w:rsid w:val="00D045C1"/>
    <w:rsid w:val="00D10F47"/>
    <w:rsid w:val="00D13031"/>
    <w:rsid w:val="00D14BFF"/>
    <w:rsid w:val="00D170D3"/>
    <w:rsid w:val="00D200A4"/>
    <w:rsid w:val="00D21EEC"/>
    <w:rsid w:val="00D2436F"/>
    <w:rsid w:val="00D30120"/>
    <w:rsid w:val="00D37BF0"/>
    <w:rsid w:val="00D42AE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53A"/>
    <w:rsid w:val="00E018BC"/>
    <w:rsid w:val="00E02FCC"/>
    <w:rsid w:val="00E02FE6"/>
    <w:rsid w:val="00E0395E"/>
    <w:rsid w:val="00E03C2C"/>
    <w:rsid w:val="00E042C6"/>
    <w:rsid w:val="00E07129"/>
    <w:rsid w:val="00E14A09"/>
    <w:rsid w:val="00E1555D"/>
    <w:rsid w:val="00E1637C"/>
    <w:rsid w:val="00E200E7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9E9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AC7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536A"/>
    <w:rsid w:val="00F36BA0"/>
    <w:rsid w:val="00F471E4"/>
    <w:rsid w:val="00F51025"/>
    <w:rsid w:val="00F516A6"/>
    <w:rsid w:val="00F51986"/>
    <w:rsid w:val="00F6419C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C43DC"/>
    <w:rsid w:val="00FC577D"/>
    <w:rsid w:val="00FD1C04"/>
    <w:rsid w:val="00FD48D6"/>
    <w:rsid w:val="00FE057C"/>
    <w:rsid w:val="00FE2091"/>
    <w:rsid w:val="00FE2284"/>
    <w:rsid w:val="00FE2BC7"/>
    <w:rsid w:val="00FE3F38"/>
    <w:rsid w:val="00FE407B"/>
    <w:rsid w:val="00FE6C78"/>
    <w:rsid w:val="00FF078E"/>
    <w:rsid w:val="00FF0B87"/>
    <w:rsid w:val="00FF16BD"/>
    <w:rsid w:val="00FF1A21"/>
    <w:rsid w:val="00FF2692"/>
    <w:rsid w:val="00FF4A3F"/>
    <w:rsid w:val="2BCFF02A"/>
    <w:rsid w:val="3EBDD2F6"/>
    <w:rsid w:val="463F7B71"/>
    <w:rsid w:val="5F7733A0"/>
    <w:rsid w:val="6DF75C5B"/>
    <w:rsid w:val="6EFFCE1F"/>
    <w:rsid w:val="7AFDF4D4"/>
    <w:rsid w:val="7DAF51B9"/>
    <w:rsid w:val="BAF30455"/>
    <w:rsid w:val="DF47F927"/>
    <w:rsid w:val="EEF5E25F"/>
    <w:rsid w:val="EF4F379B"/>
    <w:rsid w:val="EF71BB50"/>
    <w:rsid w:val="EFED6A1E"/>
    <w:rsid w:val="FBFDBCA8"/>
    <w:rsid w:val="FD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ind w:right="-1333"/>
      <w:outlineLvl w:val="0"/>
    </w:pPr>
    <w:rPr>
      <w:sz w:val="28"/>
    </w:rPr>
  </w:style>
  <w:style w:type="paragraph" w:styleId="3">
    <w:name w:val="heading 2"/>
    <w:basedOn w:val="1"/>
    <w:next w:val="1"/>
    <w:link w:val="2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locked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locked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6"/>
    <w:qFormat/>
    <w:uiPriority w:val="99"/>
    <w:rPr>
      <w:rFonts w:cs="Times New Roman"/>
    </w:rPr>
  </w:style>
  <w:style w:type="paragraph" w:styleId="11">
    <w:name w:val="Balloon Text"/>
    <w:basedOn w:val="1"/>
    <w:link w:val="30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42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styleId="14">
    <w:name w:val="toc 1"/>
    <w:basedOn w:val="1"/>
    <w:next w:val="1"/>
    <w:qFormat/>
    <w:locked/>
    <w:uiPriority w:val="39"/>
    <w:pPr>
      <w:tabs>
        <w:tab w:val="right" w:leader="dot" w:pos="9836"/>
      </w:tabs>
    </w:pPr>
  </w:style>
  <w:style w:type="paragraph" w:styleId="15">
    <w:name w:val="toc 3"/>
    <w:basedOn w:val="1"/>
    <w:next w:val="1"/>
    <w:qFormat/>
    <w:locked/>
    <w:uiPriority w:val="39"/>
    <w:pPr>
      <w:tabs>
        <w:tab w:val="right" w:leader="dot" w:pos="9836"/>
      </w:tabs>
      <w:ind w:left="480"/>
    </w:pPr>
  </w:style>
  <w:style w:type="paragraph" w:styleId="16">
    <w:name w:val="toc 2"/>
    <w:basedOn w:val="1"/>
    <w:next w:val="1"/>
    <w:qFormat/>
    <w:locked/>
    <w:uiPriority w:val="39"/>
    <w:pPr>
      <w:ind w:left="240"/>
    </w:p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table" w:styleId="18">
    <w:name w:val="Table Grid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character" w:customStyle="1" w:styleId="20">
    <w:name w:val="Заголовок 2 Знак"/>
    <w:basedOn w:val="6"/>
    <w:link w:val="3"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Заголовок 3 Знак"/>
    <w:basedOn w:val="6"/>
    <w:link w:val="4"/>
    <w:qFormat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Заголовок 4 Знак"/>
    <w:basedOn w:val="6"/>
    <w:link w:val="5"/>
    <w:qFormat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4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Нижний колонтитул Знак"/>
    <w:basedOn w:val="6"/>
    <w:link w:val="17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Текст выноски Знак"/>
    <w:basedOn w:val="6"/>
    <w:link w:val="11"/>
    <w:semiHidden/>
    <w:qFormat/>
    <w:locked/>
    <w:uiPriority w:val="99"/>
    <w:rPr>
      <w:rFonts w:ascii="Tahoma" w:hAnsi="Tahoma" w:cs="Times New Roman"/>
      <w:sz w:val="16"/>
      <w:lang w:val="zh-CN" w:eastAsia="ru-RU"/>
    </w:rPr>
  </w:style>
  <w:style w:type="paragraph" w:customStyle="1" w:styleId="3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35">
    <w:name w:val="Название книги1"/>
    <w:basedOn w:val="6"/>
    <w:qFormat/>
    <w:uiPriority w:val="33"/>
    <w:rPr>
      <w:rFonts w:cs="Times New Roman"/>
      <w:b/>
      <w:smallCaps/>
      <w:spacing w:val="5"/>
    </w:rPr>
  </w:style>
  <w:style w:type="table" w:customStyle="1" w:styleId="36">
    <w:name w:val="Сетка таблицы1"/>
    <w:basedOn w:val="7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Стиль1"/>
    <w:basedOn w:val="2"/>
    <w:link w:val="38"/>
    <w:qFormat/>
    <w:uiPriority w:val="0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38">
    <w:name w:val="Стиль1 Знак"/>
    <w:link w:val="37"/>
    <w:qFormat/>
    <w:locked/>
    <w:uiPriority w:val="0"/>
    <w:rPr>
      <w:rFonts w:ascii="Times New Roman" w:hAnsi="Times New Roman"/>
      <w:b/>
      <w:sz w:val="24"/>
      <w:lang w:val="en-US" w:eastAsia="ru-RU"/>
    </w:rPr>
  </w:style>
  <w:style w:type="table" w:customStyle="1" w:styleId="39">
    <w:name w:val="Сетка таблицы2"/>
    <w:basedOn w:val="7"/>
    <w:qFormat/>
    <w:uiPriority w:val="39"/>
    <w:rPr>
      <w:rFonts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 Style13"/>
    <w:qFormat/>
    <w:uiPriority w:val="99"/>
    <w:rPr>
      <w:rFonts w:ascii="Times New Roman" w:hAnsi="Times New Roman"/>
      <w:sz w:val="20"/>
    </w:rPr>
  </w:style>
  <w:style w:type="table" w:customStyle="1" w:styleId="4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Знак"/>
    <w:basedOn w:val="6"/>
    <w:link w:val="13"/>
    <w:qFormat/>
    <w:uiPriority w:val="1"/>
    <w:rPr>
      <w:rFonts w:ascii="Times New Roman" w:hAnsi="Times New Roman" w:cs="Times New Roman"/>
      <w:sz w:val="24"/>
      <w:szCs w:val="24"/>
      <w:lang w:eastAsia="en-US"/>
    </w:rPr>
  </w:style>
  <w:style w:type="paragraph" w:styleId="43">
    <w:name w:val="List Paragraph"/>
    <w:basedOn w:val="1"/>
    <w:qFormat/>
    <w:uiPriority w:val="1"/>
    <w:pPr>
      <w:widowControl w:val="0"/>
      <w:autoSpaceDE w:val="0"/>
      <w:autoSpaceDN w:val="0"/>
      <w:ind w:left="541" w:firstLine="709"/>
      <w:jc w:val="both"/>
    </w:pPr>
    <w:rPr>
      <w:sz w:val="22"/>
      <w:szCs w:val="22"/>
      <w:lang w:eastAsia="en-US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45">
    <w:name w:val="Нормальный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2757</Words>
  <Characters>20852</Characters>
  <Lines>173</Lines>
  <Paragraphs>47</Paragraphs>
  <TotalTime>123</TotalTime>
  <ScaleCrop>false</ScaleCrop>
  <LinksUpToDate>false</LinksUpToDate>
  <CharactersWithSpaces>23562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2023-07-03T22:11:00Z</dcterms:created>
  <dc:creator>Захарова</dc:creator>
  <cp:lastModifiedBy>adamov_nv</cp:lastModifiedBy>
  <cp:lastPrinted>2023-07-04T01:09:00Z</cp:lastPrinted>
  <dcterms:modified xsi:type="dcterms:W3CDTF">2025-02-13T09:30:52Z</dcterms:modified>
  <dc:title>МИНИСТЕРСТВО ЖКХ и энергетики РС(Я)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