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jc w:val="left"/>
        <w:tblInd w:type="dxa" w:w="-28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9"/>
        <w:gridCol w:w="1489"/>
        <w:gridCol w:w="4165"/>
      </w:tblGrid>
      <w:tr>
        <w:trPr>
          <w:trHeight w:hRule="atLeast" w:val="1843"/>
        </w:trPr>
        <w:tc>
          <w:tcPr>
            <w:tcW w:type="dxa" w:w="42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08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>ПРАВИТЕЛЬСТВО</w:t>
            </w:r>
          </w:p>
          <w:p w14:paraId="09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>РЕСПУБЛИКИ САХА (ЯКУТИЯ)</w:t>
            </w:r>
          </w:p>
          <w:p w14:paraId="0A000000">
            <w:pPr>
              <w:pStyle w:val="Style_2"/>
              <w:ind/>
              <w:jc w:val="center"/>
              <w:rPr>
                <w:b w:val="1"/>
                <w:caps w:val="1"/>
                <w:sz w:val="26"/>
              </w:rPr>
            </w:pPr>
          </w:p>
          <w:p w14:paraId="0B000000">
            <w:pPr>
              <w:pStyle w:val="Style_2"/>
              <w:ind/>
              <w:jc w:val="center"/>
              <w:rPr>
                <w:b w:val="1"/>
                <w:sz w:val="34"/>
              </w:rPr>
            </w:pPr>
            <w:r>
              <w:rPr>
                <w:b w:val="1"/>
                <w:sz w:val="34"/>
              </w:rPr>
              <w:t>РАСПОРЯЖЕНИЕ</w:t>
            </w:r>
          </w:p>
          <w:p w14:paraId="0C000000">
            <w:pPr>
              <w:pStyle w:val="Style_2"/>
              <w:spacing w:line="360" w:lineRule="auto"/>
              <w:ind/>
              <w:jc w:val="center"/>
              <w:rPr>
                <w:b w:val="1"/>
                <w:sz w:val="34"/>
              </w:rPr>
            </w:pPr>
          </w:p>
          <w:p w14:paraId="0D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Якутск</w:t>
            </w:r>
          </w:p>
          <w:p w14:paraId="0E000000">
            <w:pPr>
              <w:pStyle w:val="Style_2"/>
              <w:ind/>
              <w:jc w:val="center"/>
              <w:rPr>
                <w:b w:val="1"/>
              </w:rPr>
            </w:pPr>
          </w:p>
        </w:tc>
        <w:tc>
          <w:tcPr>
            <w:tcW w:type="dxa" w:w="14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rPr>
                <w:b w:val="1"/>
              </w:rPr>
            </w:pPr>
            <w:r>
              <w:rPr>
                <w:b w:val="1"/>
              </w:rPr>
              <w:drawing>
                <wp:inline>
                  <wp:extent cx="754380" cy="75438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-50" l="-50" r="-50" t="-50"/>
                          <a:stretch/>
                        </pic:blipFill>
                        <pic:spPr>
                          <a:xfrm flipH="false" flipV="false" rot="0">
                            <a:ext cx="75438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1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11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 xml:space="preserve">САХА </w:t>
            </w:r>
            <w:r>
              <w:rPr>
                <w:caps w:val="1"/>
                <w:sz w:val="26"/>
              </w:rPr>
              <w:t>Ө</w:t>
            </w:r>
            <w:r>
              <w:rPr>
                <w:caps w:val="1"/>
                <w:sz w:val="26"/>
              </w:rPr>
              <w:t>Р</w:t>
            </w:r>
            <w:r>
              <w:rPr>
                <w:caps w:val="1"/>
                <w:sz w:val="26"/>
              </w:rPr>
              <w:t>Ө</w:t>
            </w:r>
            <w:r>
              <w:rPr>
                <w:caps w:val="1"/>
                <w:sz w:val="26"/>
              </w:rPr>
              <w:t>СП</w:t>
            </w:r>
            <w:r>
              <w:rPr>
                <w:caps w:val="1"/>
                <w:sz w:val="26"/>
              </w:rPr>
              <w:t>ҮҮБҮ</w:t>
            </w:r>
            <w:r>
              <w:rPr>
                <w:caps w:val="1"/>
                <w:sz w:val="26"/>
              </w:rPr>
              <w:t>Л</w:t>
            </w:r>
            <w:r>
              <w:rPr>
                <w:caps w:val="1"/>
                <w:sz w:val="26"/>
              </w:rPr>
              <w:t>Ү</w:t>
            </w:r>
            <w:r>
              <w:rPr>
                <w:caps w:val="1"/>
                <w:sz w:val="26"/>
              </w:rPr>
              <w:t>К</w:t>
            </w:r>
            <w:r>
              <w:rPr>
                <w:caps w:val="1"/>
                <w:sz w:val="26"/>
              </w:rPr>
              <w:t>Э</w:t>
            </w:r>
            <w:r>
              <w:rPr>
                <w:caps w:val="1"/>
                <w:sz w:val="26"/>
              </w:rPr>
              <w:t>Т</w:t>
            </w:r>
            <w:r>
              <w:rPr>
                <w:caps w:val="1"/>
                <w:sz w:val="26"/>
              </w:rPr>
              <w:t>И</w:t>
            </w:r>
            <w:r>
              <w:rPr>
                <w:caps w:val="1"/>
                <w:sz w:val="26"/>
              </w:rPr>
              <w:t xml:space="preserve">Н </w:t>
            </w:r>
          </w:p>
          <w:p w14:paraId="12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>бырабыыталыстыбата</w:t>
            </w:r>
          </w:p>
          <w:p w14:paraId="13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14000000">
            <w:pPr>
              <w:pStyle w:val="Style_2"/>
              <w:ind/>
              <w:jc w:val="center"/>
              <w:rPr>
                <w:b w:val="1"/>
                <w:caps w:val="1"/>
                <w:sz w:val="34"/>
              </w:rPr>
            </w:pPr>
            <w:r>
              <w:rPr>
                <w:b w:val="1"/>
                <w:caps w:val="1"/>
                <w:sz w:val="34"/>
              </w:rPr>
              <w:t>ДЬА</w:t>
            </w:r>
            <w:r>
              <w:rPr>
                <w:b w:val="1"/>
                <w:caps w:val="1"/>
                <w:sz w:val="34"/>
              </w:rPr>
              <w:t>Һ</w:t>
            </w:r>
            <w:r>
              <w:rPr>
                <w:b w:val="1"/>
                <w:caps w:val="1"/>
                <w:sz w:val="34"/>
              </w:rPr>
              <w:t>АЛ</w:t>
            </w:r>
          </w:p>
          <w:p w14:paraId="15000000">
            <w:pPr>
              <w:pStyle w:val="Style_2"/>
              <w:spacing w:line="360" w:lineRule="auto"/>
              <w:ind/>
              <w:jc w:val="center"/>
              <w:rPr>
                <w:b w:val="1"/>
                <w:caps w:val="1"/>
                <w:spacing w:val="30"/>
                <w:sz w:val="34"/>
              </w:rPr>
            </w:pPr>
          </w:p>
          <w:p w14:paraId="16000000">
            <w:pPr>
              <w:pStyle w:val="Style_2"/>
              <w:ind/>
              <w:jc w:val="center"/>
              <w:rPr>
                <w:b w:val="1"/>
                <w:caps w:val="1"/>
              </w:rPr>
            </w:pPr>
            <w:r>
              <w:rPr>
                <w:b w:val="1"/>
              </w:rPr>
              <w:t>Дьокуускай к.</w:t>
            </w:r>
          </w:p>
          <w:p w14:paraId="17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</w:tc>
      </w:tr>
    </w:tbl>
    <w:p w14:paraId="18000000">
      <w:pPr>
        <w:pStyle w:val="Style_2"/>
        <w:ind/>
        <w:jc w:val="center"/>
        <w:rPr>
          <w:b w:val="1"/>
          <w:sz w:val="28"/>
        </w:rPr>
      </w:pPr>
    </w:p>
    <w:p w14:paraId="19000000">
      <w:pPr>
        <w:pStyle w:val="Style_2"/>
        <w:spacing w:line="360" w:lineRule="auto"/>
        <w:ind/>
        <w:jc w:val="center"/>
        <w:rPr>
          <w:b w:val="1"/>
          <w:sz w:val="28"/>
        </w:rPr>
      </w:pPr>
    </w:p>
    <w:p w14:paraId="1A000000">
      <w:pPr>
        <w:pStyle w:val="Style_2"/>
        <w:spacing w:line="340" w:lineRule="exact"/>
        <w:ind w:firstLine="709" w:left="0"/>
        <w:jc w:val="center"/>
        <w:rPr>
          <w:b w:val="0"/>
          <w:sz w:val="24"/>
        </w:rPr>
      </w:pPr>
      <w:r>
        <w:rPr>
          <w:b w:val="0"/>
          <w:sz w:val="24"/>
        </w:rPr>
        <w:t>ОТ __________________________ Г. № ________</w:t>
      </w:r>
    </w:p>
    <w:p w14:paraId="1B000000">
      <w:pPr>
        <w:pStyle w:val="Style_2"/>
        <w:ind w:firstLine="709" w:left="0"/>
        <w:jc w:val="both"/>
        <w:rPr>
          <w:sz w:val="28"/>
        </w:rPr>
      </w:pPr>
    </w:p>
    <w:p w14:paraId="1C000000">
      <w:pPr>
        <w:pStyle w:val="Style_2"/>
        <w:ind w:firstLine="709" w:left="0"/>
        <w:jc w:val="both"/>
        <w:rPr>
          <w:sz w:val="28"/>
        </w:rPr>
      </w:pPr>
    </w:p>
    <w:p w14:paraId="1D000000">
      <w:pPr>
        <w:pStyle w:val="Style_2"/>
        <w:ind w:firstLine="709" w:left="0"/>
        <w:jc w:val="both"/>
        <w:rPr>
          <w:sz w:val="28"/>
        </w:rPr>
      </w:pPr>
    </w:p>
    <w:p w14:paraId="1E000000">
      <w:pPr>
        <w:pStyle w:val="Style_2"/>
        <w:ind w:firstLine="709" w:left="0"/>
        <w:jc w:val="both"/>
        <w:rPr>
          <w:sz w:val="28"/>
        </w:rPr>
      </w:pPr>
    </w:p>
    <w:p w14:paraId="1F000000">
      <w:pPr>
        <w:pStyle w:val="Style_3"/>
        <w:spacing w:after="0" w:line="240" w:lineRule="auto"/>
        <w:ind w:firstLine="0" w:lef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>Об утверждении Плана мероприятий (дорожной карты)</w:t>
      </w:r>
    </w:p>
    <w:p w14:paraId="20000000">
      <w:pPr>
        <w:pStyle w:val="Style_3"/>
        <w:spacing w:after="0" w:line="240" w:lineRule="auto"/>
        <w:ind w:firstLine="0" w:lef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 xml:space="preserve">по созданию </w:t>
      </w: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 xml:space="preserve">приютов и пунктов временного содержания </w:t>
      </w:r>
    </w:p>
    <w:p w14:paraId="21000000">
      <w:pPr>
        <w:pStyle w:val="Style_3"/>
        <w:spacing w:after="0" w:line="240" w:lineRule="auto"/>
        <w:ind w:firstLine="0" w:lef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>для животных без владельцев на территории</w:t>
      </w:r>
    </w:p>
    <w:p w14:paraId="22000000">
      <w:pPr>
        <w:pStyle w:val="Style_3"/>
        <w:spacing w:after="0" w:line="240" w:lineRule="auto"/>
        <w:ind w:firstLine="0" w:lef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>Республики Саха (Якутия)</w:t>
      </w:r>
    </w:p>
    <w:p w14:paraId="23000000">
      <w:pPr>
        <w:pStyle w:val="Style_2"/>
        <w:spacing w:line="360" w:lineRule="auto"/>
        <w:ind w:firstLine="709" w:left="0"/>
        <w:jc w:val="both"/>
        <w:rPr>
          <w:sz w:val="28"/>
        </w:rPr>
      </w:pPr>
    </w:p>
    <w:p w14:paraId="24000000">
      <w:pPr>
        <w:pStyle w:val="Style_2"/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координации осуществления деятельности органов местного самоуправления по реализации переданных отдельных государственных полномочий при осуществлении деятельности по обращению с животными без владельцев, предусмотренных положениями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Закона Республики Саха (Якутия) от 02.04.2014 г. 1288-З № 131- 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 и Закона Республики Саха (Якутия) от 26.06.2024 г. 2758-З № 191-VII «Об установлении порядка осуществления деятельности по обращению с животными без владельцев и определении перечня мероприятий при осуществлении такой деятельности на территории </w:t>
      </w:r>
      <w:r>
        <w:rPr>
          <w:rFonts w:ascii="XO Thames" w:hAnsi="XO Thames"/>
          <w:sz w:val="28"/>
        </w:rPr>
        <w:t xml:space="preserve">Республики Саха (Якутия)», руководствуясь статьей 30 Конституционного Закона Республики </w:t>
      </w:r>
      <w:r>
        <w:rPr>
          <w:rStyle w:val="Style_2_ch"/>
          <w:rFonts w:ascii="XO Thames" w:hAnsi="XO Thames"/>
          <w:sz w:val="28"/>
        </w:rPr>
        <w:t xml:space="preserve">Саха (Якутия) от 15.02.1995 г. З № 51-I «О Правительстве Республики Саха (Якутия)» </w:t>
      </w:r>
      <w:r>
        <w:rPr>
          <w:rStyle w:val="Style_2_ch"/>
          <w:rFonts w:ascii="XO Thames" w:hAnsi="XO Thames"/>
          <w:sz w:val="28"/>
        </w:rPr>
        <w:t>и во исполнение п. 4.1 протокола совещания Председателя Правительства Республики Саха (Якутия) по организации мероприятий при осуществлении деятельности по обращению с животными без владельцев от 11.12.2024 г.:</w:t>
      </w:r>
    </w:p>
    <w:p w14:paraId="25000000">
      <w:pPr>
        <w:pStyle w:val="Style_2"/>
        <w:spacing w:line="36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Fonts w:ascii="XO Thames" w:hAnsi="XO Thames"/>
          <w:b w:val="0"/>
          <w:color w:val="000000"/>
          <w:sz w:val="28"/>
        </w:rPr>
        <w:t>1.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Утвердить прилагаемый План мероприятий (дорожную карт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у) </w:t>
      </w: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 xml:space="preserve">по созданию </w:t>
      </w: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 xml:space="preserve">приютов и пунктов временного содержания </w:t>
      </w: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для животных без владельцев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 территории Республики Саха (Якутия) (далее - План мероприятий).</w:t>
      </w:r>
    </w:p>
    <w:p w14:paraId="26000000">
      <w:pPr>
        <w:pStyle w:val="Style_2"/>
        <w:spacing w:line="36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color w:val="000000"/>
          <w:sz w:val="28"/>
        </w:rPr>
        <w:t xml:space="preserve">2.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Контроль за реализацией Плана мероприятий возложить на Управление ветеринарии Республики Саха (Якутия).</w:t>
      </w:r>
    </w:p>
    <w:p w14:paraId="27000000">
      <w:pPr>
        <w:pStyle w:val="Style_2"/>
        <w:spacing w:line="36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8000000">
      <w:pPr>
        <w:pStyle w:val="Style_2"/>
        <w:spacing w:line="360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9000000">
      <w:pPr>
        <w:pStyle w:val="Style_2"/>
        <w:rPr>
          <w:b w:val="1"/>
          <w:sz w:val="28"/>
        </w:rPr>
      </w:pPr>
    </w:p>
    <w:p w14:paraId="2A000000">
      <w:pPr>
        <w:pStyle w:val="Style_2"/>
        <w:rPr>
          <w:sz w:val="28"/>
        </w:rPr>
      </w:pPr>
      <w:r>
        <w:rPr>
          <w:b w:val="1"/>
          <w:sz w:val="28"/>
        </w:rPr>
        <w:t>Председатель Правительства</w:t>
      </w:r>
    </w:p>
    <w:p w14:paraId="2B000000">
      <w:pPr>
        <w:pStyle w:val="Style_2"/>
        <w:rPr>
          <w:sz w:val="28"/>
        </w:rPr>
      </w:pPr>
      <w:r>
        <w:rPr>
          <w:b w:val="1"/>
          <w:sz w:val="28"/>
        </w:rPr>
        <w:t>Республики Саха (Якутия)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К.Е. Бычков</w:t>
      </w:r>
    </w:p>
    <w:p w14:paraId="2C000000">
      <w:pPr>
        <w:pStyle w:val="Style_2"/>
        <w:rPr>
          <w:sz w:val="28"/>
        </w:rPr>
      </w:pPr>
    </w:p>
    <w:p w14:paraId="2D000000">
      <w:pPr>
        <w:pStyle w:val="Style_2"/>
        <w:rPr>
          <w:sz w:val="28"/>
        </w:rPr>
      </w:pPr>
    </w:p>
    <w:p w14:paraId="2E000000">
      <w:pPr>
        <w:pStyle w:val="Style_2"/>
        <w:rPr>
          <w:sz w:val="28"/>
        </w:rPr>
      </w:pPr>
    </w:p>
    <w:p w14:paraId="2F000000">
      <w:pPr>
        <w:sectPr>
          <w:headerReference r:id="rId4" w:type="default"/>
          <w:headerReference r:id="rId3" w:type="first"/>
          <w:type w:val="nextPage"/>
          <w:pgSz w:h="16838" w:orient="portrait" w:w="11906"/>
          <w:pgMar w:bottom="1134" w:footer="0" w:gutter="0" w:header="709" w:left="1701" w:right="851" w:top="1134"/>
          <w:pgNumType w:fmt="decimal"/>
          <w:titlePg/>
        </w:sectPr>
      </w:pPr>
    </w:p>
    <w:p w14:paraId="30000000">
      <w:pPr>
        <w:pStyle w:val="Style_2"/>
        <w:rPr>
          <w:sz w:val="28"/>
        </w:rPr>
      </w:pPr>
    </w:p>
    <w:p w14:paraId="31000000">
      <w:pPr>
        <w:pStyle w:val="Style_2"/>
        <w:ind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Приложение №1</w:t>
      </w:r>
    </w:p>
    <w:p w14:paraId="32000000">
      <w:pPr>
        <w:pStyle w:val="Style_2"/>
        <w:ind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к проекту Распоряжения Правительства</w:t>
      </w:r>
    </w:p>
    <w:p w14:paraId="33000000">
      <w:pPr>
        <w:pStyle w:val="Style_2"/>
        <w:ind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 xml:space="preserve"> Республики Саха (Якутия)</w:t>
      </w:r>
    </w:p>
    <w:p w14:paraId="34000000">
      <w:pPr>
        <w:pStyle w:val="Style_2"/>
        <w:ind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  <w:r>
        <w:rPr>
          <w:rStyle w:val="Style_3_ch"/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от «___»____________ 2025 г. №</w:t>
      </w:r>
    </w:p>
    <w:p w14:paraId="35000000">
      <w:pPr>
        <w:pStyle w:val="Style_2"/>
        <w:ind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</w:pPr>
    </w:p>
    <w:p w14:paraId="36000000">
      <w:pPr>
        <w:pStyle w:val="Style_2"/>
        <w:ind/>
        <w:jc w:val="center"/>
        <w:rPr>
          <w:b w:val="1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План мероприятий (дорожная карта) </w:t>
      </w: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 xml:space="preserve">по созданию </w:t>
      </w: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 xml:space="preserve">приютов и пунктов временного содержания </w:t>
      </w:r>
      <w:r>
        <w:rPr>
          <w:rStyle w:val="Style_3_ch"/>
          <w:rFonts w:ascii="XO Thames" w:hAnsi="XO Thames"/>
          <w:b w:val="1"/>
          <w:i w:val="0"/>
          <w:caps w:val="0"/>
          <w:color w:val="000000"/>
          <w:spacing w:val="0"/>
          <w:sz w:val="28"/>
          <w:u w:val="none"/>
        </w:rPr>
        <w:t>для животных без владельцев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на территории Республики Саха (Якутия)</w:t>
      </w:r>
    </w:p>
    <w:p w14:paraId="37000000">
      <w:pPr>
        <w:pStyle w:val="Style_2"/>
        <w:ind/>
        <w:jc w:val="center"/>
        <w:rPr>
          <w:b w:val="1"/>
          <w:sz w:val="28"/>
        </w:rPr>
      </w:pPr>
    </w:p>
    <w:tbl>
      <w:tblPr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760"/>
        <w:gridCol w:w="5048"/>
        <w:gridCol w:w="3584"/>
        <w:gridCol w:w="2325"/>
        <w:gridCol w:w="2580"/>
      </w:tblGrid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N п/п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Ожидаемый результат мероприятия (вид документа)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Срок исполнения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Исполнители (соисполнители)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142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I. Организационные и нормативно-правовые мероприятия (организация деятельности по созданию приютов и пунктов временного содержания для животных без владельцев)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Инвентаризация не</w:t>
            </w:r>
            <w:r>
              <w:rPr>
                <w:rFonts w:ascii="XO Thames" w:hAnsi="XO Thames"/>
                <w:color w:val="000000"/>
                <w:sz w:val="24"/>
              </w:rPr>
              <w:t xml:space="preserve">используемого муниципального нежилого фонда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органами местного самоуправления РС(Я)</w:t>
            </w:r>
            <w:r>
              <w:rPr>
                <w:rFonts w:ascii="XO Thames" w:hAnsi="XO Thames"/>
                <w:color w:val="000000"/>
                <w:sz w:val="24"/>
              </w:rPr>
              <w:t xml:space="preserve"> с целью организации в них приютов и пунктов </w:t>
            </w:r>
            <w:r>
              <w:rPr>
                <w:rFonts w:ascii="XO Thames" w:hAnsi="XO Thames"/>
                <w:color w:val="000000"/>
                <w:sz w:val="24"/>
              </w:rPr>
              <w:t>временного содержания для животных без владельцев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установление перечня неиспользуемых помещений, пригодных для организации приютов и пунктов временного содержания для  животных без владельцев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апрель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г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органов местного самоуправления РС(Я)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(по согласованию).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Сбор и обобщение перечней неиспользуемых помещений, пригодных для организации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приютов и пунктов временного содержания для животных без владельцев</w:t>
            </w:r>
            <w:r>
              <w:rPr>
                <w:rFonts w:ascii="XO Thames" w:hAnsi="XO Thames"/>
                <w:color w:val="000000"/>
                <w:sz w:val="24"/>
              </w:rPr>
              <w:t xml:space="preserve">, сформированных органами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установление перечня неиспользуемых помещений, пригодных для организации приютов и пунктов временного содержания для животных без владельцев, направление в Управление ветеринарии РС(Я)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июнь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Минимущество РС(Я).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Определение объема субвенций, необ</w:t>
            </w:r>
            <w:r>
              <w:rPr>
                <w:rFonts w:ascii="XO Thames" w:hAnsi="XO Thames"/>
                <w:color w:val="000000"/>
                <w:sz w:val="24"/>
              </w:rPr>
              <w:t>ходимых для исполнения органами местного самоуправления РС(Я) переданных государственных полномочий по организации проведения мероприятий по осуществлению деятельности по обращению с животными</w:t>
            </w:r>
            <w:r>
              <w:rPr>
                <w:rFonts w:ascii="XO Thames" w:hAnsi="XO Thames"/>
                <w:color w:val="000000"/>
                <w:sz w:val="24"/>
              </w:rPr>
              <w:t xml:space="preserve"> без владельцев на 2025 год и плановый период 2026, 2027 годов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август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ветеринарии РС(Я);</w:t>
            </w:r>
          </w:p>
          <w:p w14:paraId="52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Министерство финансов РС(Я).</w:t>
            </w:r>
          </w:p>
        </w:tc>
      </w:tr>
      <w:tr>
        <w:tc>
          <w:tcPr>
            <w:tcW w:type="dxa" w:w="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50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Определение земельных участков и выделение их под строительство приюта и пункта временного содержания для животных без владельцев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внесение изменений в генеральный план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сентябрь 2025 года</w:t>
            </w:r>
          </w:p>
        </w:tc>
        <w:tc>
          <w:tcPr>
            <w:tcW w:type="dxa" w:w="2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</w:p>
          <w:p w14:paraId="58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(по согласованию); Минстрой РС(Я).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50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органах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октябрь 2025 года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50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октябрь 2025 года</w:t>
            </w:r>
          </w:p>
        </w:tc>
        <w:tc>
          <w:tcPr>
            <w:tcW w:type="dxa" w:w="2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Разработка и утверждение решения об осуществлении капитальных вложений в объекты муниципальной собственности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распоряжение Правительства Республики Саха (Якутия) о принятии решения об осуществлении капитальных вложений в объекты муниципальной собственности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октябрь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ветеринарии РС(Я);</w:t>
            </w:r>
          </w:p>
          <w:p w14:paraId="62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  <w:p w14:paraId="63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(по согласованию); Минстрой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.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Включение в </w:t>
            </w:r>
            <w:r>
              <w:rPr>
                <w:rFonts w:ascii="XO Thames" w:hAnsi="XO Thames"/>
                <w:color w:val="000000"/>
                <w:sz w:val="24"/>
              </w:rPr>
              <w:t>Постановление Правительства Республики Саха (Якутия) от 3 сентября 2019 г. N 248 «Об утверждении Порядка формирования и реализации Инвестиционной программы Республики Саха (Якутия)»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Адресная инвестиционная программа Республики Саха (Якутия)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июнь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Минэкономики РС(Я)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6.1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объектов по строительству приютов и пунктов временного содержания для животных без владельцев и реконструкции помещений под приюты и пункты временного содержания для животных без владельцев на разработку проектно-сметной документации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проектно-сметная документация по строительству и реконструкции помещений под приюты и пункты временного содержания для животных без владельцев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июнь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  <w:p w14:paraId="6E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(по согласованию);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Минэкономики РС(Я);</w:t>
            </w:r>
          </w:p>
          <w:p w14:paraId="6F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ветеринарии РС(Я)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6.2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объектов по строительству приютов и пунктов временного содержания для животных без владельцев и реконструкции помещений под приюты и пункты временного содержания для животных без владельцев на выполнение строительно-монтажных работ и вводу объектов в эксплуатацию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строительно-монтажные работы, ввод объекта и законченный строительством объект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июнь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  <w:p w14:paraId="75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(по согласованию); Минстрой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РС(Я);</w:t>
            </w:r>
          </w:p>
          <w:p w14:paraId="7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Управление ветеринарии РС(Я)</w:t>
            </w:r>
          </w:p>
        </w:tc>
      </w:tr>
      <w:tr>
        <w:tc>
          <w:tcPr>
            <w:tcW w:type="dxa" w:w="142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II. Создание инфраструктуры по обращению с животными без владельцев на территории Республики Саха (Якутия)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Разработка проектно-сметной документации: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7.1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проектно-сметной документации по строительству приютов и пунктов временного содержания для животных без владельцев и реконструкции помещений под приюты и пункты временного содержания для животных без владельцев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разработка проектно-сметной документации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июль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  <w:p w14:paraId="82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(по согласованию);</w:t>
            </w:r>
          </w:p>
          <w:p w14:paraId="83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Минстрой РС(Я);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7.2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согласование задания на проектирование объектов по строи</w:t>
            </w:r>
            <w:r>
              <w:rPr>
                <w:rFonts w:ascii="XO Thames" w:hAnsi="XO Thames"/>
                <w:color w:val="000000"/>
                <w:sz w:val="24"/>
              </w:rPr>
              <w:t xml:space="preserve">тельству приютов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и пунктов временного содержания для животных без владельцев и реконструкции помещений под приюты и пункты временного содержания для животных без владельцев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разработка проектно-сметной документации. 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сентябрь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  <w:p w14:paraId="89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(по согласованию);</w:t>
            </w:r>
          </w:p>
          <w:p w14:paraId="8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Минстрой РС(Я);</w:t>
            </w:r>
          </w:p>
          <w:p w14:paraId="8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ветеринарии РС(Я)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8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строительно-монтажных работ по реконструкции помещений под приюты и пункты временного содержания для животных без владельцев на территории муниципальных образований РС(Я)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реконструированное помещение под приют для животных без владельцев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декабрь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  <w:p w14:paraId="91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(по согласованию)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строительно-монтажных работ по строительству приютов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и пунктов временного содержания для животных без владельцев на территории муниципальных образований РС(Я)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строительство приютов и пунктов временного содержания для животных без владельцев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декабрь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color w:val="000000"/>
                <w:sz w:val="24"/>
              </w:rPr>
              <w:t xml:space="preserve"> (по согласованию)</w:t>
            </w:r>
          </w:p>
        </w:tc>
      </w:tr>
      <w:tr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00000">
            <w:pPr>
              <w:spacing w:after="0" w:before="0" w:line="240" w:lineRule="auto"/>
              <w:ind w:firstLine="0" w:left="0" w:righ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</w:t>
            </w:r>
          </w:p>
        </w:tc>
        <w:tc>
          <w:tcPr>
            <w:tcW w:type="dxa" w:w="5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Введение в эксплуатацию приютов и пунктов временного содержания для животных без владельцев</w:t>
            </w:r>
          </w:p>
        </w:tc>
        <w:tc>
          <w:tcPr>
            <w:tcW w:type="dxa" w:w="35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акт ввода в эксплуатацию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декабрь 2025 года</w:t>
            </w:r>
          </w:p>
        </w:tc>
        <w:tc>
          <w:tcPr>
            <w:tcW w:type="dxa" w:w="2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00000">
            <w:pPr>
              <w:spacing w:after="0" w:before="0" w:line="240" w:lineRule="auto"/>
              <w:ind w:firstLine="0" w:left="0" w:right="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главы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органов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местного самоуправления РС(Я)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(по согласованию)</w:t>
            </w:r>
          </w:p>
        </w:tc>
      </w:tr>
    </w:tbl>
    <w:p w14:paraId="9C000000">
      <w:pPr>
        <w:pStyle w:val="Style_2"/>
        <w:ind w:firstLine="709" w:left="0"/>
        <w:jc w:val="both"/>
        <w:rPr>
          <w:b w:val="1"/>
          <w:sz w:val="28"/>
        </w:rPr>
      </w:pPr>
    </w:p>
    <w:sectPr>
      <w:headerReference r:id="rId1" w:type="default"/>
      <w:headerReference r:id="rId2" w:type="first"/>
      <w:type w:val="nextPage"/>
      <w:pgSz w:h="11908" w:orient="landscape" w:w="16848"/>
      <w:pgMar w:bottom="1134" w:footer="0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8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4z0"/>
    <w:link w:val="Style_5_ch"/>
  </w:style>
  <w:style w:styleId="Style_5_ch" w:type="character">
    <w:name w:val="WW8Num4z0"/>
    <w:link w:val="Style_5"/>
  </w:style>
  <w:style w:styleId="Style_6" w:type="paragraph">
    <w:name w:val="Caption"/>
    <w:basedOn w:val="Style_2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2_ch"/>
    <w:link w:val="Style_6"/>
    <w:rPr>
      <w:rFonts w:ascii="PT Astra Serif" w:hAnsi="PT Astra Serif"/>
      <w:i w:val="1"/>
      <w:sz w:val="24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Body Text"/>
    <w:basedOn w:val="Style_2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2_ch"/>
    <w:link w:val="Style_3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ижний колонтитул Знак"/>
    <w:link w:val="Style_12_ch"/>
    <w:rPr>
      <w:sz w:val="24"/>
    </w:rPr>
  </w:style>
  <w:style w:styleId="Style_12_ch" w:type="character">
    <w:name w:val="Нижний колонтитул Знак"/>
    <w:link w:val="Style_12"/>
    <w:rPr>
      <w:sz w:val="24"/>
    </w:rPr>
  </w:style>
  <w:style w:styleId="Style_13" w:type="paragraph">
    <w:name w:val="Верхний колонтитул Знак"/>
    <w:link w:val="Style_13_ch"/>
    <w:rPr>
      <w:sz w:val="24"/>
    </w:rPr>
  </w:style>
  <w:style w:styleId="Style_13_ch" w:type="character">
    <w:name w:val="Верхний колонтитул Знак"/>
    <w:link w:val="Style_13"/>
    <w:rPr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Указатель"/>
    <w:basedOn w:val="Style_2"/>
    <w:link w:val="Style_15_ch"/>
    <w:rPr>
      <w:rFonts w:ascii="PT Astra Serif" w:hAnsi="PT Astra Serif"/>
    </w:rPr>
  </w:style>
  <w:style w:styleId="Style_15_ch" w:type="character">
    <w:name w:val="Указатель"/>
    <w:basedOn w:val="Style_2_ch"/>
    <w:link w:val="Style_15"/>
    <w:rPr>
      <w:rFonts w:ascii="PT Astra Serif" w:hAnsi="PT Astra Serif"/>
    </w:rPr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rFonts w:ascii="TimesET;Arial" w:hAnsi="TimesET;Arial"/>
      <w:b w:val="1"/>
      <w:sz w:val="28"/>
    </w:rPr>
  </w:style>
  <w:style w:styleId="Style_18_ch" w:type="character">
    <w:name w:val="heading 1"/>
    <w:basedOn w:val="Style_2_ch"/>
    <w:link w:val="Style_18"/>
    <w:rPr>
      <w:rFonts w:ascii="TimesET;Arial" w:hAnsi="TimesET;Arial"/>
      <w:b w:val="1"/>
      <w:sz w:val="28"/>
    </w:rPr>
  </w:style>
  <w:style w:styleId="Style_19" w:type="paragraph">
    <w:name w:val="WW8Num2z0"/>
    <w:link w:val="Style_19_ch"/>
  </w:style>
  <w:style w:styleId="Style_19_ch" w:type="character">
    <w:name w:val="WW8Num2z0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WW8Num1z0"/>
    <w:link w:val="Style_23_ch"/>
  </w:style>
  <w:style w:styleId="Style_23_ch" w:type="character">
    <w:name w:val="WW8Num1z0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Текст выноски"/>
    <w:basedOn w:val="Style_2"/>
    <w:link w:val="Style_25_ch"/>
    <w:rPr>
      <w:rFonts w:ascii="Tahoma" w:hAnsi="Tahoma"/>
      <w:sz w:val="16"/>
    </w:rPr>
  </w:style>
  <w:style w:styleId="Style_25_ch" w:type="character">
    <w:name w:val="Текст выноски"/>
    <w:basedOn w:val="Style_2_ch"/>
    <w:link w:val="Style_25"/>
    <w:rPr>
      <w:rFonts w:ascii="Tahoma" w:hAnsi="Tahoma"/>
      <w:sz w:val="16"/>
    </w:rPr>
  </w:style>
  <w:style w:styleId="Style_26" w:type="paragraph">
    <w:name w:val="List"/>
    <w:basedOn w:val="Style_3"/>
    <w:link w:val="Style_26_ch"/>
    <w:rPr>
      <w:rFonts w:ascii="PT Astra Serif" w:hAnsi="PT Astra Serif"/>
    </w:rPr>
  </w:style>
  <w:style w:styleId="Style_26_ch" w:type="character">
    <w:name w:val="List"/>
    <w:basedOn w:val="Style_3_ch"/>
    <w:link w:val="Style_26"/>
    <w:rPr>
      <w:rFonts w:ascii="PT Astra Serif" w:hAnsi="PT Astra Serif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Footer"/>
    <w:basedOn w:val="Style_2"/>
    <w:link w:val="Style_28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2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1"/>
      <w:ind/>
    </w:pPr>
    <w:rPr>
      <w:rFonts w:ascii="Times New Roman" w:hAnsi="Times New Roman"/>
      <w:color w:val="000000"/>
      <w:sz w:val="28"/>
    </w:rPr>
  </w:style>
  <w:style w:styleId="Style_30_ch" w:type="character">
    <w:name w:val="ConsPlusNormal"/>
    <w:link w:val="Style_30"/>
    <w:rPr>
      <w:rFonts w:ascii="Times New Roman" w:hAnsi="Times New Roman"/>
      <w:color w:val="000000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Колонтитул"/>
    <w:basedOn w:val="Style_2"/>
    <w:link w:val="Style_32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32_ch" w:type="character">
    <w:name w:val="Колонтитул"/>
    <w:basedOn w:val="Style_2_ch"/>
    <w:link w:val="Style_32"/>
  </w:style>
  <w:style w:styleId="Style_33" w:type="paragraph">
    <w:name w:val="Заголовок таблицы"/>
    <w:basedOn w:val="Style_3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34_ch"/>
    <w:link w:val="Style_33"/>
    <w:rPr>
      <w:b w:val="1"/>
    </w:rPr>
  </w:style>
  <w:style w:styleId="Style_35" w:type="paragraph">
    <w:name w:val="ConsPlusTitle"/>
    <w:link w:val="Style_35_ch"/>
    <w:pPr>
      <w:widowControl w:val="0"/>
      <w:ind/>
    </w:pPr>
    <w:rPr>
      <w:rFonts w:ascii="Times New Roman CYR" w:hAnsi="Times New Roman CYR"/>
      <w:b w:val="1"/>
      <w:color w:val="000000"/>
      <w:sz w:val="28"/>
    </w:rPr>
  </w:style>
  <w:style w:styleId="Style_35_ch" w:type="character">
    <w:name w:val="ConsPlusTitle"/>
    <w:link w:val="Style_35"/>
    <w:rPr>
      <w:rFonts w:ascii="Times New Roman CYR" w:hAnsi="Times New Roman CYR"/>
      <w:b w:val="1"/>
      <w:color w:val="000000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WW8Num3z0"/>
    <w:link w:val="Style_39_ch"/>
  </w:style>
  <w:style w:styleId="Style_39_ch" w:type="character">
    <w:name w:val="WW8Num3z0"/>
    <w:link w:val="Style_39"/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1" w:type="paragraph">
    <w:name w:val="Заголовок"/>
    <w:basedOn w:val="Style_2"/>
    <w:next w:val="Style_3"/>
    <w:link w:val="Style_4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1_ch" w:type="character">
    <w:name w:val="Заголовок"/>
    <w:basedOn w:val="Style_2_ch"/>
    <w:link w:val="Style_41"/>
    <w:rPr>
      <w:rFonts w:ascii="PT Astra Serif" w:hAnsi="PT Astra Serif"/>
      <w:sz w:val="28"/>
    </w:rPr>
  </w:style>
  <w:style w:styleId="Style_34" w:type="paragraph">
    <w:name w:val="Содержимое таблицы"/>
    <w:basedOn w:val="Style_2"/>
    <w:link w:val="Style_34_ch"/>
    <w:pPr>
      <w:widowControl w:val="0"/>
      <w:ind/>
    </w:pPr>
  </w:style>
  <w:style w:styleId="Style_34_ch" w:type="character">
    <w:name w:val="Содержимое таблицы"/>
    <w:basedOn w:val="Style_2_ch"/>
    <w:link w:val="Style_3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2024-12-28T04:50:05Z</dcterms:modified>
</cp:coreProperties>
</file>