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3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9"/>
        <w:gridCol w:w="1760"/>
        <w:gridCol w:w="4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Министерство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жилищно-коммунального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хозяйства и энергетики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Республики Саха (Якутия)</w:t>
            </w:r>
          </w:p>
        </w:tc>
        <w:tc>
          <w:tcPr>
            <w:tcW w:w="17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ge">
                    <wp:posOffset>3175</wp:posOffset>
                  </wp:positionV>
                  <wp:extent cx="734695" cy="752475"/>
                  <wp:effectExtent l="0" t="0" r="0" b="0"/>
                  <wp:wrapTopAndBottom/>
                  <wp:docPr id="1" name="Рисунок 2" descr="base_23801_60884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base_23801_60884_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Саха Өрөспүүбүлүкэтин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олорор дьиэҕэ, коммунальнай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хаhаайыстыбаҕа уонна энергетикэҕэ министиэристибэтэ</w:t>
            </w:r>
          </w:p>
        </w:tc>
      </w:tr>
    </w:tbl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ПРИКАЗ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bookmarkStart w:id="0" w:name="REGDATESTAMP"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_______________</w:t>
      </w:r>
      <w:bookmarkEnd w:id="0"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  <w:bookmarkStart w:id="1" w:name="REGNUMSTAMP"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                    № _____________</w:t>
      </w:r>
      <w:bookmarkEnd w:id="1"/>
    </w:p>
    <w:p>
      <w:pPr>
        <w:widowControl w:val="0"/>
        <w:overflowPunct w:val="0"/>
        <w:autoSpaceDE w:val="0"/>
        <w:autoSpaceDN w:val="0"/>
        <w:adjustRightInd w:val="0"/>
        <w:spacing w:before="120" w:beforeLines="50"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Якутск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keepNext w:val="0"/>
        <w:keepLines w:val="0"/>
        <w:pageBreakBefore w:val="0"/>
        <w:widowControl/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О внесении изменений в Порядок предоставления субсидии ГУП «Жилищно-коммунальное хозяйство Республики Саха (Якутия)» на возмещение процентов по привлеченным кредитам на строительство объекта «Полигон размещения твердых коммунальных отходов в городе Якутске», утвержденный приказом Министерства жилищно-коммунального хозяйства и энергетики Республики Саха (Якутия) от 20.08.2024 г. №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343-ОД</w:t>
      </w:r>
    </w:p>
    <w:p>
      <w:pPr>
        <w:keepNext w:val="0"/>
        <w:keepLines w:val="0"/>
        <w:pageBreakBefore w:val="0"/>
        <w:widowControl/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contextualSpacing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709"/>
        <w:contextualSpacing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соответствии с экспертным заключением Управления Министерства юстиции Российской Федерации по Республике Саха (Якутия) от 23.10.2024 №14/01-11/7486, постановлением П</w:t>
      </w:r>
      <w:bookmarkStart w:id="3" w:name="_GoBack"/>
      <w:bookmarkEnd w:id="3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, постановлением Правительства Российской Федерации от 16.11.2024 № 1573 «О внесении изменений в постановление Правительства Российской Федерации от 25 октября 2023 г. № 1782»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 р и к а з ы в а ю:</w:t>
      </w:r>
    </w:p>
    <w:p>
      <w:pPr>
        <w:keepNext w:val="0"/>
        <w:keepLines w:val="0"/>
        <w:pageBreakBefore w:val="0"/>
        <w:widowControl/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709"/>
        <w:contextualSpacing/>
        <w:jc w:val="both"/>
        <w:textAlignment w:val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Внести в Порядок предоставления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субсидии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ГУП «Жилищно-коммунальное хозяйство Республики Саха (Якутия)» на возмещение процентов по привлеченным кредитам на строительство объекта «Полигон размещения твердых коммунальных отходов в городе Якутске», утвержденный приказом Министерства жилищно-коммунального хозяйства и энергетики Республики Саха (Якутия) от 20.08.2024 г. №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343-ОД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следующие изменения:</w:t>
      </w:r>
    </w:p>
    <w:p>
      <w:pPr>
        <w:keepNext w:val="0"/>
        <w:keepLines w:val="0"/>
        <w:pageBreakBefore w:val="0"/>
        <w:widowControl/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709"/>
        <w:contextualSpacing/>
        <w:jc w:val="both"/>
        <w:textAlignment w:val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1.1. дополнить пункт 2.5. абзацем восьмым следующего содержания:</w:t>
      </w:r>
    </w:p>
    <w:p>
      <w:pPr>
        <w:keepNext w:val="0"/>
        <w:keepLines w:val="0"/>
        <w:pageBreakBefore w:val="0"/>
        <w:widowControl/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709"/>
        <w:contextualSpacing/>
        <w:jc w:val="both"/>
        <w:textAlignment w:val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«Срок предоставления Получателем перечня документов для подтверждения соответствия требованиям, указанных в пункте 2.5. настоящего Порядка не позднее 1 календарного дня со дня подачи Получателем заявления на предоставление субсидии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»;</w:t>
      </w:r>
    </w:p>
    <w:p>
      <w:pPr>
        <w:keepNext w:val="0"/>
        <w:keepLines w:val="0"/>
        <w:pageBreakBefore w:val="0"/>
        <w:widowControl/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709"/>
        <w:contextualSpacing/>
        <w:jc w:val="both"/>
        <w:textAlignment w:val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1.2. в пункте 2.6. слова «5 (трех)» заменить словами «3 (трех);</w:t>
      </w:r>
    </w:p>
    <w:p>
      <w:pPr>
        <w:keepNext w:val="0"/>
        <w:keepLines w:val="0"/>
        <w:pageBreakBefore w:val="0"/>
        <w:widowControl/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709"/>
        <w:contextualSpacing/>
        <w:jc w:val="both"/>
        <w:textAlignment w:val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1.3. в пункте 2.8. исключить абзац шестой;</w:t>
      </w:r>
    </w:p>
    <w:p>
      <w:pPr>
        <w:keepNext w:val="0"/>
        <w:keepLines w:val="0"/>
        <w:pageBreakBefore w:val="0"/>
        <w:widowControl/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709"/>
        <w:contextualSpacing/>
        <w:jc w:val="both"/>
        <w:textAlignment w:val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1.4. пункт 3.2. изложить в следующей редакции:</w:t>
      </w:r>
    </w:p>
    <w:p>
      <w:pPr>
        <w:keepNext w:val="0"/>
        <w:keepLines w:val="0"/>
        <w:pageBreakBefore w:val="0"/>
        <w:widowControl/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709"/>
        <w:contextualSpacing/>
        <w:jc w:val="both"/>
        <w:textAlignment w:val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«Министерство регистрирует представленный отчет в день поступления в журнале регистрации документов и в течение 10 (десяти) рабочих дней с момента представления Получателем субсидии отчетов о предоставленных субсидиях производит проверку и принятие отчетности.».</w:t>
      </w:r>
    </w:p>
    <w:p>
      <w:pPr>
        <w:keepNext w:val="0"/>
        <w:keepLines w:val="0"/>
        <w:pageBreakBefore w:val="0"/>
        <w:widowControl/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709"/>
        <w:contextualSpacing/>
        <w:jc w:val="both"/>
        <w:textAlignment w:val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1.5.пункт 3.3. изложить в следующей редакции:</w:t>
      </w:r>
    </w:p>
    <w:p>
      <w:pPr>
        <w:keepNext w:val="0"/>
        <w:keepLines w:val="0"/>
        <w:pageBreakBefore w:val="0"/>
        <w:widowControl/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709"/>
        <w:contextualSpacing/>
        <w:jc w:val="both"/>
        <w:textAlignment w:val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«В случае непринятия отчетности, предоставленной Получателем субсидии, Министерство направляет уведомление Получателю субсидии в течение 5 (пяти) рабочих дней с момента окончания срока проверки. Получатель субсидии со дня получения уведомления в срок не позднее 5 (пяти) рабочих дней направляет в Министерство исправленный отчет о достижении результатов предоставления субсидий.</w:t>
      </w:r>
    </w:p>
    <w:p>
      <w:pPr>
        <w:keepNext w:val="0"/>
        <w:keepLines w:val="0"/>
        <w:pageBreakBefore w:val="0"/>
        <w:widowControl/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709"/>
        <w:contextualSpacing/>
        <w:jc w:val="both"/>
        <w:textAlignment w:val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В случае принятия отчетности, предоставленной Получателем субсидии, уведомление не направляется.».</w:t>
      </w:r>
    </w:p>
    <w:p>
      <w:pPr>
        <w:keepNext w:val="0"/>
        <w:keepLines w:val="0"/>
        <w:pageBreakBefore w:val="0"/>
        <w:widowControl/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709"/>
        <w:contextualSpacing/>
        <w:jc w:val="both"/>
        <w:textAlignment w:val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1.6. пункт 3.4. исключить.</w:t>
      </w:r>
    </w:p>
    <w:p>
      <w:pPr>
        <w:keepNext w:val="0"/>
        <w:keepLines w:val="0"/>
        <w:pageBreakBefore w:val="0"/>
        <w:widowControl/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709"/>
        <w:contextualSpacing/>
        <w:jc w:val="both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lang w:val="en-US" w:eastAsia="ru-RU"/>
        </w:rPr>
        <w:t xml:space="preserve">1.7.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пункт 2.1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0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изложить в следующей редакции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708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en-US" w:eastAsia="zh-CN" w:bidi="ar"/>
        </w:rPr>
        <w:t>«</w:t>
      </w:r>
      <w:r>
        <w:rPr>
          <w:rFonts w:ascii="Times New Roman" w:hAnsi="Times New Roman" w:cs="Times New Roman"/>
          <w:sz w:val="28"/>
          <w:szCs w:val="28"/>
          <w:highlight w:val="none"/>
        </w:rPr>
        <w:t>Министерство в течение 2 (двух) рабочих дней со дня принятия решения о предоставлении субсидии подписывает с Получателем соглашение о предоставлении субсидии из государственного бюджета Республики Саха (Якутия)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, дополнительное соглашение к Соглашению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соответствии с типовой формой, установленной Министерством финансов Республики Саха (Якутия).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708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1.8. общие положения дополнить пунктом следующего содержания: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708"/>
        <w:contextualSpacing/>
        <w:jc w:val="both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ru-RU" w:eastAsia="zh-CN" w:bidi="ar"/>
        </w:rPr>
        <w:t>«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en-US" w:eastAsia="zh-CN" w:bidi="ar"/>
        </w:rPr>
        <w:t>Соглашения о предоставлении субсидий из бюджета субъекта Российской Федерации, дополнительные соглашения к соглашению о предоставлении субсидий из бюджета субъекта Российской Федерации (при наличии технической возможности) в соответствии с типовыми формами, установленными Министерством финансов Российской Федерации с 01.01.2025 года заключаются в государственной интегрированной информационной системе управления общественными финансами «Электронный бюджет».</w:t>
      </w:r>
    </w:p>
    <w:p>
      <w:pPr>
        <w:keepNext w:val="0"/>
        <w:keepLines w:val="0"/>
        <w:pageBreakBefore w:val="0"/>
        <w:widowControl/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709"/>
        <w:contextualSpacing/>
        <w:jc w:val="both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1.9. пункт 2.12 дополнить абзацем следующего содержания:</w:t>
      </w:r>
    </w:p>
    <w:p>
      <w:pPr>
        <w:keepNext w:val="0"/>
        <w:keepLines w:val="0"/>
        <w:pageBreakBefore w:val="0"/>
        <w:widowControl/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709"/>
        <w:contextualSpacing/>
        <w:jc w:val="both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ru-RU" w:eastAsia="zh-CN" w:bidi="ar"/>
        </w:rPr>
        <w:t>«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Результат предоставления субсидии, под которым понимается результат деятельности (действий) Получателя, результат деятельности (действий) иного лица, - в случае последующего предоставления Получателем средств, источником финансового обеспечения которых является субсидия, иным лицам, а также при необходимости характеристика (характеристики) результата предоставления субсидии (дополнительные количественные параметры, которым должен соответствовать результат предоставления субсидии).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Результат предоставления субсидии должен быть конкретным, измеримым, соответствовать целям предоставления субсидии,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ru-RU" w:eastAsia="zh-CN" w:bidi="ar"/>
        </w:rPr>
        <w:t>»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.</w:t>
      </w:r>
    </w:p>
    <w:p>
      <w:pPr>
        <w:keepNext w:val="0"/>
        <w:keepLines w:val="0"/>
        <w:pageBreakBefore w:val="0"/>
        <w:widowControl/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709"/>
        <w:contextualSpacing/>
        <w:jc w:val="both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1.10. в пункте 2.13 после слов «субсидии» дополнить словами «по результатам рассмотрения и проверки документов, подтверждающих фактически произведенные затраты (недополученные доходы)».</w:t>
      </w:r>
    </w:p>
    <w:p>
      <w:pPr>
        <w:keepNext w:val="0"/>
        <w:keepLines w:val="0"/>
        <w:pageBreakBefore w:val="0"/>
        <w:widowControl/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709"/>
        <w:contextualSpacing/>
        <w:jc w:val="both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1.11. подпункт «в» пункта 2.11. изложить в следующей редакции:</w:t>
      </w:r>
    </w:p>
    <w:p>
      <w:pPr>
        <w:keepNext w:val="0"/>
        <w:keepLines w:val="0"/>
        <w:pageBreakBefore w:val="0"/>
        <w:widowControl/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709"/>
        <w:contextualSpacing/>
        <w:jc w:val="both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«</w:t>
      </w:r>
      <w:r>
        <w:rPr>
          <w:rFonts w:ascii="Times New Roman" w:hAnsi="Times New Roman" w:cs="Times New Roman"/>
          <w:sz w:val="28"/>
          <w:szCs w:val="28"/>
          <w:highlight w:val="none"/>
        </w:rPr>
        <w:t>при реорганизации Получателя, являющегося юридическим лицом, в форме разделения, выделения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(за исключением случая, указанного в подпункте «г» пункта 2.11. настоящего Порядка)</w:t>
      </w:r>
      <w:r>
        <w:rPr>
          <w:rFonts w:ascii="Times New Roman" w:hAnsi="Times New Roman" w:cs="Times New Roman"/>
          <w:sz w:val="28"/>
          <w:szCs w:val="28"/>
          <w:highlight w:val="none"/>
        </w:rPr>
        <w:t>, а также при ликвидации Получателя,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;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ru-RU" w:eastAsia="zh-CN" w:bidi="ar"/>
        </w:rPr>
        <w:t>»</w:t>
      </w:r>
    </w:p>
    <w:p>
      <w:pPr>
        <w:keepNext w:val="0"/>
        <w:keepLines w:val="0"/>
        <w:pageBreakBefore w:val="0"/>
        <w:widowControl/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709"/>
        <w:contextualSpacing/>
        <w:jc w:val="both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ru-RU" w:eastAsia="zh-CN" w:bidi="ar"/>
        </w:rPr>
        <w:t>1.12. пункт 2.11. дополнить абзацем следующего содержания: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708"/>
        <w:contextualSpacing/>
        <w:jc w:val="both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ru-RU" w:eastAsia="zh-CN" w:bidi="ar"/>
        </w:rPr>
        <w:t>«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ри реорганизации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zh-CN"/>
        </w:rPr>
        <w:t>П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олучателя,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 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instrText xml:space="preserve"> HYPERLINK "https://internet.garant.ru/" \l "/document/404993267/entry/8" </w:instrTex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статьей 8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 Федерального закона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zh-CN"/>
        </w:rPr>
        <w:t>«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zh-CN"/>
        </w:rPr>
        <w:t>«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О государственной тайне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zh-CN"/>
        </w:rPr>
        <w:t>»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 годах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zh-CN"/>
        </w:rPr>
        <w:t>»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обязательства по соглашению исполняются получателем субсидии, в случае если по результатам такой реорганизации права и обязанности по соглашению сохраняются за получателем субсидии.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ru-RU" w:eastAsia="zh-CN" w:bidi="ar"/>
        </w:rPr>
        <w:t>»</w:t>
      </w:r>
    </w:p>
    <w:p>
      <w:pPr>
        <w:keepNext w:val="0"/>
        <w:keepLines w:val="0"/>
        <w:pageBreakBefore w:val="0"/>
        <w:widowControl/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709"/>
        <w:contextualSpacing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Департаменту коммунального комплекса и государственной службы (Кирсанов А.Е.)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течение 3-х рабочих дней направить утвержденный приказ в Государственный комитет юстиции Республики Саха (Якутия) для государственной регистрации и официального опубликования интернет-портале правовой информации.</w:t>
      </w:r>
    </w:p>
    <w:p>
      <w:pPr>
        <w:keepNext w:val="0"/>
        <w:keepLines w:val="0"/>
        <w:pageBreakBefore w:val="0"/>
        <w:widowControl/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709"/>
        <w:contextualSpacing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 Контроль исполнения настоящего приказа возложить на первого заместителя министра жилищно-коммунального хозяйства и энергетики Республики Саха (Якутия) Кириллина А.В.</w:t>
      </w:r>
    </w:p>
    <w:p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7"/>
        <w:tblW w:w="9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686"/>
        <w:gridCol w:w="2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18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Министр ЖКХ и энергетики </w:t>
            </w:r>
          </w:p>
          <w:p>
            <w:pPr>
              <w:spacing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РС (Я)</w:t>
            </w:r>
          </w:p>
        </w:tc>
        <w:tc>
          <w:tcPr>
            <w:tcW w:w="3686" w:type="dxa"/>
          </w:tcPr>
          <w:p>
            <w:pPr>
              <w:spacing w:after="1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2" w:name="SIGNERSTAMP1"/>
            <w:bookmarkEnd w:id="2"/>
          </w:p>
        </w:tc>
        <w:tc>
          <w:tcPr>
            <w:tcW w:w="2896" w:type="dxa"/>
          </w:tcPr>
          <w:p>
            <w:pPr>
              <w:wordWrap/>
              <w:spacing w:after="16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.П. Емельянов</w:t>
            </w:r>
          </w:p>
        </w:tc>
      </w:tr>
    </w:tbl>
    <w:p>
      <w:pPr>
        <w:spacing w:after="0" w:line="240" w:lineRule="auto"/>
      </w:pPr>
    </w:p>
    <w:sectPr>
      <w:pgSz w:w="11906" w:h="16838"/>
      <w:pgMar w:top="993" w:right="707" w:bottom="709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Tahoma">
    <w:panose1 w:val="020B0604030504040204"/>
    <w:charset w:val="CC"/>
    <w:family w:val="swiss"/>
    <w:pitch w:val="default"/>
    <w:sig w:usb0="800022EF" w:usb1="C000205A" w:usb2="00000008" w:usb3="00000000" w:csb0="20000057" w:csb1="0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57"/>
    <w:rsid w:val="00021288"/>
    <w:rsid w:val="0002270D"/>
    <w:rsid w:val="0002464C"/>
    <w:rsid w:val="00033D60"/>
    <w:rsid w:val="00040965"/>
    <w:rsid w:val="00042573"/>
    <w:rsid w:val="0004276E"/>
    <w:rsid w:val="00043A31"/>
    <w:rsid w:val="00043EB3"/>
    <w:rsid w:val="00046C49"/>
    <w:rsid w:val="00052BA2"/>
    <w:rsid w:val="00054B29"/>
    <w:rsid w:val="000620CB"/>
    <w:rsid w:val="00063A12"/>
    <w:rsid w:val="00065D8B"/>
    <w:rsid w:val="000818E3"/>
    <w:rsid w:val="00086140"/>
    <w:rsid w:val="00086A2D"/>
    <w:rsid w:val="00090EB3"/>
    <w:rsid w:val="00091866"/>
    <w:rsid w:val="0009297E"/>
    <w:rsid w:val="000929BE"/>
    <w:rsid w:val="0009511F"/>
    <w:rsid w:val="000A5E00"/>
    <w:rsid w:val="000A7F87"/>
    <w:rsid w:val="000B1C64"/>
    <w:rsid w:val="000B4264"/>
    <w:rsid w:val="000C0FCF"/>
    <w:rsid w:val="000D15F3"/>
    <w:rsid w:val="000D2B18"/>
    <w:rsid w:val="000D5559"/>
    <w:rsid w:val="000E398F"/>
    <w:rsid w:val="000F4F8F"/>
    <w:rsid w:val="00102236"/>
    <w:rsid w:val="0010630F"/>
    <w:rsid w:val="00123850"/>
    <w:rsid w:val="00125F94"/>
    <w:rsid w:val="0015032D"/>
    <w:rsid w:val="00154FE8"/>
    <w:rsid w:val="00163E29"/>
    <w:rsid w:val="001656B4"/>
    <w:rsid w:val="001813C1"/>
    <w:rsid w:val="00181992"/>
    <w:rsid w:val="00184113"/>
    <w:rsid w:val="001918C4"/>
    <w:rsid w:val="00194B1C"/>
    <w:rsid w:val="001A1C54"/>
    <w:rsid w:val="001B55BF"/>
    <w:rsid w:val="001B55FE"/>
    <w:rsid w:val="001C085E"/>
    <w:rsid w:val="001C422F"/>
    <w:rsid w:val="001C7F3F"/>
    <w:rsid w:val="001D2139"/>
    <w:rsid w:val="001E4317"/>
    <w:rsid w:val="001F017C"/>
    <w:rsid w:val="00201ACF"/>
    <w:rsid w:val="0020317E"/>
    <w:rsid w:val="00203811"/>
    <w:rsid w:val="00204C88"/>
    <w:rsid w:val="00210EB7"/>
    <w:rsid w:val="00214A8D"/>
    <w:rsid w:val="00216E3C"/>
    <w:rsid w:val="0021745E"/>
    <w:rsid w:val="0022150D"/>
    <w:rsid w:val="002271FC"/>
    <w:rsid w:val="00237D13"/>
    <w:rsid w:val="002409E5"/>
    <w:rsid w:val="00240C9A"/>
    <w:rsid w:val="002436CB"/>
    <w:rsid w:val="00256128"/>
    <w:rsid w:val="00257EA0"/>
    <w:rsid w:val="002613C9"/>
    <w:rsid w:val="0026637F"/>
    <w:rsid w:val="00274B53"/>
    <w:rsid w:val="00274C02"/>
    <w:rsid w:val="00276074"/>
    <w:rsid w:val="00277B94"/>
    <w:rsid w:val="00292C45"/>
    <w:rsid w:val="002A28E8"/>
    <w:rsid w:val="002B04F5"/>
    <w:rsid w:val="002B0892"/>
    <w:rsid w:val="002B4FFF"/>
    <w:rsid w:val="002C1914"/>
    <w:rsid w:val="002F0691"/>
    <w:rsid w:val="002F06CA"/>
    <w:rsid w:val="002F4ABC"/>
    <w:rsid w:val="0030102E"/>
    <w:rsid w:val="00306418"/>
    <w:rsid w:val="00306D41"/>
    <w:rsid w:val="003104AE"/>
    <w:rsid w:val="0031713D"/>
    <w:rsid w:val="00317B1F"/>
    <w:rsid w:val="003247E2"/>
    <w:rsid w:val="00332A10"/>
    <w:rsid w:val="00337B5B"/>
    <w:rsid w:val="00340D09"/>
    <w:rsid w:val="00353FA1"/>
    <w:rsid w:val="00360323"/>
    <w:rsid w:val="00371AC3"/>
    <w:rsid w:val="003734A0"/>
    <w:rsid w:val="00376BF7"/>
    <w:rsid w:val="0038118F"/>
    <w:rsid w:val="0038500E"/>
    <w:rsid w:val="003A17C1"/>
    <w:rsid w:val="003A3A99"/>
    <w:rsid w:val="003A4127"/>
    <w:rsid w:val="003C025A"/>
    <w:rsid w:val="003C412E"/>
    <w:rsid w:val="003C5060"/>
    <w:rsid w:val="003E108B"/>
    <w:rsid w:val="003E6384"/>
    <w:rsid w:val="003E68A9"/>
    <w:rsid w:val="003E6ED4"/>
    <w:rsid w:val="003F00F3"/>
    <w:rsid w:val="003F297B"/>
    <w:rsid w:val="00401559"/>
    <w:rsid w:val="00403FBF"/>
    <w:rsid w:val="004040AA"/>
    <w:rsid w:val="00406F1A"/>
    <w:rsid w:val="00416615"/>
    <w:rsid w:val="00430187"/>
    <w:rsid w:val="004411C6"/>
    <w:rsid w:val="004415A7"/>
    <w:rsid w:val="0044362C"/>
    <w:rsid w:val="004524E5"/>
    <w:rsid w:val="004601DD"/>
    <w:rsid w:val="0046409A"/>
    <w:rsid w:val="00472496"/>
    <w:rsid w:val="004777DA"/>
    <w:rsid w:val="00480DC9"/>
    <w:rsid w:val="00485B20"/>
    <w:rsid w:val="004A0DCA"/>
    <w:rsid w:val="004A5B8A"/>
    <w:rsid w:val="004A7BC0"/>
    <w:rsid w:val="004B3825"/>
    <w:rsid w:val="004B3EDD"/>
    <w:rsid w:val="004C0977"/>
    <w:rsid w:val="004C7FB6"/>
    <w:rsid w:val="004D5839"/>
    <w:rsid w:val="004F62D9"/>
    <w:rsid w:val="00511A1A"/>
    <w:rsid w:val="005223B6"/>
    <w:rsid w:val="00534CE1"/>
    <w:rsid w:val="00537475"/>
    <w:rsid w:val="00537FE6"/>
    <w:rsid w:val="005428CE"/>
    <w:rsid w:val="005440EB"/>
    <w:rsid w:val="00552E5A"/>
    <w:rsid w:val="005576D8"/>
    <w:rsid w:val="0056213E"/>
    <w:rsid w:val="005924E6"/>
    <w:rsid w:val="00597339"/>
    <w:rsid w:val="005A2AA6"/>
    <w:rsid w:val="005B3D85"/>
    <w:rsid w:val="005D3EAA"/>
    <w:rsid w:val="005D7BB7"/>
    <w:rsid w:val="005E39A2"/>
    <w:rsid w:val="005E507F"/>
    <w:rsid w:val="005E5324"/>
    <w:rsid w:val="005E7B49"/>
    <w:rsid w:val="00600BB1"/>
    <w:rsid w:val="00600C36"/>
    <w:rsid w:val="006047A4"/>
    <w:rsid w:val="0061036B"/>
    <w:rsid w:val="0062209B"/>
    <w:rsid w:val="006304DD"/>
    <w:rsid w:val="00631A47"/>
    <w:rsid w:val="00636974"/>
    <w:rsid w:val="00637DF6"/>
    <w:rsid w:val="00641494"/>
    <w:rsid w:val="0065125A"/>
    <w:rsid w:val="006528F3"/>
    <w:rsid w:val="006553BE"/>
    <w:rsid w:val="006677EB"/>
    <w:rsid w:val="006827E0"/>
    <w:rsid w:val="00684499"/>
    <w:rsid w:val="006848F1"/>
    <w:rsid w:val="00685090"/>
    <w:rsid w:val="006907E0"/>
    <w:rsid w:val="00694604"/>
    <w:rsid w:val="006A240E"/>
    <w:rsid w:val="006A376E"/>
    <w:rsid w:val="006A5015"/>
    <w:rsid w:val="006A72DC"/>
    <w:rsid w:val="006B051F"/>
    <w:rsid w:val="006B0EE2"/>
    <w:rsid w:val="006C1875"/>
    <w:rsid w:val="006D3094"/>
    <w:rsid w:val="006D4407"/>
    <w:rsid w:val="006E1254"/>
    <w:rsid w:val="006E51FF"/>
    <w:rsid w:val="006F09A0"/>
    <w:rsid w:val="006F32CE"/>
    <w:rsid w:val="006F71D5"/>
    <w:rsid w:val="006F7AD6"/>
    <w:rsid w:val="00701EF8"/>
    <w:rsid w:val="0072304E"/>
    <w:rsid w:val="0072774E"/>
    <w:rsid w:val="00741BBD"/>
    <w:rsid w:val="007600C3"/>
    <w:rsid w:val="00763334"/>
    <w:rsid w:val="0076482F"/>
    <w:rsid w:val="0076562D"/>
    <w:rsid w:val="0077361C"/>
    <w:rsid w:val="00776473"/>
    <w:rsid w:val="0077650C"/>
    <w:rsid w:val="007773AE"/>
    <w:rsid w:val="007829D6"/>
    <w:rsid w:val="00786D8B"/>
    <w:rsid w:val="00796325"/>
    <w:rsid w:val="007A29CF"/>
    <w:rsid w:val="007B0595"/>
    <w:rsid w:val="007B433F"/>
    <w:rsid w:val="007B5CE6"/>
    <w:rsid w:val="007C0B80"/>
    <w:rsid w:val="007C2F5E"/>
    <w:rsid w:val="007C7874"/>
    <w:rsid w:val="007D1ADD"/>
    <w:rsid w:val="007D777E"/>
    <w:rsid w:val="007E52F8"/>
    <w:rsid w:val="007F1CD4"/>
    <w:rsid w:val="007F3E24"/>
    <w:rsid w:val="007F5933"/>
    <w:rsid w:val="00811504"/>
    <w:rsid w:val="00813317"/>
    <w:rsid w:val="008148DE"/>
    <w:rsid w:val="00816A4B"/>
    <w:rsid w:val="00827DBF"/>
    <w:rsid w:val="00834741"/>
    <w:rsid w:val="00834E52"/>
    <w:rsid w:val="0084316A"/>
    <w:rsid w:val="00844CA7"/>
    <w:rsid w:val="0084654E"/>
    <w:rsid w:val="00857B42"/>
    <w:rsid w:val="00860B9E"/>
    <w:rsid w:val="008616FE"/>
    <w:rsid w:val="0087147D"/>
    <w:rsid w:val="00873538"/>
    <w:rsid w:val="00873B66"/>
    <w:rsid w:val="00874E83"/>
    <w:rsid w:val="00885EA4"/>
    <w:rsid w:val="0089065E"/>
    <w:rsid w:val="00893E12"/>
    <w:rsid w:val="008A09FF"/>
    <w:rsid w:val="008A0A1A"/>
    <w:rsid w:val="008A25E4"/>
    <w:rsid w:val="008A5583"/>
    <w:rsid w:val="008B26B1"/>
    <w:rsid w:val="008B4672"/>
    <w:rsid w:val="008B54F7"/>
    <w:rsid w:val="008B5799"/>
    <w:rsid w:val="008C4071"/>
    <w:rsid w:val="008C6C56"/>
    <w:rsid w:val="008D1CC1"/>
    <w:rsid w:val="008E7A37"/>
    <w:rsid w:val="008F08D8"/>
    <w:rsid w:val="008F124D"/>
    <w:rsid w:val="008F1813"/>
    <w:rsid w:val="008F2300"/>
    <w:rsid w:val="008F2AB4"/>
    <w:rsid w:val="008F3767"/>
    <w:rsid w:val="008F3BE7"/>
    <w:rsid w:val="008F4D10"/>
    <w:rsid w:val="00906C5A"/>
    <w:rsid w:val="00927C44"/>
    <w:rsid w:val="009346E1"/>
    <w:rsid w:val="00946698"/>
    <w:rsid w:val="0095059A"/>
    <w:rsid w:val="0095297F"/>
    <w:rsid w:val="00960E91"/>
    <w:rsid w:val="00965840"/>
    <w:rsid w:val="00965DB0"/>
    <w:rsid w:val="00987706"/>
    <w:rsid w:val="00992957"/>
    <w:rsid w:val="009953EB"/>
    <w:rsid w:val="009A0D1C"/>
    <w:rsid w:val="009A3272"/>
    <w:rsid w:val="009A40F3"/>
    <w:rsid w:val="009B0F78"/>
    <w:rsid w:val="009B2891"/>
    <w:rsid w:val="009C1141"/>
    <w:rsid w:val="009E1CFD"/>
    <w:rsid w:val="009E62C6"/>
    <w:rsid w:val="009F0A26"/>
    <w:rsid w:val="009F2316"/>
    <w:rsid w:val="009F2394"/>
    <w:rsid w:val="009F24CE"/>
    <w:rsid w:val="00A12362"/>
    <w:rsid w:val="00A2418F"/>
    <w:rsid w:val="00A2653E"/>
    <w:rsid w:val="00A32B22"/>
    <w:rsid w:val="00A35BA3"/>
    <w:rsid w:val="00A36541"/>
    <w:rsid w:val="00A40F74"/>
    <w:rsid w:val="00A42C88"/>
    <w:rsid w:val="00A503B5"/>
    <w:rsid w:val="00A50B0C"/>
    <w:rsid w:val="00A57178"/>
    <w:rsid w:val="00A61394"/>
    <w:rsid w:val="00A62839"/>
    <w:rsid w:val="00A63BB1"/>
    <w:rsid w:val="00A74A27"/>
    <w:rsid w:val="00A750BD"/>
    <w:rsid w:val="00A97CCD"/>
    <w:rsid w:val="00AA03BA"/>
    <w:rsid w:val="00AA34AC"/>
    <w:rsid w:val="00AA5589"/>
    <w:rsid w:val="00AC2F97"/>
    <w:rsid w:val="00AD0E96"/>
    <w:rsid w:val="00AD22EE"/>
    <w:rsid w:val="00AE135D"/>
    <w:rsid w:val="00B12940"/>
    <w:rsid w:val="00B2676E"/>
    <w:rsid w:val="00B318B8"/>
    <w:rsid w:val="00B33801"/>
    <w:rsid w:val="00B354AE"/>
    <w:rsid w:val="00B369F0"/>
    <w:rsid w:val="00B42402"/>
    <w:rsid w:val="00B42E34"/>
    <w:rsid w:val="00B60325"/>
    <w:rsid w:val="00B6245D"/>
    <w:rsid w:val="00B6353B"/>
    <w:rsid w:val="00B65467"/>
    <w:rsid w:val="00B72A19"/>
    <w:rsid w:val="00B756AB"/>
    <w:rsid w:val="00B83A58"/>
    <w:rsid w:val="00BA658D"/>
    <w:rsid w:val="00BB101A"/>
    <w:rsid w:val="00BB5CD9"/>
    <w:rsid w:val="00BB7F8C"/>
    <w:rsid w:val="00BC7A64"/>
    <w:rsid w:val="00BD337E"/>
    <w:rsid w:val="00BD6F6A"/>
    <w:rsid w:val="00BE0F1A"/>
    <w:rsid w:val="00BE15D8"/>
    <w:rsid w:val="00BF050A"/>
    <w:rsid w:val="00C04490"/>
    <w:rsid w:val="00C053E3"/>
    <w:rsid w:val="00C05B1F"/>
    <w:rsid w:val="00C05D66"/>
    <w:rsid w:val="00C07AF3"/>
    <w:rsid w:val="00C10863"/>
    <w:rsid w:val="00C11AE4"/>
    <w:rsid w:val="00C2028B"/>
    <w:rsid w:val="00C226A6"/>
    <w:rsid w:val="00C24CA7"/>
    <w:rsid w:val="00C24E57"/>
    <w:rsid w:val="00C331C2"/>
    <w:rsid w:val="00C36991"/>
    <w:rsid w:val="00C4099E"/>
    <w:rsid w:val="00C46097"/>
    <w:rsid w:val="00C53A0F"/>
    <w:rsid w:val="00C60043"/>
    <w:rsid w:val="00C6208F"/>
    <w:rsid w:val="00C65D20"/>
    <w:rsid w:val="00C704AB"/>
    <w:rsid w:val="00C74151"/>
    <w:rsid w:val="00C77240"/>
    <w:rsid w:val="00C8625E"/>
    <w:rsid w:val="00C86EE7"/>
    <w:rsid w:val="00C94F60"/>
    <w:rsid w:val="00C965DF"/>
    <w:rsid w:val="00CA2DAB"/>
    <w:rsid w:val="00CA6BBD"/>
    <w:rsid w:val="00CB1B4D"/>
    <w:rsid w:val="00CB6254"/>
    <w:rsid w:val="00CC0688"/>
    <w:rsid w:val="00CD5214"/>
    <w:rsid w:val="00CE29C9"/>
    <w:rsid w:val="00CE6078"/>
    <w:rsid w:val="00CE7262"/>
    <w:rsid w:val="00CF0033"/>
    <w:rsid w:val="00CF0B60"/>
    <w:rsid w:val="00CF11C5"/>
    <w:rsid w:val="00CF1ACD"/>
    <w:rsid w:val="00CF249B"/>
    <w:rsid w:val="00CF58ED"/>
    <w:rsid w:val="00D04E9F"/>
    <w:rsid w:val="00D21329"/>
    <w:rsid w:val="00D26AC7"/>
    <w:rsid w:val="00D43CC9"/>
    <w:rsid w:val="00D45A26"/>
    <w:rsid w:val="00D47ACA"/>
    <w:rsid w:val="00D52161"/>
    <w:rsid w:val="00D62933"/>
    <w:rsid w:val="00D646A1"/>
    <w:rsid w:val="00D76612"/>
    <w:rsid w:val="00D85A70"/>
    <w:rsid w:val="00D861F5"/>
    <w:rsid w:val="00D918AB"/>
    <w:rsid w:val="00D94CDC"/>
    <w:rsid w:val="00DA0C5B"/>
    <w:rsid w:val="00DA4E31"/>
    <w:rsid w:val="00DA7435"/>
    <w:rsid w:val="00DB4417"/>
    <w:rsid w:val="00DB5A8E"/>
    <w:rsid w:val="00DB7EA6"/>
    <w:rsid w:val="00DC2144"/>
    <w:rsid w:val="00DC542A"/>
    <w:rsid w:val="00DD6F3A"/>
    <w:rsid w:val="00DD708D"/>
    <w:rsid w:val="00DE6F31"/>
    <w:rsid w:val="00DF5C85"/>
    <w:rsid w:val="00DF5D37"/>
    <w:rsid w:val="00E071F5"/>
    <w:rsid w:val="00E14267"/>
    <w:rsid w:val="00E14B32"/>
    <w:rsid w:val="00E30ED6"/>
    <w:rsid w:val="00E370A1"/>
    <w:rsid w:val="00E438A5"/>
    <w:rsid w:val="00E53BA8"/>
    <w:rsid w:val="00E579F8"/>
    <w:rsid w:val="00E63167"/>
    <w:rsid w:val="00E72560"/>
    <w:rsid w:val="00E75ADE"/>
    <w:rsid w:val="00E774AA"/>
    <w:rsid w:val="00E81381"/>
    <w:rsid w:val="00E82957"/>
    <w:rsid w:val="00E94DEF"/>
    <w:rsid w:val="00EA1A02"/>
    <w:rsid w:val="00EC4316"/>
    <w:rsid w:val="00EC573E"/>
    <w:rsid w:val="00EC6773"/>
    <w:rsid w:val="00ED1744"/>
    <w:rsid w:val="00ED19D9"/>
    <w:rsid w:val="00EE31E7"/>
    <w:rsid w:val="00EF1457"/>
    <w:rsid w:val="00EF2BEF"/>
    <w:rsid w:val="00EF55E0"/>
    <w:rsid w:val="00F04F5B"/>
    <w:rsid w:val="00F11EC9"/>
    <w:rsid w:val="00F172B0"/>
    <w:rsid w:val="00F245F1"/>
    <w:rsid w:val="00F25544"/>
    <w:rsid w:val="00F44098"/>
    <w:rsid w:val="00F453C1"/>
    <w:rsid w:val="00F45E16"/>
    <w:rsid w:val="00F52DFA"/>
    <w:rsid w:val="00F54663"/>
    <w:rsid w:val="00F564C5"/>
    <w:rsid w:val="00F60AA2"/>
    <w:rsid w:val="00F62089"/>
    <w:rsid w:val="00F62316"/>
    <w:rsid w:val="00F63542"/>
    <w:rsid w:val="00F67FB0"/>
    <w:rsid w:val="00F721F6"/>
    <w:rsid w:val="00F805AF"/>
    <w:rsid w:val="00F87628"/>
    <w:rsid w:val="00F970B7"/>
    <w:rsid w:val="00FB05A1"/>
    <w:rsid w:val="00FB2E56"/>
    <w:rsid w:val="00FB4C3F"/>
    <w:rsid w:val="00FC34D1"/>
    <w:rsid w:val="00FD0E36"/>
    <w:rsid w:val="00FD5621"/>
    <w:rsid w:val="00FE596D"/>
    <w:rsid w:val="00FF5562"/>
    <w:rsid w:val="1EFBA521"/>
    <w:rsid w:val="24EB0BB4"/>
    <w:rsid w:val="29D94CE0"/>
    <w:rsid w:val="2EEE5F3C"/>
    <w:rsid w:val="3D7F4823"/>
    <w:rsid w:val="3DE7B9C7"/>
    <w:rsid w:val="3E1FA57A"/>
    <w:rsid w:val="3F6F1BD8"/>
    <w:rsid w:val="3FD7B49B"/>
    <w:rsid w:val="4F5F1474"/>
    <w:rsid w:val="5329FA65"/>
    <w:rsid w:val="53AB2EA1"/>
    <w:rsid w:val="53EDD684"/>
    <w:rsid w:val="54F35601"/>
    <w:rsid w:val="5B5791B8"/>
    <w:rsid w:val="5B7F4EA9"/>
    <w:rsid w:val="5F7E4451"/>
    <w:rsid w:val="5FACE632"/>
    <w:rsid w:val="5FFB7D3B"/>
    <w:rsid w:val="5FFE2879"/>
    <w:rsid w:val="6B731940"/>
    <w:rsid w:val="6BB3C8B6"/>
    <w:rsid w:val="6DBC8762"/>
    <w:rsid w:val="6DEB9B94"/>
    <w:rsid w:val="6DF6C880"/>
    <w:rsid w:val="6EDF4328"/>
    <w:rsid w:val="6FD311BE"/>
    <w:rsid w:val="6FFEBFEA"/>
    <w:rsid w:val="778FCCAF"/>
    <w:rsid w:val="78FF49F9"/>
    <w:rsid w:val="79C6709E"/>
    <w:rsid w:val="7BBB0472"/>
    <w:rsid w:val="7BFFCD91"/>
    <w:rsid w:val="7CAEFA18"/>
    <w:rsid w:val="7DDFC7D5"/>
    <w:rsid w:val="7DFA0BC9"/>
    <w:rsid w:val="7F5D0C0E"/>
    <w:rsid w:val="7F9FACE8"/>
    <w:rsid w:val="7FB55437"/>
    <w:rsid w:val="7FB7C05C"/>
    <w:rsid w:val="7FFD205D"/>
    <w:rsid w:val="7FFFD618"/>
    <w:rsid w:val="83F797E2"/>
    <w:rsid w:val="95FF8D51"/>
    <w:rsid w:val="AE7601CB"/>
    <w:rsid w:val="B5E716D8"/>
    <w:rsid w:val="B7FF3E87"/>
    <w:rsid w:val="BAAF2E01"/>
    <w:rsid w:val="BBEB5BC9"/>
    <w:rsid w:val="BDDBEB27"/>
    <w:rsid w:val="BEB5091F"/>
    <w:rsid w:val="CAF605E9"/>
    <w:rsid w:val="CDFF18A0"/>
    <w:rsid w:val="CE3DCEA6"/>
    <w:rsid w:val="CFBFB21A"/>
    <w:rsid w:val="D6F4C687"/>
    <w:rsid w:val="DD9785B8"/>
    <w:rsid w:val="DDED2A5D"/>
    <w:rsid w:val="DEAEB74C"/>
    <w:rsid w:val="DEFF9686"/>
    <w:rsid w:val="DF7BFC11"/>
    <w:rsid w:val="DF7F1A1F"/>
    <w:rsid w:val="DFDFB2FE"/>
    <w:rsid w:val="DFF77C2B"/>
    <w:rsid w:val="EA536D94"/>
    <w:rsid w:val="EFEB2E82"/>
    <w:rsid w:val="EFEF72E0"/>
    <w:rsid w:val="EFF7C5F6"/>
    <w:rsid w:val="F0BF47FB"/>
    <w:rsid w:val="F5BD18E3"/>
    <w:rsid w:val="F63F93DD"/>
    <w:rsid w:val="F727D5A3"/>
    <w:rsid w:val="F76C98F7"/>
    <w:rsid w:val="F7ECBFEC"/>
    <w:rsid w:val="F7EF9E22"/>
    <w:rsid w:val="F7FE6DD6"/>
    <w:rsid w:val="FAE78130"/>
    <w:rsid w:val="FB5F7F19"/>
    <w:rsid w:val="FBB7B360"/>
    <w:rsid w:val="FBDBE70B"/>
    <w:rsid w:val="FBF3E5F2"/>
    <w:rsid w:val="FC4B48D0"/>
    <w:rsid w:val="FD9F473A"/>
    <w:rsid w:val="FEFC03AC"/>
    <w:rsid w:val="FF7D6A4D"/>
    <w:rsid w:val="FF81C4AC"/>
    <w:rsid w:val="FFD7BBE2"/>
    <w:rsid w:val="FFF5F9BA"/>
    <w:rsid w:val="FFFFB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qFormat/>
    <w:uiPriority w:val="99"/>
    <w:rPr>
      <w:sz w:val="24"/>
      <w:szCs w:val="24"/>
    </w:rPr>
  </w:style>
  <w:style w:type="table" w:styleId="7">
    <w:name w:val="Table Grid"/>
    <w:basedOn w:val="3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438</Words>
  <Characters>3128</Characters>
  <Lines>82</Lines>
  <Paragraphs>36</Paragraphs>
  <TotalTime>2</TotalTime>
  <ScaleCrop>false</ScaleCrop>
  <LinksUpToDate>false</LinksUpToDate>
  <CharactersWithSpaces>3530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2024-11-15T23:02:00Z</dcterms:created>
  <dc:creator>Кулаковская Эдилия Артуровна</dc:creator>
  <cp:lastModifiedBy>hovrova_sn</cp:lastModifiedBy>
  <cp:lastPrinted>2024-02-24T02:43:00Z</cp:lastPrinted>
  <dcterms:modified xsi:type="dcterms:W3CDTF">2024-12-04T16:00:31Z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