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right"/>
        <w:outlineLvl w:val="1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Приложение № 3</w:t>
      </w:r>
    </w:p>
    <w:p w14:paraId="02000000">
      <w:pPr>
        <w:pStyle w:val="Style_1"/>
        <w:ind w:firstLine="0" w:left="0"/>
        <w:jc w:val="right"/>
        <w:rPr>
          <w:rFonts w:ascii="PT Astra Serif" w:hAnsi="PT Astra Serif"/>
          <w:b w:val="0"/>
          <w:i w:val="0"/>
          <w:sz w:val="22"/>
          <w:u w:val="none"/>
        </w:rPr>
      </w:pPr>
      <w:r>
        <w:rPr>
          <w:rFonts w:ascii="PT Astra Serif" w:hAnsi="PT Astra Serif"/>
          <w:b w:val="0"/>
          <w:i w:val="0"/>
          <w:sz w:val="22"/>
          <w:u w:val="none"/>
        </w:rPr>
        <w:t>Методическим рекомендациям</w:t>
      </w:r>
      <w:r>
        <w:rPr>
          <w:rFonts w:ascii="PT Astra Serif" w:hAnsi="PT Astra Serif"/>
          <w:b w:val="0"/>
          <w:i w:val="0"/>
          <w:sz w:val="22"/>
          <w:u w:val="none"/>
        </w:rPr>
        <w:t xml:space="preserve"> </w:t>
      </w:r>
    </w:p>
    <w:p w14:paraId="0300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о порядке проведения оценки регулирующего </w:t>
      </w:r>
    </w:p>
    <w:p w14:paraId="0400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воздействия проектов </w:t>
      </w:r>
      <w:r>
        <w:rPr>
          <w:rFonts w:ascii="PT Astra Serif" w:hAnsi="PT Astra Serif"/>
          <w:sz w:val="22"/>
        </w:rPr>
        <w:t xml:space="preserve">нормативных правовых </w:t>
      </w:r>
    </w:p>
    <w:p w14:paraId="0500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актов Республики Саха (Якутия), </w:t>
      </w:r>
    </w:p>
    <w:p w14:paraId="0600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подготовленных органами исполнительной власти</w:t>
      </w:r>
    </w:p>
    <w:p w14:paraId="0700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Республики </w:t>
      </w:r>
      <w:r>
        <w:rPr>
          <w:rFonts w:ascii="PT Astra Serif" w:hAnsi="PT Astra Serif"/>
          <w:sz w:val="22"/>
        </w:rPr>
        <w:t>Саха (Якутия)</w:t>
      </w:r>
    </w:p>
    <w:p w14:paraId="0800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утвержденным приказом Министерства предпринимательства,</w:t>
      </w:r>
    </w:p>
    <w:p w14:paraId="0900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торговли и туризма РС(Я)</w:t>
      </w:r>
    </w:p>
    <w:p w14:paraId="0A00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от 04 сентября 2023 года № П-205/од</w:t>
      </w:r>
    </w:p>
    <w:p w14:paraId="0B000000">
      <w:pPr>
        <w:widowControl w:val="0"/>
        <w:spacing w:after="0" w:line="240" w:lineRule="auto"/>
        <w:ind/>
        <w:jc w:val="both"/>
      </w:pPr>
    </w:p>
    <w:p w14:paraId="0C000000">
      <w:pPr>
        <w:spacing w:after="240" w:line="240" w:lineRule="auto"/>
        <w:ind/>
        <w:jc w:val="right"/>
        <w:rPr>
          <w:rFonts w:ascii="Times New Roman" w:hAnsi="Times New Roman"/>
          <w:b w:val="1"/>
        </w:rPr>
      </w:pPr>
    </w:p>
    <w:p w14:paraId="0D000000">
      <w:pPr>
        <w:spacing w:after="0" w:line="240" w:lineRule="auto"/>
        <w:ind/>
        <w:rPr>
          <w:rFonts w:ascii="Times New Roman" w:hAnsi="Times New Roman"/>
        </w:rPr>
      </w:pPr>
    </w:p>
    <w:p w14:paraId="0E000000">
      <w:pPr>
        <w:widowControl w:val="0"/>
        <w:spacing w:after="0" w:line="276" w:lineRule="auto"/>
        <w:ind w:firstLine="709" w:left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СВОДНЫЙ ОТЧЕТ</w:t>
      </w:r>
    </w:p>
    <w:p w14:paraId="0F000000">
      <w:pPr>
        <w:widowControl w:val="0"/>
        <w:spacing w:after="0" w:line="276" w:lineRule="auto"/>
        <w:ind w:firstLine="709" w:left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результатах проведения оценки регулирующего</w:t>
      </w:r>
    </w:p>
    <w:p w14:paraId="10000000">
      <w:pPr>
        <w:widowControl w:val="0"/>
        <w:spacing w:after="0" w:line="276" w:lineRule="auto"/>
        <w:ind w:firstLine="709" w:left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воздействия проекта нормативного правового акта</w:t>
      </w:r>
    </w:p>
    <w:p w14:paraId="11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</w:p>
    <w:p w14:paraId="12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1.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>Общая информация</w:t>
      </w:r>
    </w:p>
    <w:p w14:paraId="13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1.1.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Орган-разработчик:</w:t>
      </w:r>
      <w:r>
        <w:rPr>
          <w:rFonts w:ascii="PT Astra Serif" w:hAnsi="PT Astra Serif"/>
          <w:sz w:val="24"/>
        </w:rPr>
        <w:t xml:space="preserve"> Министерство по развитию Арктики и делам народов Севера Республики Саха (Якутия)</w:t>
      </w:r>
    </w:p>
    <w:p w14:paraId="14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1.2.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 xml:space="preserve">Вид и наименование проекта нормативного правового акта: </w:t>
      </w: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t xml:space="preserve"> </w:t>
      </w:r>
    </w:p>
    <w:p w14:paraId="15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t xml:space="preserve">Постановление Правительства Республики Саха (Якутия) </w:t>
      </w: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t>«Об утверждении порядка предоставления субсидий из государственного бюджета Республики Саха (Якутия) на возмещение части затрат на организацию хлебопечения в населенных пунктах Арктической зоны Республики Саха (Якутия)» (далее – прое</w:t>
      </w:r>
      <w:r>
        <w:rPr>
          <w:rFonts w:ascii="PT Astra Serif" w:hAnsi="PT Astra Serif"/>
          <w:sz w:val="24"/>
        </w:rPr>
        <w:t>кт постановления).</w:t>
      </w:r>
    </w:p>
    <w:p w14:paraId="16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PT Astra Serif" w:hAnsi="PT Astra Serif"/>
          <w:sz w:val="24"/>
          <w:u w:val="single"/>
        </w:rPr>
        <w:t>1.3.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Краткое описание проблемы, на решение которой направлено предлагаемое правовое регулирование:</w:t>
      </w:r>
      <w:r>
        <w:rPr>
          <w:rFonts w:ascii="PT Astra Serif" w:hAnsi="PT Astra Serif"/>
          <w:sz w:val="24"/>
          <w:u w:val="none"/>
        </w:rPr>
        <w:t xml:space="preserve"> </w:t>
      </w:r>
    </w:p>
    <w:p w14:paraId="17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t xml:space="preserve">Проект разработан в целях приведения в соответствие с федеральным законодательством.  </w:t>
      </w:r>
    </w:p>
    <w:p w14:paraId="18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PT Astra Serif" w:hAnsi="PT Astra Serif"/>
          <w:sz w:val="24"/>
          <w:u w:val="single"/>
        </w:rPr>
        <w:t>1.4.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 xml:space="preserve">Краткое описание целей предлагаемого правового регулирования: </w:t>
      </w:r>
    </w:p>
    <w:p w14:paraId="19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t>Проект постановления разработан в целях реализации мероприятия "Модернизация материально-технической базы хлебопекарен" в</w:t>
      </w: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t xml:space="preserve">едомственного проекта N 3 "Социальное развитие Арктической зоны Республики Саха (Якутия)" государственной </w:t>
      </w: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fldChar w:fldCharType="begin"/>
      </w: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instrText>HYPERLINK "https://login.consultant.ru/link/?req=doc&amp;base=RLAW249&amp;n=100213&amp;date=09.08.2024&amp;dst=100016&amp;field=134"</w:instrText>
      </w: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fldChar w:fldCharType="separate"/>
      </w: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t>программы</w:t>
      </w: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fldChar w:fldCharType="end"/>
      </w: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t xml:space="preserve"> Республики Саха (Якутия) "Развитие Арктической зоны Республики Саха (Якутия) и коренных малочисленных народов Севера Республики Саха (Якутия)".</w:t>
      </w:r>
    </w:p>
    <w:p w14:paraId="1A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PT Astra Serif" w:hAnsi="PT Astra Serif"/>
          <w:sz w:val="24"/>
          <w:u w:val="single"/>
        </w:rPr>
        <w:t>1.5.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Краткое описание содержания предлагаемого правового регулирования:</w:t>
      </w:r>
    </w:p>
    <w:p w14:paraId="1B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t>Проект постановления направлен на регулирование Порядка проведения отбора на предоставление субсидий из государственного бюджета Республики Саха (Якутия) на возмещение части затрат на организацию хлебопечения в населенных пунктах Арктической зоны Республики Саха (Якутия).</w:t>
      </w:r>
    </w:p>
    <w:p w14:paraId="1C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1.6.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 xml:space="preserve">Контактная информация исполнителя в органе-разработчике: </w:t>
      </w:r>
    </w:p>
    <w:p w14:paraId="1D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Ф.И.О: Обутова Людмила Михайловна.</w:t>
      </w:r>
    </w:p>
    <w:p w14:paraId="1E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Должность: главный специалист департамента стратегического планирования и проектного управления.</w:t>
      </w:r>
    </w:p>
    <w:p w14:paraId="1F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Телефон: , адрес электронной почты: 507-758, </w:t>
      </w:r>
      <w:r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fldChar w:fldCharType="begin"/>
      </w:r>
      <w:r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instrText>HYPERLINK "mailto:arktika@sakha.gov.ru"</w:instrText>
      </w:r>
      <w:r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fldChar w:fldCharType="separate"/>
      </w:r>
      <w:r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t>arktika@sakha.gov.ru</w:t>
      </w:r>
      <w:r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fldChar w:fldCharType="end"/>
      </w:r>
    </w:p>
    <w:p w14:paraId="20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1.7.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 xml:space="preserve">Степень регулирующего воздействия проекта нормативного правового акта: </w:t>
      </w:r>
    </w:p>
    <w:p w14:paraId="21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Средняя степень регулирующего воздействия.</w:t>
      </w:r>
    </w:p>
    <w:p w14:paraId="22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single"/>
        </w:rPr>
        <w:t>1.8.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Обоснование отнесения проекта нормативного правового акта к определенной степени регулирующего воздействия:</w:t>
      </w:r>
      <w:r>
        <w:rPr>
          <w:rFonts w:ascii="PT Astra Serif" w:hAnsi="PT Astra Serif"/>
          <w:sz w:val="24"/>
          <w:u w:val="none"/>
        </w:rPr>
        <w:t xml:space="preserve"> </w:t>
      </w:r>
    </w:p>
    <w:p w14:paraId="23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none"/>
        </w:rPr>
        <w:t>Проект Постановления содержит положения, изменяющие ранее установленные обязательные требования, связанные с осуществлением предпринимательской и иной экономической деятельности.</w:t>
      </w:r>
    </w:p>
    <w:p w14:paraId="24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none"/>
        </w:rPr>
        <w:t>Проект разработан взамен постановления Правительства Республики Саха (Якутия) от 31.05.2024 № 223 «Об утверждении порядка предоставления субсидий из государственного бюджета Республики Саха (Якутия) на возмещение части затрат на модернизацию материально – технической базы хлебопекарен населенных пунктов Арктической зоны Республики Саха (Якутия)», в связи с приведением в соответст</w:t>
      </w:r>
      <w:r>
        <w:rPr>
          <w:rFonts w:ascii="PT Astra Serif" w:hAnsi="PT Astra Serif"/>
          <w:sz w:val="24"/>
          <w:u w:val="none"/>
        </w:rPr>
        <w:t>вии с пунктом 5 постановления Правительства Российской Федерации от 25 октября 2023 г. № 1782 «Об утверждении общих требований к нормативным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14:paraId="25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b w:val="1"/>
          <w:sz w:val="24"/>
        </w:rPr>
        <w:t>2.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>Описание проблемы, на решение которой направлено предлагаемое правовое регулирование</w:t>
      </w:r>
    </w:p>
    <w:p w14:paraId="26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2.1.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Формулировка проблемы:</w:t>
      </w:r>
    </w:p>
    <w:p w14:paraId="27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none"/>
        </w:rPr>
        <w:t xml:space="preserve">Необходимость приведения в соответствие с федеральным законодательством. </w:t>
      </w:r>
    </w:p>
    <w:p w14:paraId="28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2.2.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29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none"/>
        </w:rPr>
        <w:t xml:space="preserve">Экспертное заключение Управления Министерства юстиции Российской Федерации по Республике Саха (Якутия) от 26.07.2024 № 14/01-11/5122 на Постановление Правительства Республики Саха (Якутия) </w:t>
      </w:r>
      <w:r>
        <w:rPr>
          <w:rFonts w:ascii="PT Astra Serif" w:hAnsi="PT Astra Serif"/>
          <w:sz w:val="24"/>
          <w:u w:val="none"/>
        </w:rPr>
        <w:t>от 31.05.2024 № 223 «Об утверждении порядка предоставления субсидий из государственного бюджета Республики Саха (Якутия) на возмещение части затрат на модернизацию материально – технической базы хлебопекарен населенных пунктов Арктической зоны Республики Саха (Якутия)»;</w:t>
      </w:r>
    </w:p>
    <w:p w14:paraId="2A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none"/>
        </w:rPr>
        <w:t>Письмо Департамента по государственно - правовым вопросам от 26.11.2024 № 928-А7 о приведении в соответствие с федеральным законодательством нормативно-правовые акты регулирующие предоставление субсидий.</w:t>
      </w:r>
    </w:p>
    <w:p w14:paraId="2B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2.3.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Социальные группы, заинтересованные в устранении проблемы, их количественная оценка:</w:t>
      </w:r>
    </w:p>
    <w:p w14:paraId="2C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none"/>
        </w:rPr>
        <w:t>физические лица, зарегистрированные на территории Арктической зоны Республики Саха (Якутия)</w:t>
      </w:r>
    </w:p>
    <w:p w14:paraId="2D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none"/>
        </w:rPr>
        <w:t>юридические лица, осуществляющие предпринимательскую деятельность на территории Арктической зоны Республики Саха (Якутия).</w:t>
      </w:r>
    </w:p>
    <w:p w14:paraId="2E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2.4.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 xml:space="preserve">Характеристика негативных эффектов, возникающих в связи с наличием проблемы, их количественная оценка: </w:t>
      </w:r>
    </w:p>
    <w:p w14:paraId="2F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none"/>
        </w:rPr>
        <w:t>Отсутствуют</w:t>
      </w:r>
    </w:p>
    <w:p w14:paraId="30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2.5.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Причины возникновения проблемы и факторы, поддерживающие ее существование:</w:t>
      </w:r>
      <w:r>
        <w:rPr>
          <w:rFonts w:ascii="PT Astra Serif" w:hAnsi="PT Astra Serif"/>
          <w:sz w:val="24"/>
        </w:rPr>
        <w:t xml:space="preserve"> </w:t>
      </w:r>
    </w:p>
    <w:p w14:paraId="31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none"/>
        </w:rPr>
        <w:t xml:space="preserve">Необходимость приведения </w:t>
      </w:r>
      <w:r>
        <w:rPr>
          <w:rFonts w:ascii="PT Astra Serif" w:hAnsi="PT Astra Serif"/>
          <w:sz w:val="24"/>
          <w:u w:val="none"/>
        </w:rPr>
        <w:t>в соответст</w:t>
      </w:r>
      <w:r>
        <w:rPr>
          <w:rFonts w:ascii="PT Astra Serif" w:hAnsi="PT Astra Serif"/>
          <w:sz w:val="24"/>
          <w:u w:val="none"/>
        </w:rPr>
        <w:t>вии с пунктом 5 постановления Правительства Российской Федерации от 25 октября 2023 г. № 1782 о проведении отборов получателей субсидии из бюджетов субъектов Российской Федерации</w:t>
      </w:r>
      <w:r>
        <w:rPr>
          <w:rFonts w:ascii="PT Astra Serif" w:hAnsi="PT Astra Serif"/>
          <w:sz w:val="24"/>
          <w:u w:val="none"/>
        </w:rPr>
        <w:t xml:space="preserve"> в </w:t>
      </w:r>
      <w:r>
        <w:rPr>
          <w:rFonts w:ascii="PT Astra Serif" w:hAnsi="PT Astra Serif"/>
          <w:sz w:val="24"/>
          <w:u w:val="none"/>
        </w:rPr>
        <w:t>государственной интегрированной информационной системе управления общественными финансами "Электронный бюджет" начиная с 01 января 2025 г.</w:t>
      </w:r>
    </w:p>
    <w:p w14:paraId="32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2.6.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  <w:r>
        <w:rPr>
          <w:rFonts w:ascii="PT Astra Serif" w:hAnsi="PT Astra Serif"/>
          <w:sz w:val="24"/>
        </w:rPr>
        <w:t xml:space="preserve"> </w:t>
      </w:r>
    </w:p>
    <w:p w14:paraId="33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Ответственным за реализацию проекта </w:t>
      </w:r>
      <w:r>
        <w:rPr>
          <w:rFonts w:ascii="PT Astra Serif" w:hAnsi="PT Astra Serif"/>
          <w:sz w:val="24"/>
          <w:u w:val="none"/>
        </w:rPr>
        <w:t xml:space="preserve">по </w:t>
      </w: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t xml:space="preserve"> мероприятию "Модернизация материально-технической базы хлебопекарен" является орган исполнительной власти Министерство по развитию Арктики и делам народов Севера Республики Саха (Якутия).</w:t>
      </w:r>
    </w:p>
    <w:p w14:paraId="34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Style w:val="Style_2_ch"/>
          <w:rFonts w:ascii="PT Astra Serif" w:hAnsi="PT Astra Serif"/>
          <w:sz w:val="24"/>
          <w:u w:val="single"/>
        </w:rPr>
        <w:t>2.7.</w:t>
      </w:r>
      <w:r>
        <w:rPr>
          <w:rStyle w:val="Style_2_ch"/>
          <w:rFonts w:ascii="PT Astra Serif" w:hAnsi="PT Astra Serif"/>
          <w:sz w:val="24"/>
          <w:u w:val="single"/>
        </w:rPr>
        <w:t>Опыт решения аналогичных проблем в других субъектах Российской Федерации, иностранных государствах:</w:t>
      </w:r>
      <w:r>
        <w:rPr>
          <w:rStyle w:val="Style_2_ch"/>
          <w:rFonts w:ascii="PT Astra Serif" w:hAnsi="PT Astra Serif"/>
          <w:sz w:val="24"/>
          <w:u w:val="single"/>
        </w:rPr>
        <w:t xml:space="preserve"> </w:t>
      </w:r>
      <w:r>
        <w:rPr>
          <w:rFonts w:ascii="PT Astra Serif" w:hAnsi="PT Astra Serif"/>
          <w:sz w:val="24"/>
        </w:rPr>
        <w:t>-</w:t>
      </w:r>
    </w:p>
    <w:p w14:paraId="35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Style w:val="Style_2_ch"/>
          <w:rFonts w:ascii="PT Astra Serif" w:hAnsi="PT Astra Serif"/>
          <w:sz w:val="24"/>
          <w:u w:val="single"/>
        </w:rPr>
        <w:t xml:space="preserve">2.8. </w:t>
      </w:r>
      <w:r>
        <w:rPr>
          <w:rStyle w:val="Style_2_ch"/>
          <w:rFonts w:ascii="PT Astra Serif" w:hAnsi="PT Astra Serif"/>
          <w:sz w:val="24"/>
          <w:u w:val="single"/>
        </w:rPr>
        <w:t xml:space="preserve">Источники данных: </w:t>
      </w:r>
      <w:r>
        <w:rPr>
          <w:rFonts w:ascii="PT Astra Serif" w:hAnsi="PT Astra Serif"/>
          <w:sz w:val="24"/>
        </w:rPr>
        <w:t>-</w:t>
      </w:r>
    </w:p>
    <w:p w14:paraId="36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Style w:val="Style_2_ch"/>
          <w:rFonts w:ascii="PT Astra Serif" w:hAnsi="PT Astra Serif"/>
          <w:sz w:val="24"/>
          <w:u w:val="single"/>
        </w:rPr>
        <w:t>2.9.</w:t>
      </w:r>
      <w:r>
        <w:rPr>
          <w:rStyle w:val="Style_2_ch"/>
          <w:rFonts w:ascii="PT Astra Serif" w:hAnsi="PT Astra Serif"/>
          <w:sz w:val="24"/>
          <w:u w:val="single"/>
        </w:rPr>
        <w:tab/>
      </w:r>
      <w:r>
        <w:rPr>
          <w:rStyle w:val="Style_2_ch"/>
          <w:rFonts w:ascii="PT Astra Serif" w:hAnsi="PT Astra Serif"/>
          <w:sz w:val="24"/>
          <w:u w:val="single"/>
        </w:rPr>
        <w:t>Иная информация о проблеме</w:t>
      </w:r>
      <w:r>
        <w:rPr>
          <w:rStyle w:val="Style_2_ch"/>
          <w:rFonts w:ascii="PT Astra Serif" w:hAnsi="PT Astra Serif"/>
          <w:sz w:val="24"/>
          <w:u w:val="single"/>
        </w:rPr>
        <w:t>: -</w:t>
      </w:r>
    </w:p>
    <w:p w14:paraId="37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b w:val="1"/>
          <w:sz w:val="24"/>
        </w:rPr>
        <w:t>3.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>Определение целей предлагаемого правового регулирования и индикаторов для оценки их достижени</w:t>
      </w:r>
      <w:r>
        <w:rPr>
          <w:rFonts w:ascii="PT Astra Serif" w:hAnsi="PT Astra Serif"/>
          <w:sz w:val="24"/>
          <w:u w:val="single"/>
        </w:rPr>
        <w:t>я</w:t>
      </w: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960"/>
        <w:gridCol w:w="3119"/>
        <w:gridCol w:w="2703"/>
      </w:tblGrid>
      <w:tr>
        <w:trPr>
          <w:trHeight w:hRule="atLeast" w:val="1334"/>
        </w:trPr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0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3.1. Цели предлагаемого правового регулирования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0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0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rPr>
          <w:trHeight w:hRule="atLeast" w:val="1056"/>
        </w:trPr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00000">
            <w:pPr>
              <w:pStyle w:val="Style_2"/>
              <w:widowControl w:val="0"/>
              <w:spacing w:after="0" w:line="240" w:lineRule="auto"/>
              <w:ind w:firstLine="709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мероприятия "Модернизация материально-технической базы хлебопекарен" в</w:t>
            </w:r>
            <w:r>
              <w:rPr>
                <w:rFonts w:ascii="PT Astra Serif" w:hAnsi="PT Astra Serif"/>
                <w:sz w:val="20"/>
              </w:rPr>
              <w:t xml:space="preserve">едомственного проекта N 3 "Социальное развитие Арктической зоны Республики Саха (Якутия)" государственной </w:t>
            </w: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>HYPERLINK "https://login.consultant.ru/link/?req=doc&amp;base=RLAW249&amp;n=100213&amp;date=09.08.2024&amp;dst=100016&amp;field=134"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sz w:val="20"/>
              </w:rPr>
              <w:t>программы</w:t>
            </w:r>
            <w:r>
              <w:rPr>
                <w:rFonts w:ascii="PT Astra Serif" w:hAnsi="PT Astra Serif"/>
                <w:sz w:val="20"/>
              </w:rPr>
              <w:fldChar w:fldCharType="end"/>
            </w:r>
            <w:r>
              <w:rPr>
                <w:rFonts w:ascii="PT Astra Serif" w:hAnsi="PT Astra Serif"/>
                <w:sz w:val="20"/>
              </w:rPr>
              <w:t xml:space="preserve"> Республики Саха (Якутия) "Развитие Арктической зоны Республики Саха (Якутия) и коренных малочисленных народов Севера Республики Саха (Якутия)"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0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 течение 2025-2026 гг.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0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Ежеквартальный мониторинг отчётности в течение срока, установленного соглашением о предоставлении субсидии.</w:t>
            </w:r>
          </w:p>
        </w:tc>
      </w:tr>
    </w:tbl>
    <w:p w14:paraId="3E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3.4.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</w:p>
    <w:p w14:paraId="3F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none"/>
        </w:rPr>
        <w:t>Постановление Правительства Российской Федерации от 25 октября 2023 г. № 1782 «Об утверждении общих требований к нормативным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14:paraId="40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957"/>
        <w:gridCol w:w="1985"/>
        <w:gridCol w:w="1701"/>
        <w:gridCol w:w="2278"/>
      </w:tblGrid>
      <w:tr>
        <w:tc>
          <w:tcPr>
            <w:tcW w:type="dxa" w:w="3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3.5. Цели предлагаемого правового регулирования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3.7. Единица измерения индикаторов</w:t>
            </w:r>
          </w:p>
        </w:tc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3.8. Целевые значения индикаторов по годам</w:t>
            </w:r>
          </w:p>
        </w:tc>
      </w:tr>
      <w:tr>
        <w:tc>
          <w:tcPr>
            <w:tcW w:type="dxa" w:w="3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00000">
            <w:pPr>
              <w:pStyle w:val="Style_2"/>
              <w:widowControl w:val="0"/>
              <w:spacing w:after="0" w:line="240" w:lineRule="auto"/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мероприятия "Модернизация материально-технической базы хлебопекарен" в</w:t>
            </w:r>
            <w:r>
              <w:rPr>
                <w:rFonts w:ascii="PT Astra Serif" w:hAnsi="PT Astra Serif"/>
                <w:sz w:val="20"/>
              </w:rPr>
              <w:t xml:space="preserve">едомственного проекта N 3 "Социальное развитие Арктической зоны Республики Саха (Якутия)" государственной </w:t>
            </w: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>HYPERLINK "https://login.consultant.ru/link/?req=doc&amp;base=RLAW249&amp;n=100213&amp;date=09.08.2024&amp;dst=100016&amp;field=134"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sz w:val="20"/>
              </w:rPr>
              <w:t>программы</w:t>
            </w:r>
            <w:r>
              <w:rPr>
                <w:rFonts w:ascii="PT Astra Serif" w:hAnsi="PT Astra Serif"/>
                <w:sz w:val="20"/>
              </w:rPr>
              <w:fldChar w:fldCharType="end"/>
            </w:r>
            <w:r>
              <w:rPr>
                <w:rFonts w:ascii="PT Astra Serif" w:hAnsi="PT Astra Serif"/>
                <w:sz w:val="20"/>
              </w:rPr>
              <w:t xml:space="preserve"> Республики Саха (Якутия) "Развитие Арктической зоны Республики Саха (Якутия) и коренных малочисленных народов Севера Республики Саха (Якутия)"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производства хлеба и хлебобулочных изделий получателями субсидии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00000">
            <w:pPr>
              <w:widowControl w:val="0"/>
              <w:spacing w:after="0" w:line="240" w:lineRule="auto"/>
              <w:ind w:firstLine="709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тонн</w:t>
            </w:r>
          </w:p>
        </w:tc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00000">
            <w:pPr>
              <w:widowControl w:val="0"/>
              <w:spacing w:after="0" w:line="240" w:lineRule="auto"/>
              <w:ind w:firstLine="709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 – 0</w:t>
            </w:r>
          </w:p>
          <w:p w14:paraId="49000000">
            <w:pPr>
              <w:widowControl w:val="0"/>
              <w:spacing w:after="0" w:line="240" w:lineRule="auto"/>
              <w:ind w:firstLine="709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2024 - 0</w:t>
            </w:r>
          </w:p>
          <w:p w14:paraId="4A000000">
            <w:pPr>
              <w:widowControl w:val="0"/>
              <w:spacing w:after="0" w:line="240" w:lineRule="auto"/>
              <w:ind w:firstLine="709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– 70</w:t>
            </w:r>
          </w:p>
          <w:p w14:paraId="4B000000">
            <w:pPr>
              <w:widowControl w:val="0"/>
              <w:spacing w:after="0" w:line="240" w:lineRule="auto"/>
              <w:ind w:firstLine="709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 – 0</w:t>
            </w:r>
          </w:p>
          <w:p w14:paraId="4C000000">
            <w:pPr>
              <w:widowControl w:val="0"/>
              <w:spacing w:after="0" w:line="240" w:lineRule="auto"/>
              <w:ind w:firstLine="709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2027 - 0</w:t>
            </w:r>
          </w:p>
        </w:tc>
      </w:tr>
    </w:tbl>
    <w:p w14:paraId="4D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3.9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>
        <w:rPr>
          <w:rFonts w:ascii="PT Astra Serif" w:hAnsi="PT Astra Serif"/>
          <w:sz w:val="24"/>
        </w:rPr>
        <w:t xml:space="preserve"> </w:t>
      </w:r>
    </w:p>
    <w:p w14:paraId="4E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Отсутствуют.</w:t>
      </w:r>
    </w:p>
    <w:p w14:paraId="4F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3.10.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Проведение мониторинга и иные способы (методы) оценки достижения целей предлагаемого правового регулирования:</w:t>
      </w:r>
    </w:p>
    <w:p w14:paraId="50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Мониторинг осуществляется ежеквартально в рамках заключенных соглашений с получателями субсидий в течение срока, установленного соглашением.</w:t>
      </w:r>
    </w:p>
    <w:p w14:paraId="51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3.11.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Оценка затрат на проведение мониторинга достижения целей предлагаемого правового регулирования</w:t>
      </w:r>
      <w:r>
        <w:rPr>
          <w:rFonts w:ascii="PT Astra Serif" w:hAnsi="PT Astra Serif"/>
          <w:sz w:val="24"/>
        </w:rPr>
        <w:t>: -</w:t>
      </w:r>
    </w:p>
    <w:p w14:paraId="52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3.12.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Источники информации для расчета индикаторов: -</w:t>
      </w:r>
    </w:p>
    <w:p w14:paraId="53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4.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 xml:space="preserve">Качественная характеристика и оценка численности потенциальных адресатов </w:t>
      </w:r>
      <w:r>
        <w:rPr>
          <w:rFonts w:ascii="PT Astra Serif" w:hAnsi="PT Astra Serif"/>
          <w:sz w:val="24"/>
        </w:rPr>
        <w:t>предлагаемого правового регулирования (их групп)</w:t>
      </w:r>
    </w:p>
    <w:tbl>
      <w:tblPr>
        <w:tblStyle w:val="Style_3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062"/>
        <w:gridCol w:w="2253"/>
        <w:gridCol w:w="3606"/>
      </w:tblGrid>
      <w:tr>
        <w:tc>
          <w:tcPr>
            <w:tcW w:type="dxa" w:w="4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2"/>
              <w:widowControl w:val="0"/>
              <w:spacing w:after="0" w:line="240" w:lineRule="auto"/>
              <w:ind w:firstLine="709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2"/>
              <w:widowControl w:val="0"/>
              <w:spacing w:after="0" w:line="240" w:lineRule="auto"/>
              <w:ind w:firstLine="709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4.2. Количество участников группы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2"/>
              <w:widowControl w:val="0"/>
              <w:spacing w:after="0" w:line="240" w:lineRule="auto"/>
              <w:ind w:firstLine="709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4.3. Источники данных</w:t>
            </w:r>
          </w:p>
        </w:tc>
      </w:tr>
      <w:tr>
        <w:tc>
          <w:tcPr>
            <w:tcW w:type="dxa" w:w="4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физические лица, зарегистрированные на территории Арктической зоны Республики Саха (Якутия)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</w:tr>
      <w:tr>
        <w:tc>
          <w:tcPr>
            <w:tcW w:type="dxa" w:w="4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юридические лица</w:t>
            </w:r>
            <w:r>
              <w:rPr>
                <w:sz w:val="28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(за исключением государственных (муниципальных) учреждений),</w:t>
            </w:r>
            <w:r>
              <w:rPr>
                <w:rFonts w:ascii="PT Astra Serif" w:hAnsi="PT Astra Serif"/>
                <w:sz w:val="22"/>
              </w:rPr>
              <w:t xml:space="preserve"> осуществляющие предпринимательскую деятельность на территории Арктической зоны Республики Саха (Якутия).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</w:tr>
    </w:tbl>
    <w:p w14:paraId="5D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5.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 xml:space="preserve">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 </w:t>
      </w:r>
    </w:p>
    <w:tbl>
      <w:tblPr>
        <w:tblStyle w:val="Style_3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142"/>
        <w:gridCol w:w="1842"/>
        <w:gridCol w:w="1843"/>
        <w:gridCol w:w="1985"/>
        <w:gridCol w:w="1582"/>
      </w:tblGrid>
      <w:tr>
        <w:tc>
          <w:tcPr>
            <w:tcW w:type="dxa" w:w="2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5.1. Наименование функции (полномочия, обязанности или права)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5.2. Характер функции (новая / изменяемая / отменяемая)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5.3. Предполагаемый порядок реализации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type="dxa" w:w="1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5.5. Оценка изменения потребностей в других ресурсах</w:t>
            </w:r>
          </w:p>
        </w:tc>
      </w:tr>
      <w:tr>
        <w:tc>
          <w:tcPr>
            <w:tcW w:type="dxa" w:w="939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2"/>
              <w:widowControl w:val="0"/>
              <w:spacing w:after="0" w:line="276" w:lineRule="auto"/>
              <w:ind w:firstLine="709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 изменяется</w:t>
            </w:r>
          </w:p>
        </w:tc>
      </w:tr>
    </w:tbl>
    <w:p w14:paraId="64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6.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>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</w:t>
      </w: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35"/>
        <w:gridCol w:w="3686"/>
        <w:gridCol w:w="2845"/>
      </w:tblGrid>
      <w:t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6.1. Наименование функции (полномочия, обязанности или права) (в соответствии с подпунктом 5.1)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6.2. Виды расходов (возможных поступлений) государственного бюджета Республики Саха (Якутия) (местных бюджетов)</w:t>
            </w:r>
          </w:p>
        </w:tc>
        <w:tc>
          <w:tcPr>
            <w:tcW w:type="dxa" w:w="2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6.3. Количественная оценка расходов и возможных поступлений, млн. рублей</w:t>
            </w:r>
          </w:p>
        </w:tc>
      </w:tr>
      <w:tr>
        <w:trPr>
          <w:trHeight w:hRule="atLeast" w:val="559"/>
        </w:trPr>
        <w:tc>
          <w:tcPr>
            <w:tcW w:type="dxa" w:w="93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widowControl w:val="0"/>
              <w:spacing w:after="0" w:line="276" w:lineRule="auto"/>
              <w:ind w:firstLine="709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Отсутствуют</w:t>
            </w:r>
          </w:p>
        </w:tc>
      </w:tr>
    </w:tbl>
    <w:p w14:paraId="69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6.4.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Другие сведения о дополнительных расходах (доходах) государственного бюджета Республики Саха (Якутия) (местных бюджетов), возникающих в связи с введением предлагаемого правового регулирования</w:t>
      </w:r>
      <w:r>
        <w:rPr>
          <w:rFonts w:ascii="PT Astra Serif" w:hAnsi="PT Astra Serif"/>
          <w:sz w:val="24"/>
        </w:rPr>
        <w:t>: -</w:t>
      </w:r>
    </w:p>
    <w:p w14:paraId="6A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6.5.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Источники данных:</w:t>
      </w:r>
      <w:r>
        <w:rPr>
          <w:rFonts w:ascii="PT Astra Serif" w:hAnsi="PT Astra Serif"/>
          <w:sz w:val="24"/>
        </w:rPr>
        <w:t xml:space="preserve"> -</w:t>
      </w:r>
    </w:p>
    <w:p w14:paraId="6B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7.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694"/>
        <w:gridCol w:w="2976"/>
        <w:gridCol w:w="1985"/>
        <w:gridCol w:w="1711"/>
      </w:tblGrid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7.1. Группы потенциальных адресатов предлагаемого правового регулирования (в соответствии с пп. 4.1 сводного отчета)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7.4. Количественная оценка, млн. рублей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физические лица, зарегистрированные на территории Арктической зоны Республики Саха (Якутия)</w:t>
            </w:r>
          </w:p>
        </w:tc>
        <w:tc>
          <w:tcPr>
            <w:tcW w:type="dxa" w:w="2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00000">
            <w:pPr>
              <w:pStyle w:val="Style_2"/>
              <w:spacing w:after="0" w:before="0" w:line="276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0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0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юридические лица</w:t>
            </w:r>
            <w:r>
              <w:rPr>
                <w:rFonts w:ascii="PT Astra Serif" w:hAnsi="PT Astra Serif"/>
                <w:sz w:val="22"/>
              </w:rPr>
              <w:t xml:space="preserve"> (за исключением государственных (муниципальных) учреждений), </w:t>
            </w:r>
            <w:r>
              <w:rPr>
                <w:rFonts w:ascii="PT Astra Serif" w:hAnsi="PT Astra Serif"/>
                <w:sz w:val="22"/>
              </w:rPr>
              <w:t>осуществляющие предпринимательскую деятельность на территории Арктической зоны Республики Саха (Якутия).</w:t>
            </w:r>
          </w:p>
        </w:tc>
        <w:tc>
          <w:tcPr>
            <w:tcW w:type="dxa" w:w="2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00000">
            <w:pPr>
              <w:ind w:firstLine="0" w:left="0"/>
              <w:jc w:val="center"/>
            </w:pPr>
            <w:r>
              <w:t>-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00000">
            <w:pPr>
              <w:ind w:firstLine="0" w:left="0"/>
              <w:jc w:val="center"/>
            </w:pPr>
            <w:r>
              <w:t>-</w:t>
            </w:r>
          </w:p>
        </w:tc>
        <w:tc>
          <w:tcPr>
            <w:tcW w:type="dxa" w:w="1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00000">
            <w:pPr>
              <w:ind w:firstLine="0" w:left="0"/>
              <w:jc w:val="center"/>
            </w:pPr>
            <w:r>
              <w:t>-</w:t>
            </w:r>
          </w:p>
        </w:tc>
      </w:tr>
    </w:tbl>
    <w:p w14:paraId="78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7.5.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Издержки и выгоды адресатов предлагаемого правового регулирования, не поддающиеся количественной оценке:</w:t>
      </w:r>
    </w:p>
    <w:p w14:paraId="79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Государственная поддержка </w:t>
      </w:r>
      <w:r>
        <w:rPr>
          <w:rFonts w:ascii="PT Astra Serif" w:hAnsi="PT Astra Serif"/>
          <w:sz w:val="24"/>
        </w:rPr>
        <w:t>на организацию хлебопечения в Арктической зоне Республики Саха (Якутия).</w:t>
      </w:r>
    </w:p>
    <w:p w14:paraId="7A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7.6.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Источники данных: -</w:t>
      </w:r>
    </w:p>
    <w:p w14:paraId="7B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8.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>Оценка рисков неблагоприятных последствий применения предлагаемого правового регулирования</w:t>
      </w: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68"/>
        <w:gridCol w:w="3119"/>
        <w:gridCol w:w="1843"/>
        <w:gridCol w:w="2136"/>
      </w:tblGrid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2"/>
              <w:widowControl w:val="0"/>
              <w:spacing w:after="0" w:line="240" w:lineRule="auto"/>
              <w:ind w:firstLine="709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8.1. Виды рисков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pStyle w:val="Style_2"/>
              <w:widowControl w:val="0"/>
              <w:spacing w:after="0" w:line="240" w:lineRule="auto"/>
              <w:ind w:firstLine="709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2"/>
              <w:widowControl w:val="0"/>
              <w:spacing w:after="0" w:line="240" w:lineRule="auto"/>
              <w:ind w:firstLine="709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8.3. Методы контроля рисков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2"/>
              <w:widowControl w:val="0"/>
              <w:spacing w:after="0" w:line="240" w:lineRule="auto"/>
              <w:ind w:firstLine="709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8.4. Степень контроля рисков (полный/частичный/отсутствует)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widowControl w:val="0"/>
              <w:spacing w:after="0" w:line="276" w:lineRule="auto"/>
              <w:ind w:firstLine="709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widowControl w:val="0"/>
              <w:spacing w:after="0" w:line="276" w:lineRule="auto"/>
              <w:ind w:firstLine="709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widowControl w:val="0"/>
              <w:spacing w:after="0" w:line="276" w:lineRule="auto"/>
              <w:ind w:firstLine="709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widowControl w:val="0"/>
              <w:spacing w:after="0" w:line="276" w:lineRule="auto"/>
              <w:ind w:firstLine="709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84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8.5.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Источники данных:</w:t>
      </w:r>
      <w:r>
        <w:rPr>
          <w:rFonts w:ascii="PT Astra Serif" w:hAnsi="PT Astra Serif"/>
          <w:sz w:val="24"/>
        </w:rPr>
        <w:t xml:space="preserve"> -</w:t>
      </w:r>
    </w:p>
    <w:p w14:paraId="85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9.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sz w:val="24"/>
        </w:rPr>
        <w:t xml:space="preserve">Сравнение возможных вариантов решения проблемы </w:t>
      </w: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714"/>
        <w:gridCol w:w="3177"/>
        <w:gridCol w:w="2905"/>
      </w:tblGrid>
      <w:tr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pStyle w:val="Style_2"/>
              <w:widowControl w:val="0"/>
              <w:spacing w:after="0" w:line="240" w:lineRule="auto"/>
              <w:ind w:firstLine="709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pStyle w:val="Style_2"/>
              <w:widowControl w:val="0"/>
              <w:spacing w:after="0" w:line="240" w:lineRule="auto"/>
              <w:ind w:firstLine="709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Вариант 1 </w:t>
            </w:r>
          </w:p>
        </w:tc>
        <w:tc>
          <w:tcPr>
            <w:tcW w:type="dxa" w:w="2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pStyle w:val="Style_2"/>
              <w:widowControl w:val="0"/>
              <w:spacing w:after="0" w:line="240" w:lineRule="auto"/>
              <w:ind w:firstLine="709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Вариант 2 </w:t>
            </w:r>
          </w:p>
        </w:tc>
      </w:tr>
      <w:tr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9.1. Содержание варианта решения проблемы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Принятие акта</w:t>
            </w:r>
          </w:p>
        </w:tc>
        <w:tc>
          <w:tcPr>
            <w:tcW w:type="dxa" w:w="2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Непринятие акта</w:t>
            </w:r>
          </w:p>
        </w:tc>
      </w:tr>
      <w:tr>
        <w:trPr>
          <w:trHeight w:hRule="atLeast" w:val="1707"/>
        </w:trPr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Увеличение численности занятых в сфере хлебопечения в Арктической зоне Якутии</w:t>
            </w:r>
          </w:p>
          <w:p w14:paraId="8E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Сокращение числа занятых хлебопечением в арктических районах Республики</w:t>
            </w:r>
          </w:p>
        </w:tc>
      </w:tr>
      <w:tr>
        <w:trPr>
          <w:trHeight w:hRule="atLeast" w:val="789"/>
        </w:trPr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9.3.Оценка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 руб.</w:t>
            </w:r>
          </w:p>
        </w:tc>
        <w:tc>
          <w:tcPr>
            <w:tcW w:type="dxa" w:w="2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 руб.</w:t>
            </w:r>
          </w:p>
        </w:tc>
      </w:tr>
      <w:tr>
        <w:trPr>
          <w:trHeight w:hRule="atLeast" w:val="789"/>
        </w:trPr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9.4. Оценка расходов (доходов) государственного бюджета Республики Саха (Якутия), связанных с введением предлагаемого правового регулирования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 руб.</w:t>
            </w:r>
          </w:p>
        </w:tc>
        <w:tc>
          <w:tcPr>
            <w:tcW w:type="dxa" w:w="2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 руб.</w:t>
            </w:r>
          </w:p>
        </w:tc>
      </w:tr>
      <w:tr>
        <w:trPr>
          <w:trHeight w:hRule="atLeast" w:val="789"/>
        </w:trPr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Достигается</w:t>
            </w:r>
          </w:p>
        </w:tc>
        <w:tc>
          <w:tcPr>
            <w:tcW w:type="dxa" w:w="2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Не достигается</w:t>
            </w:r>
          </w:p>
        </w:tc>
      </w:tr>
      <w:tr>
        <w:trPr>
          <w:trHeight w:hRule="atLeast" w:val="789"/>
        </w:trPr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9.6. Оценка рисков неблагоприятных последствий 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Низкая</w:t>
            </w:r>
          </w:p>
        </w:tc>
        <w:tc>
          <w:tcPr>
            <w:tcW w:type="dxa" w:w="2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Высокая</w:t>
            </w:r>
          </w:p>
        </w:tc>
      </w:tr>
      <w:tr>
        <w:trPr>
          <w:trHeight w:hRule="atLeast" w:val="789"/>
        </w:trPr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9.7. Необходимые для достижения 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Предоставление финансовой поддержки в виде субсидий лицам, занимающихся хдебопечением в Арктической зоне Республики, общий объем предусмотренных средств из </w:t>
            </w:r>
          </w:p>
          <w:p w14:paraId="9E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ГБ РС(Я) на 2025 год </w:t>
            </w:r>
          </w:p>
          <w:p w14:paraId="9F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составляет 4 млн руб. </w:t>
            </w:r>
          </w:p>
        </w:tc>
        <w:tc>
          <w:tcPr>
            <w:tcW w:type="dxa" w:w="2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</w:tr>
    </w:tbl>
    <w:p w14:paraId="A1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9.8.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Обоснование выбора предпочтительного варианта решения выявленной проблемы</w:t>
      </w:r>
      <w:r>
        <w:rPr>
          <w:rFonts w:ascii="PT Astra Serif" w:hAnsi="PT Astra Serif"/>
          <w:sz w:val="24"/>
        </w:rPr>
        <w:t>:</w:t>
      </w:r>
    </w:p>
    <w:p w14:paraId="A2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Style w:val="Style_2_ch"/>
          <w:rFonts w:ascii="PT Astra Serif" w:hAnsi="PT Astra Serif"/>
          <w:sz w:val="24"/>
        </w:rPr>
        <w:t>В целях поддержки хлебопечения в арктических районах посредством</w:t>
      </w:r>
      <w:r>
        <w:rPr>
          <w:rStyle w:val="Style_2_ch"/>
          <w:rFonts w:ascii="PT Astra Serif" w:hAnsi="PT Astra Serif"/>
          <w:sz w:val="24"/>
        </w:rPr>
        <w:t xml:space="preserve"> модернизации производственного оборудования</w:t>
      </w:r>
      <w:r>
        <w:rPr>
          <w:rStyle w:val="Style_2_ch"/>
          <w:rFonts w:ascii="PT Astra Serif" w:hAnsi="PT Astra Serif"/>
          <w:sz w:val="24"/>
        </w:rPr>
        <w:t xml:space="preserve"> предлагается вариант № 1.</w:t>
      </w:r>
    </w:p>
    <w:p w14:paraId="A3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9.9.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Детальное описание предлагаемого варианта решения проблемы:</w:t>
      </w:r>
    </w:p>
    <w:p w14:paraId="A4000000">
      <w:pPr>
        <w:ind w:firstLine="709" w:left="0"/>
        <w:jc w:val="both"/>
        <w:rPr>
          <w:rFonts w:ascii="PT Astra Serif" w:hAnsi="PT Astra Serif"/>
          <w:sz w:val="24"/>
        </w:rPr>
      </w:pPr>
      <w:r>
        <w:rPr>
          <w:rStyle w:val="Style_2_ch"/>
          <w:rFonts w:ascii="PT Astra Serif" w:hAnsi="PT Astra Serif"/>
          <w:sz w:val="24"/>
        </w:rPr>
        <w:t>Хлебопекарни в большинстве населенных пунктов имеют устаревшее оборудование, расположены в зданиях советского периода постройки. Выпуск хлеба в настоящее время нерентабелен из-за высоких затрат на электроэнергию и коммунальные услуги.</w:t>
      </w:r>
    </w:p>
    <w:p w14:paraId="A5000000">
      <w:pPr>
        <w:ind w:firstLine="709" w:left="0"/>
        <w:jc w:val="both"/>
        <w:rPr>
          <w:rFonts w:ascii="PT Astra Serif" w:hAnsi="PT Astra Serif"/>
          <w:sz w:val="24"/>
        </w:rPr>
      </w:pPr>
      <w:r>
        <w:rPr>
          <w:rStyle w:val="Style_2_ch"/>
          <w:rFonts w:ascii="PT Astra Serif" w:hAnsi="PT Astra Serif"/>
          <w:sz w:val="24"/>
        </w:rPr>
        <w:t>По итогам совещания от 02.06.2022 г. под руководством Главы РС(Я) по социально-экономическому развитию Колымской группы районов поручено рассмотреть возможность предоставления государственной поддержки на приобретение модульных пекарен в арктических районах.</w:t>
      </w:r>
    </w:p>
    <w:p w14:paraId="A6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Style w:val="Style_2_ch"/>
          <w:rFonts w:ascii="PT Astra Serif" w:hAnsi="PT Astra Serif"/>
          <w:sz w:val="24"/>
        </w:rPr>
        <w:t xml:space="preserve">Принятие акта позволит повысить уровень продовольственной самообеспеченности арктических районов , что в свою очередь,  обеспечит население арктических районов Якутии товарами первой необходимости. </w:t>
      </w:r>
      <w:r>
        <w:rPr>
          <w:rStyle w:val="Style_2_ch"/>
          <w:rFonts w:ascii="PT Astra Serif" w:hAnsi="PT Astra Serif"/>
          <w:sz w:val="24"/>
        </w:rPr>
        <w:t xml:space="preserve"> </w:t>
      </w:r>
    </w:p>
    <w:p w14:paraId="A7000000">
      <w:pPr>
        <w:tabs>
          <w:tab w:leader="none" w:pos="708" w:val="clear"/>
          <w:tab w:leader="none" w:pos="1134" w:val="left"/>
        </w:tabs>
        <w:spacing w:after="0" w:before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10.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>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A8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single"/>
        </w:rPr>
        <w:t>10.1.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Предполагаемая дата вступления в силу нормативного правового акта:</w:t>
      </w:r>
      <w:r>
        <w:rPr>
          <w:rFonts w:ascii="PT Astra Serif" w:hAnsi="PT Astra Serif"/>
          <w:sz w:val="24"/>
          <w:u w:val="none"/>
        </w:rPr>
        <w:t xml:space="preserve"> </w:t>
      </w:r>
    </w:p>
    <w:p w14:paraId="A9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none"/>
        </w:rPr>
        <w:t>С 1 января 2025 года.</w:t>
      </w:r>
    </w:p>
    <w:p w14:paraId="AA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10.2.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Необходимость установления переходного периода и (или) отсрочки введения предлагаемого правового регулирования:</w:t>
      </w:r>
      <w:r>
        <w:rPr>
          <w:rFonts w:ascii="PT Astra Serif" w:hAnsi="PT Astra Serif"/>
          <w:sz w:val="24"/>
        </w:rPr>
        <w:t xml:space="preserve"> отсутствует.</w:t>
      </w:r>
    </w:p>
    <w:p w14:paraId="AB000000">
      <w:pPr>
        <w:widowControl w:val="0"/>
        <w:numPr>
          <w:numId w:val="1"/>
        </w:numPr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срок переходного периода:  - </w:t>
      </w:r>
      <w:r>
        <w:rPr>
          <w:rFonts w:ascii="PT Astra Serif" w:hAnsi="PT Astra Serif"/>
          <w:sz w:val="24"/>
        </w:rPr>
        <w:t>дней с момента принятия проекта нормативного правового акта;</w:t>
      </w:r>
    </w:p>
    <w:p w14:paraId="AC000000">
      <w:pPr>
        <w:widowControl w:val="0"/>
        <w:numPr>
          <w:numId w:val="1"/>
        </w:numPr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отсрочка введения предлагаемого правового регулирования: - </w:t>
      </w:r>
      <w:r>
        <w:rPr>
          <w:rFonts w:ascii="PT Astra Serif" w:hAnsi="PT Astra Serif"/>
          <w:sz w:val="24"/>
        </w:rPr>
        <w:t>дней с момента принятия проекта нормативного правового акта.</w:t>
      </w:r>
    </w:p>
    <w:p w14:paraId="AD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10.3.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Необходимость распространения предлагаемого правового регулирования на ранее возникшие отношения:</w:t>
      </w:r>
      <w:r>
        <w:rPr>
          <w:rFonts w:ascii="PT Astra Serif" w:hAnsi="PT Astra Serif"/>
          <w:sz w:val="24"/>
        </w:rPr>
        <w:t xml:space="preserve"> </w:t>
      </w:r>
    </w:p>
    <w:p w14:paraId="AE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Отсутствует.</w:t>
      </w:r>
    </w:p>
    <w:p w14:paraId="AF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10.3.1.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Период распространения на ранее возникшие отношения:</w:t>
      </w:r>
      <w:r>
        <w:rPr>
          <w:rFonts w:ascii="PT Astra Serif" w:hAnsi="PT Astra Serif"/>
          <w:sz w:val="24"/>
        </w:rPr>
        <w:t xml:space="preserve"> -</w:t>
      </w:r>
      <w:r>
        <w:rPr>
          <w:rFonts w:ascii="PT Astra Serif" w:hAnsi="PT Astra Serif"/>
          <w:sz w:val="24"/>
        </w:rPr>
        <w:t xml:space="preserve"> дней с момента принятия проекта нормативного правового акта. </w:t>
      </w:r>
    </w:p>
    <w:p w14:paraId="B0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single"/>
        </w:rPr>
        <w:t>10.4.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>
        <w:rPr>
          <w:rFonts w:ascii="PT Astra Serif" w:hAnsi="PT Astra Serif"/>
          <w:sz w:val="24"/>
          <w:u w:val="none"/>
        </w:rPr>
        <w:t xml:space="preserve"> отсутствует.</w:t>
      </w:r>
    </w:p>
    <w:p w14:paraId="B1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14:paraId="B2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11.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 xml:space="preserve">Информация о сроках проведения публичных консультаций по проекту нормативного правового акта и сводному отчету: </w:t>
      </w:r>
    </w:p>
    <w:p w14:paraId="B3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14:paraId="B4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начало: 6 декабря 2024 года</w:t>
      </w:r>
    </w:p>
    <w:p w14:paraId="B5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окончание: 19 декабря 2024 года</w:t>
      </w:r>
    </w:p>
    <w:p w14:paraId="B6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11.2. Сведения о количестве замечаний и предложений, полученных в ходе публичных консультаций по проекту нормативного правового акта: _____</w:t>
      </w:r>
    </w:p>
    <w:p w14:paraId="B7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Всего замечаний и предложений: ______</w:t>
      </w:r>
    </w:p>
    <w:p w14:paraId="B8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полностью:___________________ , учтено частично: ________________ </w:t>
      </w:r>
    </w:p>
    <w:p w14:paraId="B9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</w:t>
      </w:r>
    </w:p>
    <w:p w14:paraId="BA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1470114</wp:posOffset>
            </wp:positionH>
            <wp:positionV relativeFrom="page">
              <wp:posOffset>5351135</wp:posOffset>
            </wp:positionV>
            <wp:extent cx="2019300" cy="835858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019300" cy="835858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BB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</w:t>
      </w:r>
    </w:p>
    <w:p w14:paraId="BC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</w:p>
    <w:p w14:paraId="BD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</w:p>
    <w:p w14:paraId="BE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</w:p>
    <w:p w14:paraId="BF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Министр              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                                                           В.Н.  Черноградский </w:t>
      </w:r>
    </w:p>
    <w:p w14:paraId="C0000000">
      <w:r>
        <w:t xml:space="preserve">   </w:t>
      </w:r>
    </w:p>
    <w:p w14:paraId="C1000000">
      <w:pPr>
        <w:sectPr>
          <w:pgSz w:h="16848" w:orient="portrait" w:w="11908"/>
          <w:pgMar w:bottom="567" w:footer="397" w:gutter="0" w:header="397" w:left="1134" w:right="850" w:top="850"/>
        </w:sectPr>
      </w:pPr>
    </w:p>
    <w:sectPr>
      <w:pgSz w:h="16848" w:orient="portrait" w:w="11908"/>
      <w:pgMar w:bottom="567" w:footer="708" w:gutter="0" w:header="708" w:left="1134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_ch" w:type="character">
    <w:name w:val="ConsPlusTitle"/>
    <w:link w:val="Style_1"/>
    <w:rPr>
      <w:rFonts w:ascii="Calibri" w:hAnsi="Calibri"/>
      <w:b w:val="1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2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2_ch"/>
    <w:link w:val="Style_10"/>
  </w:style>
  <w:style w:styleId="Style_11" w:type="paragraph">
    <w:name w:val="footer"/>
    <w:basedOn w:val="Style_2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2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List Paragraph"/>
    <w:basedOn w:val="Style_2"/>
    <w:link w:val="Style_13_ch"/>
    <w:pPr>
      <w:ind w:firstLine="0" w:left="720"/>
      <w:contextualSpacing w:val="1"/>
    </w:pPr>
  </w:style>
  <w:style w:styleId="Style_13_ch" w:type="character">
    <w:name w:val="List Paragraph"/>
    <w:basedOn w:val="Style_2_ch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ConsPlusNonformat"/>
    <w:link w:val="Style_1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6_ch" w:type="character">
    <w:name w:val="ConsPlusNonformat"/>
    <w:link w:val="Style_16"/>
    <w:rPr>
      <w:rFonts w:ascii="Courier New" w:hAnsi="Courier New"/>
      <w:sz w:val="20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2"/>
    <w:link w:val="Style_18_ch"/>
    <w:rPr>
      <w:color w:themeColor="hyperlink" w:val="0563C1"/>
      <w:u w:val="single"/>
    </w:rPr>
  </w:style>
  <w:style w:styleId="Style_18_ch" w:type="character">
    <w:name w:val="Hyperlink"/>
    <w:basedOn w:val="Style_12_ch"/>
    <w:link w:val="Style_18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ConsPlusNormal"/>
    <w:link w:val="Style_20_ch"/>
    <w:pPr>
      <w:widowControl w:val="0"/>
      <w:spacing w:after="0" w:line="240" w:lineRule="auto"/>
      <w:ind/>
    </w:pPr>
    <w:rPr>
      <w:rFonts w:ascii="Calibri" w:hAnsi="Calibri"/>
    </w:rPr>
  </w:style>
  <w:style w:styleId="Style_20_ch" w:type="character">
    <w:name w:val="ConsPlusNormal"/>
    <w:link w:val="Style_20"/>
    <w:rPr>
      <w:rFonts w:ascii="Calibri" w:hAnsi="Calibri"/>
    </w:rPr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2024-12-04T09:39:13Z</dcterms:modified>
</cp:coreProperties>
</file>