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firstLine="0" w:left="0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ОТЧЕТ</w:t>
      </w:r>
    </w:p>
    <w:p w14:paraId="08000000">
      <w:pPr>
        <w:spacing w:after="0" w:line="240" w:lineRule="auto"/>
        <w:ind w:firstLine="0" w:left="0" w:right="-28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результатах </w:t>
      </w:r>
      <w:r>
        <w:rPr>
          <w:rFonts w:ascii="Times New Roman" w:hAnsi="Times New Roman"/>
          <w:b w:val="1"/>
          <w:sz w:val="28"/>
        </w:rPr>
        <w:t>проведения оценки регулирующего</w:t>
      </w:r>
      <w:r>
        <w:rPr>
          <w:rFonts w:ascii="Times New Roman" w:hAnsi="Times New Roman"/>
          <w:b w:val="1"/>
          <w:sz w:val="28"/>
        </w:rPr>
        <w:t xml:space="preserve"> воздействия</w:t>
      </w:r>
    </w:p>
    <w:p w14:paraId="09000000">
      <w:pPr>
        <w:spacing w:after="15" w:line="240" w:lineRule="auto"/>
        <w:ind w:firstLine="0" w:left="0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проекта приказа 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Об утверждении Порядка предоставления субсидии из государственного бюджета Республики Саха (Якутия) на возмещение затрат ГУП «Жилищно-коммунальное хозяйство Республики Саха (Якутия)» на реализацию мероприятий по капитальному ремонту линейных объектов региональной программы по модернизации систем коммунальной инфраструктуры на период 2023-2027 годов</w:t>
      </w:r>
      <w:r>
        <w:rPr>
          <w:rFonts w:ascii="Times New Roman" w:hAnsi="Times New Roman"/>
          <w:b w:val="1"/>
          <w:sz w:val="28"/>
        </w:rPr>
        <w:t>»</w:t>
      </w:r>
    </w:p>
    <w:p w14:paraId="0A000000">
      <w:pPr>
        <w:pStyle w:val="Style_2"/>
        <w:ind w:firstLine="709" w:left="0" w:right="-285"/>
        <w:jc w:val="center"/>
        <w:rPr>
          <w:sz w:val="28"/>
        </w:rPr>
      </w:pPr>
    </w:p>
    <w:p w14:paraId="0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Общая информация</w:t>
      </w:r>
    </w:p>
    <w:p w14:paraId="0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Орган-разработчик:</w:t>
      </w:r>
    </w:p>
    <w:p w14:paraId="0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Министерство жилищно-коммунального хозяйства и энергетики</w:t>
      </w:r>
      <w:r>
        <w:rPr>
          <w:rFonts w:ascii="Times New Roman" w:hAnsi="Times New Roman"/>
          <w:sz w:val="28"/>
          <w:u w:val="single"/>
        </w:rPr>
        <w:t xml:space="preserve"> Республики Саха (Якутия)</w:t>
      </w:r>
      <w:r>
        <w:rPr>
          <w:rFonts w:ascii="Times New Roman" w:hAnsi="Times New Roman"/>
          <w:sz w:val="28"/>
          <w:u w:val="single"/>
        </w:rPr>
        <w:t>, (</w:t>
      </w:r>
      <w:r>
        <w:rPr>
          <w:rFonts w:ascii="Times New Roman" w:hAnsi="Times New Roman"/>
          <w:sz w:val="28"/>
          <w:u w:val="single"/>
        </w:rPr>
        <w:t>МинЖКХиЭ</w:t>
      </w:r>
      <w:r>
        <w:rPr>
          <w:rFonts w:ascii="Times New Roman" w:hAnsi="Times New Roman"/>
          <w:sz w:val="28"/>
          <w:u w:val="single"/>
        </w:rPr>
        <w:t xml:space="preserve"> РС(Я))</w:t>
      </w:r>
      <w:r>
        <w:rPr>
          <w:rFonts w:ascii="Times New Roman" w:hAnsi="Times New Roman"/>
          <w:sz w:val="28"/>
          <w:u w:val="single"/>
        </w:rPr>
        <w:t>.</w:t>
      </w:r>
    </w:p>
    <w:p w14:paraId="0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Вид и наименование проекта нормативного правового акта:</w:t>
      </w:r>
    </w:p>
    <w:p w14:paraId="0F000000">
      <w:pPr>
        <w:spacing w:after="15" w:line="240" w:lineRule="auto"/>
        <w:ind w:firstLine="709" w:left="0" w:right="-2"/>
        <w:jc w:val="both"/>
        <w:rPr>
          <w:rFonts w:ascii="Times New Roman" w:hAnsi="Times New Roman"/>
          <w:b w:val="0"/>
          <w:sz w:val="28"/>
          <w:u w:val="single"/>
        </w:rPr>
      </w:pPr>
      <w:r>
        <w:rPr>
          <w:rFonts w:ascii="Times New Roman" w:hAnsi="Times New Roman"/>
          <w:b w:val="0"/>
          <w:sz w:val="28"/>
        </w:rPr>
        <w:t>Проект приказа 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PT Astra Serif" w:hAnsi="PT Astra Serif"/>
          <w:b w:val="0"/>
          <w:sz w:val="28"/>
        </w:rPr>
        <w:t>Об утверждении Порядка предоставления субсидии из государственного бюджета Республики Саха (Якутия) на возмещение затрат ГУП «Жилищно-коммунальное хозяйство Республики Саха (Якутия)» на реализацию мероприятий по капитальному ремонту линейных объектов региональной программы по модернизации систем коммунальной инфраструктуры на период 2023-2027 годов</w:t>
      </w:r>
      <w:r>
        <w:rPr>
          <w:rFonts w:ascii="Times New Roman" w:hAnsi="Times New Roman"/>
          <w:b w:val="0"/>
          <w:sz w:val="28"/>
        </w:rPr>
        <w:t>» (далее – проект приказа)</w:t>
      </w:r>
      <w:r>
        <w:rPr>
          <w:rFonts w:ascii="Times New Roman" w:hAnsi="Times New Roman"/>
          <w:b w:val="0"/>
          <w:color w:val="000000"/>
          <w:sz w:val="28"/>
          <w:u w:val="single"/>
        </w:rPr>
        <w:t>.</w:t>
      </w:r>
    </w:p>
    <w:p w14:paraId="1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Краткое описание проблемы, на решение которой направлено предлагаемое правовое регулирование:</w:t>
      </w:r>
    </w:p>
    <w:p w14:paraId="1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Разработанным </w:t>
      </w:r>
      <w:r>
        <w:rPr>
          <w:rFonts w:ascii="Times New Roman" w:hAnsi="Times New Roman"/>
          <w:sz w:val="28"/>
        </w:rPr>
        <w:t>проектом 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предполагается:</w:t>
      </w:r>
    </w:p>
    <w:p w14:paraId="1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обоснование необходимости принятия акта:</w:t>
      </w:r>
    </w:p>
    <w:p w14:paraId="13000000">
      <w:pPr>
        <w:numPr>
          <w:numId w:val="1"/>
        </w:num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Российской Федерации от 25.12.2023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14000000">
      <w:pPr>
        <w:numPr>
          <w:numId w:val="2"/>
        </w:numPr>
        <w:spacing w:after="0" w:line="240" w:lineRule="auto"/>
        <w:ind w:firstLine="709" w:left="0" w:right="-28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Правила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</w:t>
      </w:r>
      <w:r>
        <w:rPr>
          <w:rFonts w:ascii="PT Astra Serif" w:hAnsi="PT Astra Serif"/>
          <w:sz w:val="28"/>
        </w:rPr>
        <w:t>модернизацию систем коммунальной инфраструктуры на 2023-2027 годы, утвержденными постановлением Правительства Российской Федерации от 08.12.2022 года № 2253.</w:t>
      </w:r>
    </w:p>
    <w:p w14:paraId="15000000">
      <w:pPr>
        <w:numPr>
          <w:numId w:val="3"/>
        </w:numPr>
        <w:spacing w:after="0" w:line="240" w:lineRule="auto"/>
        <w:ind w:firstLine="709" w:left="0" w:right="-28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Протокол заочного голосования Президиума (штаба) Правительственной комиссии по региональному развитию в Российской Федерации от 12.04.2024 </w:t>
      </w:r>
      <w:r>
        <w:br/>
      </w:r>
      <w:r>
        <w:rPr>
          <w:rFonts w:ascii="XO Thames" w:hAnsi="XO Thames"/>
          <w:sz w:val="28"/>
        </w:rPr>
        <w:t>№ 34пр, приложение № 2</w:t>
      </w:r>
      <w:r>
        <w:rPr>
          <w:rFonts w:ascii="XO Thames" w:hAnsi="XO Thames"/>
          <w:sz w:val="28"/>
        </w:rPr>
        <w:t>.</w:t>
      </w:r>
    </w:p>
    <w:p w14:paraId="1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целей предлагаемого правового регулирования:</w:t>
      </w:r>
    </w:p>
    <w:p w14:paraId="1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Проект приказа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подготовлен в целях предоставления субсидии на возмещение затрат </w:t>
      </w:r>
      <w:r>
        <w:rPr>
          <w:rFonts w:ascii="Times New Roman" w:hAnsi="Times New Roman"/>
          <w:sz w:val="28"/>
        </w:rPr>
        <w:t>ГУП «ЖКХ РС(Я)» на реализацию мероприятия по капитальному ремонту линейных объектов региональной программы по модернизации систем коммунальной инфраструктуры Республики Саха (Якутия) на период 2023-2027 годов».</w:t>
      </w:r>
    </w:p>
    <w:p w14:paraId="1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Краткое описание содержания предлагаемого правового регулирования:</w:t>
      </w:r>
    </w:p>
    <w:p w14:paraId="1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приказа состоит из преамбулы, 3 пунктов и 2 подпунктов.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Контактная информация исполнителя в органе-разработчике:</w:t>
      </w:r>
    </w:p>
    <w:p w14:paraId="1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Ф.И.О.:</w:t>
      </w:r>
    </w:p>
    <w:p w14:paraId="1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Пахомов Виктор Викторович</w:t>
      </w:r>
    </w:p>
    <w:p w14:paraId="1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Должность:</w:t>
      </w:r>
    </w:p>
    <w:p w14:paraId="1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г</w:t>
      </w:r>
      <w:r>
        <w:rPr>
          <w:rFonts w:ascii="Times New Roman" w:hAnsi="Times New Roman"/>
          <w:sz w:val="28"/>
          <w:u w:val="single"/>
        </w:rPr>
        <w:t xml:space="preserve">лавный специалист </w:t>
      </w:r>
      <w:r>
        <w:rPr>
          <w:rFonts w:ascii="Times New Roman" w:hAnsi="Times New Roman"/>
          <w:sz w:val="28"/>
          <w:u w:val="single"/>
        </w:rPr>
        <w:t>Департамента коммунального комплекса и государственной службы</w:t>
      </w:r>
      <w:r>
        <w:rPr>
          <w:rFonts w:ascii="Times New Roman" w:hAnsi="Times New Roman"/>
          <w:sz w:val="28"/>
          <w:u w:val="single"/>
        </w:rPr>
        <w:t xml:space="preserve"> Министерства жилищно-коммунального хозяйства и энергетики Республики Саха (Якутия)</w:t>
      </w:r>
    </w:p>
    <w:p w14:paraId="1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Тел: </w:t>
      </w: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(4112) </w:t>
      </w:r>
      <w:r>
        <w:rPr>
          <w:rFonts w:ascii="Times New Roman" w:hAnsi="Times New Roman"/>
          <w:sz w:val="28"/>
          <w:u w:val="single"/>
        </w:rPr>
        <w:t>506</w:t>
      </w:r>
      <w:r>
        <w:rPr>
          <w:rFonts w:ascii="Times New Roman" w:hAnsi="Times New Roman"/>
          <w:sz w:val="28"/>
          <w:u w:val="single"/>
        </w:rPr>
        <w:t> </w:t>
      </w:r>
      <w:r>
        <w:rPr>
          <w:rFonts w:ascii="Times New Roman" w:hAnsi="Times New Roman"/>
          <w:sz w:val="28"/>
          <w:u w:val="single"/>
        </w:rPr>
        <w:t>894</w:t>
      </w:r>
    </w:p>
    <w:p w14:paraId="2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</w:rPr>
        <w:t>mingkx@sakha.gov.ru</w:t>
      </w:r>
    </w:p>
    <w:p w14:paraId="2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Степень регулирующего воздействия проекта нормативного правового акта:</w:t>
      </w:r>
    </w:p>
    <w:p w14:paraId="2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Средняя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степень регулирующего воздействия</w:t>
      </w:r>
    </w:p>
    <w:p w14:paraId="2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Обоснование отнесения проекта нормативного </w:t>
      </w:r>
      <w:r>
        <w:rPr>
          <w:rFonts w:ascii="Times New Roman" w:hAnsi="Times New Roman"/>
          <w:sz w:val="28"/>
        </w:rPr>
        <w:t xml:space="preserve">правового акта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определенной степени регулирующего воздействия:</w:t>
      </w:r>
    </w:p>
    <w:p w14:paraId="2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акта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содержит положения, устанавливающие ранее не предусмотренные действующим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действующим законодательством расходов субъектов предпринимательской и инвестиционной деятельности и расходов государственного бюджета Республики Саха (Якутия) и воздействующие на состояние конкуренции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проблемы, на решение которой направлено предлагаемое правовое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регулирование</w:t>
      </w:r>
    </w:p>
    <w:p w14:paraId="2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Формулировка проблемы: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spacing w:after="0" w:line="240" w:lineRule="auto"/>
        <w:ind w:firstLine="709" w:left="0" w:right="-285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разработан в целях распределения субсидии из государственного бюджета Республики Саха (Якутия) на финансовое обеспечение (возмещение) затрат на реализацию мероприятий по капитальному ремонту линейных объектов в соответствии с региональной программой по модернизации систем коммунальной инфраструктуры на период 2023-2027 годов.</w:t>
      </w:r>
    </w:p>
    <w:p w14:paraId="2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Информац</w:t>
      </w:r>
      <w:r>
        <w:rPr>
          <w:rFonts w:ascii="Times New Roman" w:hAnsi="Times New Roman"/>
          <w:sz w:val="28"/>
        </w:rPr>
        <w:t>ия о возникновении, выявлении проблемы и мерах, принятых 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ее решения, достигнутых результатах и затраченных ресурсах:</w:t>
      </w:r>
      <w:r>
        <w:rPr>
          <w:rFonts w:ascii="Times New Roman" w:hAnsi="Times New Roman"/>
          <w:sz w:val="28"/>
        </w:rPr>
        <w:t xml:space="preserve"> -</w:t>
      </w:r>
    </w:p>
    <w:p w14:paraId="2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Социальные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устранении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количественная оценка:</w:t>
      </w:r>
    </w:p>
    <w:p w14:paraId="2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>
        <w:rPr>
          <w:rFonts w:ascii="Times New Roman" w:hAnsi="Times New Roman"/>
          <w:sz w:val="28"/>
          <w:u w:val="single"/>
        </w:rPr>
        <w:t>рганы местного самоуправления</w:t>
      </w:r>
      <w:r>
        <w:rPr>
          <w:rFonts w:ascii="Times New Roman" w:hAnsi="Times New Roman"/>
          <w:sz w:val="28"/>
          <w:u w:val="single"/>
        </w:rPr>
        <w:t xml:space="preserve">, </w:t>
      </w:r>
      <w:r>
        <w:rPr>
          <w:rFonts w:ascii="Times New Roman" w:hAnsi="Times New Roman"/>
          <w:sz w:val="28"/>
          <w:u w:val="single"/>
        </w:rPr>
        <w:t>ресурсоснабжающие</w:t>
      </w:r>
      <w:r>
        <w:rPr>
          <w:rFonts w:ascii="Times New Roman" w:hAnsi="Times New Roman"/>
          <w:sz w:val="28"/>
          <w:u w:val="single"/>
        </w:rPr>
        <w:t xml:space="preserve"> организации</w:t>
      </w:r>
      <w:r>
        <w:rPr>
          <w:rFonts w:ascii="Times New Roman" w:hAnsi="Times New Roman"/>
          <w:sz w:val="28"/>
          <w:u w:val="single"/>
        </w:rPr>
        <w:t>.</w:t>
      </w:r>
    </w:p>
    <w:p w14:paraId="2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негативных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возникающих в связи с наличием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проблемы, их количественная оценка:</w:t>
      </w:r>
    </w:p>
    <w:p w14:paraId="2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Негативные эффекты, возникающие в связи с </w:t>
      </w:r>
      <w:r>
        <w:rPr>
          <w:rFonts w:ascii="Times New Roman" w:hAnsi="Times New Roman"/>
          <w:sz w:val="28"/>
          <w:u w:val="single"/>
        </w:rPr>
        <w:t xml:space="preserve">утверждением приказа </w:t>
      </w:r>
      <w:r>
        <w:rPr>
          <w:rFonts w:ascii="Times New Roman" w:hAnsi="Times New Roman"/>
          <w:b w:val="0"/>
          <w:sz w:val="28"/>
        </w:rPr>
        <w:t>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PT Astra Serif" w:hAnsi="PT Astra Serif"/>
          <w:b w:val="0"/>
          <w:sz w:val="28"/>
        </w:rPr>
        <w:t>Об утверждении Порядка предоставления субсидии из государственного бюджета Республики Саха (Якутия) на возмещение затрат ГУП «Жилищно-коммунальное хозяйство Республики Саха (Якутия)» на реализацию мероприятий по капитальному ремонту линейных объектов региональной программы по модернизации систем коммунальной инфраструктуры на период 2023-2027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  <w:u w:val="single"/>
        </w:rPr>
        <w:t>, не выявлены.</w:t>
      </w:r>
    </w:p>
    <w:p w14:paraId="2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возникновения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факторы,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поддерживающие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существование:</w:t>
      </w:r>
    </w:p>
    <w:p w14:paraId="2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i w:val="0"/>
          <w:sz w:val="28"/>
          <w:u w:val="none"/>
        </w:rPr>
        <w:t>Утвер</w:t>
      </w:r>
      <w:r>
        <w:rPr>
          <w:rFonts w:ascii="Times New Roman" w:hAnsi="Times New Roman"/>
          <w:i w:val="0"/>
          <w:sz w:val="28"/>
          <w:u w:val="none"/>
        </w:rPr>
        <w:t xml:space="preserve">ждены новые лимиты для субъектов РФ на основании протокола </w:t>
      </w:r>
      <w:r>
        <w:rPr>
          <w:rFonts w:ascii="XO Thames" w:hAnsi="XO Thames"/>
          <w:i w:val="0"/>
          <w:sz w:val="28"/>
          <w:u w:val="none"/>
        </w:rPr>
        <w:t>утвержденным Президиумом (штабом)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от 12</w:t>
      </w:r>
      <w:r>
        <w:rPr>
          <w:rFonts w:ascii="XO Thames" w:hAnsi="XO Thames"/>
          <w:i w:val="0"/>
          <w:sz w:val="28"/>
          <w:u w:val="none"/>
        </w:rPr>
        <w:t>.04</w:t>
      </w:r>
      <w:r>
        <w:rPr>
          <w:rFonts w:ascii="XO Thames" w:hAnsi="XO Thames"/>
          <w:i w:val="0"/>
          <w:sz w:val="28"/>
          <w:u w:val="none"/>
        </w:rPr>
        <w:t>.2024</w:t>
      </w:r>
      <w:r>
        <w:rPr>
          <w:rFonts w:ascii="XO Thames" w:hAnsi="XO Thames"/>
          <w:i w:val="0"/>
          <w:sz w:val="28"/>
          <w:u w:val="none"/>
        </w:rPr>
        <w:t xml:space="preserve"> № 34</w:t>
      </w:r>
      <w:r>
        <w:rPr>
          <w:rFonts w:ascii="XO Thames" w:hAnsi="XO Thames"/>
          <w:i w:val="0"/>
          <w:sz w:val="28"/>
          <w:u w:val="none"/>
        </w:rPr>
        <w:t>пр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2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 участниками 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 самостоятельно, без вмешательства государства:</w:t>
      </w:r>
    </w:p>
    <w:p w14:paraId="3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i w:val="0"/>
          <w:sz w:val="28"/>
          <w:u w:val="none"/>
        </w:rPr>
      </w:pPr>
      <w:r>
        <w:rPr>
          <w:rFonts w:ascii="Times New Roman" w:hAnsi="Times New Roman"/>
          <w:i w:val="0"/>
          <w:sz w:val="28"/>
          <w:u w:val="none"/>
        </w:rPr>
        <w:t>Утвер</w:t>
      </w:r>
      <w:r>
        <w:rPr>
          <w:rFonts w:ascii="Times New Roman" w:hAnsi="Times New Roman"/>
          <w:i w:val="0"/>
          <w:sz w:val="28"/>
          <w:u w:val="none"/>
        </w:rPr>
        <w:t xml:space="preserve">ждены новые лимиты для субъектов РФ на основании протокола </w:t>
      </w:r>
      <w:r>
        <w:rPr>
          <w:rFonts w:ascii="XO Thames" w:hAnsi="XO Thames"/>
          <w:i w:val="0"/>
          <w:sz w:val="28"/>
          <w:u w:val="none"/>
        </w:rPr>
        <w:t>утвержденным Президиумом (штабом)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от 12</w:t>
      </w:r>
      <w:r>
        <w:rPr>
          <w:rFonts w:ascii="XO Thames" w:hAnsi="XO Thames"/>
          <w:i w:val="0"/>
          <w:sz w:val="28"/>
          <w:u w:val="none"/>
        </w:rPr>
        <w:t>.04</w:t>
      </w:r>
      <w:r>
        <w:rPr>
          <w:rFonts w:ascii="XO Thames" w:hAnsi="XO Thames"/>
          <w:i w:val="0"/>
          <w:sz w:val="28"/>
          <w:u w:val="none"/>
        </w:rPr>
        <w:t>.2024</w:t>
      </w:r>
      <w:r>
        <w:rPr>
          <w:rFonts w:ascii="XO Thames" w:hAnsi="XO Thames"/>
          <w:i w:val="0"/>
          <w:sz w:val="28"/>
          <w:u w:val="none"/>
        </w:rPr>
        <w:t xml:space="preserve"> № 34</w:t>
      </w:r>
      <w:r>
        <w:rPr>
          <w:rFonts w:ascii="XO Thames" w:hAnsi="XO Thames"/>
          <w:i w:val="0"/>
          <w:sz w:val="28"/>
          <w:u w:val="none"/>
        </w:rPr>
        <w:t>пр</w:t>
      </w:r>
      <w:r>
        <w:rPr>
          <w:rFonts w:ascii="Times New Roman" w:hAnsi="Times New Roman"/>
          <w:i w:val="0"/>
          <w:sz w:val="28"/>
          <w:u w:val="none"/>
        </w:rPr>
        <w:t>.</w:t>
      </w:r>
    </w:p>
    <w:p w14:paraId="3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аналогичных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иностранных государствах: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3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Источники </w:t>
      </w:r>
      <w:r>
        <w:rPr>
          <w:rFonts w:ascii="Times New Roman" w:hAnsi="Times New Roman"/>
          <w:sz w:val="28"/>
        </w:rPr>
        <w:t>данных:</w:t>
      </w:r>
      <w:r>
        <w:rPr>
          <w:rFonts w:ascii="Times New Roman" w:hAnsi="Times New Roman"/>
          <w:sz w:val="28"/>
        </w:rPr>
        <w:t>-</w:t>
      </w:r>
    </w:p>
    <w:p w14:paraId="3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Иная информация о </w:t>
      </w:r>
      <w:r>
        <w:rPr>
          <w:rFonts w:ascii="Times New Roman" w:hAnsi="Times New Roman"/>
          <w:sz w:val="28"/>
        </w:rPr>
        <w:t>проблеме:</w:t>
      </w:r>
      <w:r>
        <w:rPr>
          <w:rFonts w:ascii="Times New Roman" w:hAnsi="Times New Roman"/>
          <w:sz w:val="28"/>
        </w:rPr>
        <w:t>-</w:t>
      </w:r>
    </w:p>
    <w:p w14:paraId="3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и индикаторов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оценки их достижения</w:t>
      </w:r>
    </w:p>
    <w:p w14:paraId="3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3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73"/>
        <w:gridCol w:w="2465"/>
        <w:gridCol w:w="2382"/>
      </w:tblGrid>
      <w:tr>
        <w:trPr>
          <w:trHeight w:hRule="atLeast" w:val="1628"/>
        </w:trPr>
        <w:tc>
          <w:tcPr>
            <w:tcW w:type="dxa" w:w="5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 w:firstLine="709" w:left="0"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 Цели предлагаемого правового регулирования</w:t>
            </w: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 w:firstLine="0" w:left="0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 w:firstLine="0" w:left="0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5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овышения качества и надежности предоставления коммунальных услуг</w:t>
            </w:r>
          </w:p>
          <w:p w14:paraId="3A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firstLine="0" w:left="0"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момента </w:t>
            </w:r>
            <w:r>
              <w:rPr>
                <w:rFonts w:ascii="Times New Roman" w:hAnsi="Times New Roman"/>
                <w:sz w:val="28"/>
              </w:rPr>
              <w:t>предоставления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0" w:line="240" w:lineRule="auto"/>
              <w:ind w:firstLine="0" w:left="0" w:right="8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ежеквартально</w:t>
            </w:r>
          </w:p>
        </w:tc>
      </w:tr>
    </w:tbl>
    <w:p w14:paraId="3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нормативные правовые акты, поручения, другие решения,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вытекает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 целей:</w:t>
      </w:r>
    </w:p>
    <w:p w14:paraId="3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  <w:u w:val="none"/>
        </w:rPr>
        <w:t>Протокол</w:t>
      </w:r>
      <w:r>
        <w:rPr>
          <w:rFonts w:ascii="XO Thames" w:hAnsi="XO Thames"/>
          <w:i w:val="0"/>
          <w:sz w:val="28"/>
          <w:u w:val="none"/>
        </w:rPr>
        <w:t xml:space="preserve"> Президиума (штаба) Правительственной комиссии по региональному развитию в Российской Федера</w:t>
      </w:r>
      <w:r>
        <w:rPr>
          <w:rFonts w:ascii="XO Thames" w:hAnsi="XO Thames"/>
          <w:i w:val="0"/>
          <w:sz w:val="28"/>
          <w:u w:val="none"/>
        </w:rPr>
        <w:t>ции</w:t>
      </w:r>
      <w:r>
        <w:rPr>
          <w:rFonts w:ascii="XO Thames" w:hAnsi="XO Thames"/>
          <w:i w:val="0"/>
          <w:sz w:val="28"/>
          <w:u w:val="none"/>
        </w:rPr>
        <w:t xml:space="preserve"> </w:t>
      </w:r>
      <w:r>
        <w:rPr>
          <w:rFonts w:ascii="XO Thames" w:hAnsi="XO Thames"/>
          <w:i w:val="0"/>
          <w:sz w:val="28"/>
          <w:u w:val="none"/>
        </w:rPr>
        <w:t xml:space="preserve">утвержденным </w:t>
      </w:r>
      <w:r>
        <w:rPr>
          <w:rFonts w:ascii="XO Thames" w:hAnsi="XO Thames"/>
          <w:i w:val="0"/>
          <w:sz w:val="28"/>
          <w:u w:val="none"/>
        </w:rPr>
        <w:t>от 12</w:t>
      </w:r>
      <w:r>
        <w:rPr>
          <w:rFonts w:ascii="XO Thames" w:hAnsi="XO Thames"/>
          <w:i w:val="0"/>
          <w:sz w:val="28"/>
          <w:u w:val="none"/>
        </w:rPr>
        <w:t>.04</w:t>
      </w:r>
      <w:r>
        <w:rPr>
          <w:rFonts w:ascii="XO Thames" w:hAnsi="XO Thames"/>
          <w:i w:val="0"/>
          <w:sz w:val="28"/>
          <w:u w:val="none"/>
        </w:rPr>
        <w:t>.2024</w:t>
      </w:r>
      <w:r>
        <w:rPr>
          <w:rFonts w:ascii="XO Thames" w:hAnsi="XO Thames"/>
          <w:i w:val="0"/>
          <w:sz w:val="28"/>
          <w:u w:val="none"/>
        </w:rPr>
        <w:t xml:space="preserve"> № 34</w:t>
      </w:r>
      <w:r>
        <w:rPr>
          <w:rFonts w:ascii="XO Thames" w:hAnsi="XO Thames"/>
          <w:i w:val="0"/>
          <w:sz w:val="28"/>
          <w:u w:val="none"/>
        </w:rPr>
        <w:t>пр</w:t>
      </w:r>
      <w:r>
        <w:rPr>
          <w:rFonts w:ascii="Times New Roman" w:hAnsi="Times New Roman"/>
          <w:sz w:val="28"/>
        </w:rPr>
        <w:t>.</w:t>
      </w:r>
    </w:p>
    <w:p w14:paraId="4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0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36"/>
        <w:gridCol w:w="2201"/>
        <w:gridCol w:w="1559"/>
        <w:gridCol w:w="2552"/>
      </w:tblGrid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3.5. Цели предлагаемого правового регулирования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3.7. Единица измерения индикаторов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3.8. Целевые значения индикаторов по годам</w:t>
            </w:r>
          </w:p>
        </w:tc>
      </w:tr>
      <w:tr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овышение</w:t>
            </w:r>
            <w:r>
              <w:rPr>
                <w:rFonts w:ascii="Times New Roman" w:hAnsi="Times New Roman"/>
                <w:sz w:val="28"/>
              </w:rPr>
              <w:t xml:space="preserve"> качества и надежности предоставления коммунальных услуг</w:t>
            </w:r>
          </w:p>
          <w:p w14:paraId="46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5"/>
              <w:numPr>
                <w:ilvl w:val="0"/>
                <w:numId w:val="4"/>
              </w:numPr>
              <w:tabs>
                <w:tab w:leader="none" w:pos="520" w:val="left"/>
              </w:tabs>
              <w:spacing w:after="60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</w:p>
          <w:p w14:paraId="48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</w:t>
            </w:r>
            <w:r>
              <w:rPr>
                <w:rFonts w:ascii="XO Thames" w:hAnsi="XO Thames"/>
                <w:sz w:val="24"/>
              </w:rPr>
              <w:t>ть замененных инженерных сетей</w:t>
            </w:r>
          </w:p>
          <w:p w14:paraId="49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снижение аварийнос</w:t>
            </w:r>
            <w:r>
              <w:rPr>
                <w:rFonts w:ascii="XO Thames" w:hAnsi="XO Thames"/>
                <w:sz w:val="24"/>
              </w:rPr>
              <w:t>ти коммунальной инфраструктуры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5"/>
              <w:numPr>
                <w:ilvl w:val="0"/>
                <w:numId w:val="5"/>
              </w:numPr>
              <w:tabs>
                <w:tab w:leader="none" w:pos="13" w:val="left"/>
              </w:tabs>
              <w:spacing w:after="60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</w:t>
            </w:r>
            <w:r>
              <w:rPr>
                <w:rFonts w:ascii="XO Thames" w:hAnsi="XO Thames"/>
                <w:sz w:val="24"/>
              </w:rPr>
              <w:t>оставляемых коммунальных услуг</w:t>
            </w:r>
            <w:r>
              <w:rPr>
                <w:rFonts w:ascii="XO Thames" w:hAnsi="XO Thames"/>
                <w:sz w:val="24"/>
              </w:rPr>
              <w:t xml:space="preserve"> - человек;</w:t>
            </w:r>
          </w:p>
          <w:p w14:paraId="4B000000">
            <w:pPr>
              <w:pStyle w:val="Style_4"/>
              <w:numPr>
                <w:ilvl w:val="0"/>
                <w:numId w:val="5"/>
              </w:numPr>
              <w:tabs>
                <w:tab w:leader="none" w:pos="13" w:val="left"/>
              </w:tabs>
              <w:spacing w:after="0" w:line="240" w:lineRule="auto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</w:t>
            </w:r>
            <w:r>
              <w:rPr>
                <w:rFonts w:ascii="XO Thames" w:hAnsi="XO Thames"/>
                <w:sz w:val="24"/>
              </w:rPr>
              <w:t>ть замененных инженерных сетей</w:t>
            </w:r>
            <w:r>
              <w:rPr>
                <w:rFonts w:ascii="XO Thames" w:hAnsi="XO Thames"/>
                <w:sz w:val="24"/>
              </w:rPr>
              <w:t xml:space="preserve"> – км;</w:t>
            </w:r>
          </w:p>
          <w:p w14:paraId="4C000000">
            <w:pPr>
              <w:pStyle w:val="Style_4"/>
              <w:numPr>
                <w:ilvl w:val="0"/>
                <w:numId w:val="5"/>
              </w:numPr>
              <w:tabs>
                <w:tab w:leader="none" w:pos="13" w:val="left"/>
              </w:tabs>
              <w:spacing w:after="0" w:line="240" w:lineRule="auto"/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снижение аварийнос</w:t>
            </w:r>
            <w:r>
              <w:rPr>
                <w:rFonts w:ascii="XO Thames" w:hAnsi="XO Thames"/>
                <w:sz w:val="24"/>
              </w:rPr>
              <w:t>ти коммунальной инфраструктуры</w:t>
            </w:r>
            <w:r>
              <w:rPr>
                <w:rFonts w:ascii="XO Thames" w:hAnsi="XO Thames"/>
                <w:sz w:val="24"/>
              </w:rPr>
              <w:t xml:space="preserve"> - %.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5"/>
              <w:numPr>
                <w:ilvl w:val="0"/>
                <w:numId w:val="6"/>
              </w:numPr>
              <w:tabs>
                <w:tab w:leader="none" w:pos="117" w:val="left"/>
              </w:tabs>
              <w:ind w:firstLine="0" w:left="0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численность населения </w:t>
            </w:r>
            <w:r>
              <w:rPr>
                <w:rFonts w:ascii="XO Thames" w:hAnsi="XO Thames"/>
                <w:color w:val="000000"/>
                <w:sz w:val="24"/>
              </w:rPr>
              <w:t>Республики Саха (Якутия)</w:t>
            </w:r>
            <w:r>
              <w:rPr>
                <w:rFonts w:ascii="XO Thames" w:hAnsi="XO Thames"/>
                <w:sz w:val="24"/>
              </w:rPr>
              <w:t>, для которого улучшено качество предоставляемых коммунальных услуг, по годам:</w:t>
            </w:r>
          </w:p>
          <w:p w14:paraId="4E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1 506 человек;</w:t>
            </w:r>
          </w:p>
          <w:p w14:paraId="4F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1 597 человек;</w:t>
            </w:r>
          </w:p>
          <w:p w14:paraId="50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1 597 человек;</w:t>
            </w:r>
          </w:p>
          <w:p w14:paraId="51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1 597 человек;</w:t>
            </w:r>
          </w:p>
          <w:p w14:paraId="52000000">
            <w:pPr>
              <w:pStyle w:val="Style_5"/>
              <w:tabs>
                <w:tab w:leader="none" w:pos="4210" w:val="left"/>
              </w:tabs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 -  1 597 человек;</w:t>
            </w:r>
          </w:p>
          <w:p w14:paraId="53000000">
            <w:pPr>
              <w:pStyle w:val="Style_4"/>
              <w:numPr>
                <w:ilvl w:val="0"/>
                <w:numId w:val="6"/>
              </w:numPr>
              <w:spacing w:after="0" w:line="24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протяженность замененных инженерных сетей, по годам:</w:t>
            </w:r>
          </w:p>
          <w:p w14:paraId="54000000">
            <w:pPr>
              <w:pStyle w:val="Style_5"/>
              <w:tabs>
                <w:tab w:leader="none" w:pos="3009" w:val="left"/>
              </w:tabs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 8,64 км;</w:t>
            </w:r>
          </w:p>
          <w:p w14:paraId="55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 8,96 км;</w:t>
            </w:r>
          </w:p>
          <w:p w14:paraId="56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 8,96 км;</w:t>
            </w:r>
          </w:p>
          <w:p w14:paraId="57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 8,96 км;</w:t>
            </w:r>
          </w:p>
          <w:p w14:paraId="58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 -   8,96 км;</w:t>
            </w:r>
          </w:p>
          <w:p w14:paraId="59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3) снижение аварийности коммунальной </w:t>
            </w:r>
            <w:r>
              <w:rPr>
                <w:rFonts w:ascii="XO Thames" w:hAnsi="XO Thames"/>
                <w:sz w:val="24"/>
              </w:rPr>
              <w:t>инфраструктуры, по годам:</w:t>
            </w:r>
          </w:p>
          <w:p w14:paraId="5A000000">
            <w:pPr>
              <w:pStyle w:val="Style_5"/>
              <w:tabs>
                <w:tab w:leader="none" w:pos="3110" w:val="left"/>
              </w:tabs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 год –     0 %;</w:t>
            </w:r>
          </w:p>
          <w:p w14:paraId="5B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 год –     3,1 %;</w:t>
            </w:r>
          </w:p>
          <w:p w14:paraId="5C000000">
            <w:pPr>
              <w:pStyle w:val="Style_5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 –     4,6 %;</w:t>
            </w:r>
          </w:p>
          <w:p w14:paraId="5D000000">
            <w:pPr>
              <w:pStyle w:val="Style_5"/>
              <w:tabs>
                <w:tab w:leader="none" w:pos="3110" w:val="left"/>
              </w:tabs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 –     6,9 %;</w:t>
            </w:r>
          </w:p>
          <w:p w14:paraId="5E000000">
            <w:pPr>
              <w:pStyle w:val="Style_4"/>
              <w:spacing w:after="0" w:line="240" w:lineRule="auto"/>
              <w:ind w:firstLine="0" w:left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2027 год- </w:t>
            </w:r>
            <w:r>
              <w:rPr>
                <w:rFonts w:ascii="XO Thames" w:hAnsi="XO Thames"/>
                <w:sz w:val="24"/>
              </w:rPr>
              <w:t xml:space="preserve">      9,2 %.</w:t>
            </w:r>
          </w:p>
        </w:tc>
      </w:tr>
    </w:tbl>
    <w:p w14:paraId="5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индикаторов достижения целей предлагаемого 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регулирования, источники информации для расчетов:</w:t>
      </w:r>
    </w:p>
    <w:p w14:paraId="6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Расчет осуществляется в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соответствии </w:t>
      </w: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  <w:u w:val="single"/>
        </w:rPr>
        <w:t xml:space="preserve"> методическими рекомендациями</w:t>
      </w:r>
      <w:r>
        <w:rPr>
          <w:rFonts w:ascii="Times New Roman" w:hAnsi="Times New Roman"/>
          <w:sz w:val="28"/>
          <w:u w:val="single"/>
        </w:rPr>
        <w:t xml:space="preserve"> по подготовке региональной программы по модернизации систем коммунальной инфраструктуры, утвержденной Президиумом (штабом) Правительственной комиссии по регионально</w:t>
      </w:r>
      <w:r>
        <w:rPr>
          <w:rFonts w:ascii="Times New Roman" w:hAnsi="Times New Roman"/>
          <w:sz w:val="28"/>
          <w:u w:val="single"/>
        </w:rPr>
        <w:t>му развитию в РФ (протокол от 23.01.2023 №2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  <w:u w:val="single"/>
        </w:rPr>
        <w:t>.</w:t>
      </w:r>
    </w:p>
    <w:p w14:paraId="6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способы (методы) оценки 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 предлагаемого правового регулирования:</w:t>
      </w:r>
    </w:p>
    <w:p w14:paraId="6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Периодическая отчетность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>____</w:t>
      </w:r>
    </w:p>
    <w:p w14:paraId="6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регулирования:</w:t>
      </w:r>
    </w:p>
    <w:p w14:paraId="6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Мониторинг осуществляется в рамках</w:t>
      </w:r>
      <w:r>
        <w:rPr>
          <w:rFonts w:ascii="Times New Roman" w:hAnsi="Times New Roman"/>
          <w:sz w:val="28"/>
          <w:u w:val="single"/>
        </w:rPr>
        <w:t xml:space="preserve"> лимита</w:t>
      </w:r>
      <w:r>
        <w:rPr>
          <w:rFonts w:ascii="Times New Roman" w:hAnsi="Times New Roman"/>
          <w:sz w:val="28"/>
          <w:u w:val="single"/>
        </w:rPr>
        <w:t xml:space="preserve"> бюджетных ассигнований на исполнение полномочий Министерства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</w:t>
      </w:r>
    </w:p>
    <w:p w14:paraId="6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Источники информации для расчета индикаторов:</w:t>
      </w:r>
    </w:p>
    <w:p w14:paraId="6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- </w:t>
      </w:r>
      <w:r>
        <w:rPr>
          <w:rFonts w:ascii="Times New Roman" w:hAnsi="Times New Roman"/>
          <w:sz w:val="28"/>
          <w:u w:val="single"/>
        </w:rPr>
        <w:t>М</w:t>
      </w:r>
      <w:r>
        <w:rPr>
          <w:rFonts w:ascii="Times New Roman" w:hAnsi="Times New Roman"/>
          <w:sz w:val="28"/>
          <w:u w:val="single"/>
        </w:rPr>
        <w:t>етодические рекомендации</w:t>
      </w:r>
      <w:r>
        <w:rPr>
          <w:rFonts w:ascii="Times New Roman" w:hAnsi="Times New Roman"/>
          <w:sz w:val="28"/>
          <w:u w:val="single"/>
        </w:rPr>
        <w:t xml:space="preserve"> по подготовке региональной программы по модернизации систем коммунальной инфраструктуры, утвержденной Президиумом (штабом) Правительственной комиссии по регионально</w:t>
      </w:r>
      <w:r>
        <w:rPr>
          <w:rFonts w:ascii="Times New Roman" w:hAnsi="Times New Roman"/>
          <w:sz w:val="28"/>
          <w:u w:val="single"/>
        </w:rPr>
        <w:t>му развитию в РФ (протокол от 23.01.2023 №2</w:t>
      </w:r>
      <w:r>
        <w:rPr>
          <w:rFonts w:ascii="Times New Roman" w:hAnsi="Times New Roman"/>
          <w:sz w:val="28"/>
          <w:u w:val="single"/>
        </w:rPr>
        <w:t>)</w:t>
      </w:r>
      <w:r>
        <w:rPr>
          <w:rFonts w:ascii="Times New Roman" w:hAnsi="Times New Roman"/>
          <w:sz w:val="28"/>
          <w:u w:val="single"/>
        </w:rPr>
        <w:t>.</w:t>
      </w:r>
    </w:p>
    <w:p w14:paraId="6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Качественная характеристика и оценка численности потенциальных 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 правового регулирования (их групп)</w:t>
      </w:r>
    </w:p>
    <w:p w14:paraId="6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551"/>
        <w:gridCol w:w="2551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 w:firstLine="0" w:left="0" w:right="-285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Количество участников группы</w:t>
            </w:r>
            <w:r>
              <w:rPr>
                <w:rFonts w:ascii="Times New Roman" w:hAnsi="Times New Roman"/>
                <w:sz w:val="26"/>
              </w:rPr>
              <w:t>, ед.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0" w:left="0" w:right="219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Органы местного самоуправления муниципальных </w:t>
            </w:r>
            <w:r>
              <w:rPr>
                <w:rFonts w:ascii="Times New Roman" w:hAnsi="Times New Roman"/>
                <w:sz w:val="24"/>
              </w:rPr>
              <w:t>образований</w:t>
            </w:r>
            <w:r>
              <w:rPr>
                <w:rFonts w:ascii="Times New Roman" w:hAnsi="Times New Roman"/>
                <w:sz w:val="24"/>
              </w:rPr>
              <w:t xml:space="preserve"> Республики Саха (Якутия) (по согласованию), </w:t>
            </w:r>
            <w:r>
              <w:rPr>
                <w:rFonts w:ascii="Times New Roman" w:hAnsi="Times New Roman"/>
                <w:sz w:val="24"/>
              </w:rPr>
              <w:t>ресурсоснабжающие</w:t>
            </w:r>
            <w:r>
              <w:rPr>
                <w:rFonts w:ascii="Times New Roman" w:hAnsi="Times New Roman"/>
                <w:sz w:val="24"/>
              </w:rPr>
              <w:t xml:space="preserve"> организации Республики Саха (Якутия) (по согласованию)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 w:firstLine="0" w:left="0" w:right="-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337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предоставления публично-правовой компанией «Фонд развития территорий» финансовой поддержки бюджетам </w:t>
            </w:r>
            <w:r>
              <w:rPr>
                <w:rFonts w:ascii="Times New Roman" w:hAnsi="Times New Roman"/>
                <w:sz w:val="24"/>
              </w:rPr>
              <w:t>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утвержденной постановлением Правительства Российской Федерации от 08.12.2022 № 2253</w:t>
            </w:r>
          </w:p>
        </w:tc>
      </w:tr>
    </w:tbl>
    <w:p w14:paraId="71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7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778"/>
        <w:gridCol w:w="1701"/>
        <w:gridCol w:w="1701"/>
        <w:gridCol w:w="1757"/>
        <w:gridCol w:w="1701"/>
      </w:tblGrid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Наименование функции (полномочия, обязанности или права)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Характер функции (новая / изменяемая / отменяемая)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 Предполагаемый порядок реализации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6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органа государственной власти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u w:val="single"/>
              </w:rPr>
              <w:t>жилищно-коммунального хозяйства и энергетики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Республики Саха (Якутия)</w:t>
            </w:r>
          </w:p>
        </w:tc>
      </w:tr>
      <w:tr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Функция (полном</w:t>
            </w:r>
            <w:r>
              <w:rPr>
                <w:rFonts w:ascii="Times New Roman" w:hAnsi="Times New Roman"/>
                <w:sz w:val="28"/>
              </w:rPr>
              <w:t xml:space="preserve">очие, обязанность или право)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 w:firstLine="0" w:left="0" w:righ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изменяется</w:t>
            </w:r>
          </w:p>
        </w:tc>
      </w:tr>
    </w:tbl>
    <w:p w14:paraId="7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Расходы государственного бюджета Республики Саха (Якутия), связанные с созданием необходимых правовых, организационных и информационных условий применения проекта акта </w:t>
      </w:r>
      <w:r>
        <w:rPr>
          <w:rFonts w:ascii="Times New Roman" w:hAnsi="Times New Roman"/>
          <w:sz w:val="28"/>
        </w:rPr>
        <w:t>Министерства жилищно-коммунального хозяйства и энергетики Республики Саха (Якутия)</w:t>
      </w:r>
      <w:r>
        <w:rPr>
          <w:rFonts w:ascii="Times New Roman" w:hAnsi="Times New Roman"/>
          <w:sz w:val="28"/>
        </w:rPr>
        <w:t xml:space="preserve">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</w:t>
      </w:r>
      <w:r>
        <w:rPr>
          <w:rFonts w:ascii="Times New Roman" w:hAnsi="Times New Roman"/>
          <w:sz w:val="28"/>
        </w:rPr>
        <w:t>деятельность, собственником имущества которых является Республика Саха (Якутия)</w:t>
      </w:r>
      <w:r>
        <w:rPr>
          <w:rFonts w:ascii="Times New Roman" w:hAnsi="Times New Roman"/>
          <w:sz w:val="28"/>
        </w:rPr>
        <w:t>:</w:t>
      </w:r>
    </w:p>
    <w:p w14:paraId="80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</w:t>
      </w:r>
      <w:r>
        <w:rPr>
          <w:rFonts w:ascii="Times New Roman" w:hAnsi="Times New Roman"/>
          <w:sz w:val="28"/>
          <w:u w:val="single"/>
        </w:rPr>
        <w:t xml:space="preserve">рамках </w:t>
      </w:r>
      <w:r>
        <w:rPr>
          <w:rFonts w:ascii="Times New Roman" w:hAnsi="Times New Roman"/>
          <w:sz w:val="28"/>
          <w:u w:val="single"/>
        </w:rPr>
        <w:t>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2023-2027 годы, утвержденной постановлением Правительства Российской Федерации от 08.12.2022 № 2253</w:t>
      </w:r>
      <w:r>
        <w:rPr>
          <w:rFonts w:ascii="Times New Roman" w:hAnsi="Times New Roman"/>
          <w:sz w:val="28"/>
          <w:u w:val="single"/>
        </w:rPr>
        <w:t>.</w:t>
      </w:r>
    </w:p>
    <w:p w14:paraId="81000000">
      <w:pPr>
        <w:spacing w:after="0" w:line="240" w:lineRule="auto"/>
        <w:ind w:firstLine="709" w:left="0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  <w:r>
        <w:rPr>
          <w:rFonts w:ascii="Times New Roman" w:hAnsi="Times New Roman"/>
          <w:sz w:val="28"/>
        </w:rPr>
        <w:t xml:space="preserve"> – дополнительные расходы не возникают</w:t>
      </w:r>
      <w:r>
        <w:rPr>
          <w:rFonts w:ascii="Times New Roman" w:hAnsi="Times New Roman"/>
          <w:sz w:val="28"/>
        </w:rPr>
        <w:t>.</w:t>
      </w:r>
    </w:p>
    <w:p w14:paraId="8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дополнительных расходах (доходах)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Республики Саха (Якутия) (местных бюджетов), возникающих в связи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введением предлагаемого правового регулирования:</w:t>
      </w:r>
    </w:p>
    <w:p w14:paraId="8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  <w:r>
        <w:rPr>
          <w:rFonts w:ascii="Times New Roman" w:hAnsi="Times New Roman"/>
          <w:sz w:val="28"/>
          <w:u w:val="single"/>
        </w:rPr>
        <w:t>.</w:t>
      </w:r>
    </w:p>
    <w:p w14:paraId="8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.5. Источники данных:</w:t>
      </w:r>
    </w:p>
    <w:p w14:paraId="8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Предлагаемое правовое регулирование дополнительных расходов из государственного бюджета РС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(Я) не влечет</w:t>
      </w:r>
    </w:p>
    <w:p w14:paraId="8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(ограничений)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связанные с ними дополнительные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расходы (доходы)</w:t>
      </w:r>
    </w:p>
    <w:p w14:paraId="8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572"/>
        <w:gridCol w:w="1928"/>
        <w:gridCol w:w="2098"/>
      </w:tblGrid>
      <w:tr>
        <w:trPr>
          <w:trHeight w:hRule="atLeast" w:val="244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.1.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 xml:space="preserve">Группы потенциальных адресатов предлагаемого правового регулирования (в соответствии с </w:t>
            </w:r>
            <w:r>
              <w:rPr>
                <w:rFonts w:ascii="Times New Roman" w:hAnsi="Times New Roman"/>
                <w:sz w:val="26"/>
              </w:rPr>
              <w:t>пп</w:t>
            </w:r>
            <w:r>
              <w:rPr>
                <w:rFonts w:ascii="Times New Roman" w:hAnsi="Times New Roman"/>
                <w:sz w:val="26"/>
              </w:rPr>
              <w:t>. 4.1 сводного отчета)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.2.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.3.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>.4.</w:t>
            </w:r>
            <w:r>
              <w:rPr>
                <w:rFonts w:ascii="Times New Roman" w:hAnsi="Times New Roman"/>
                <w:sz w:val="26"/>
              </w:rPr>
              <w:t> </w:t>
            </w:r>
            <w:r>
              <w:rPr>
                <w:rFonts w:ascii="Times New Roman" w:hAnsi="Times New Roman"/>
                <w:sz w:val="26"/>
              </w:rPr>
              <w:t>Количественная оценка, млн рублей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Органы местного самоуправления муниципальных районов, муниципальных и городских округов Республики Саха (Якутия) (по согласованию), </w:t>
            </w:r>
            <w:r>
              <w:rPr>
                <w:rFonts w:ascii="Times New Roman" w:hAnsi="Times New Roman"/>
                <w:sz w:val="26"/>
              </w:rPr>
              <w:t>ресурсоснабжающие</w:t>
            </w:r>
            <w:r>
              <w:rPr>
                <w:rFonts w:ascii="Times New Roman" w:hAnsi="Times New Roman"/>
                <w:sz w:val="26"/>
              </w:rPr>
              <w:t xml:space="preserve"> организации </w:t>
            </w:r>
            <w:r>
              <w:rPr>
                <w:rFonts w:ascii="Times New Roman" w:hAnsi="Times New Roman"/>
                <w:sz w:val="26"/>
              </w:rPr>
              <w:t>Республики Саха (Якутия) (по согласованию)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 w:firstLine="709" w:left="0" w:right="2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</w:tbl>
    <w:p w14:paraId="9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Издержки и выгоды адресатов предлагаемого правового регулирования,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поддающиеся количественной оценке:</w:t>
      </w:r>
    </w:p>
    <w:p w14:paraId="9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Дополнительный механизм государственной поддержки </w:t>
      </w:r>
      <w:r>
        <w:rPr>
          <w:rFonts w:ascii="Times New Roman" w:hAnsi="Times New Roman"/>
          <w:sz w:val="28"/>
          <w:u w:val="single"/>
        </w:rPr>
        <w:t>населению на улучшение жилищно-коммунальных услуг</w:t>
      </w:r>
      <w:r>
        <w:rPr>
          <w:rFonts w:ascii="Times New Roman" w:hAnsi="Times New Roman"/>
          <w:sz w:val="28"/>
          <w:u w:val="single"/>
        </w:rPr>
        <w:t>.</w:t>
      </w:r>
    </w:p>
    <w:p w14:paraId="9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.6. Источники данных:</w:t>
      </w:r>
    </w:p>
    <w:p w14:paraId="9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  <w:u w:val="single"/>
        </w:rPr>
        <w:t>нет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</w:t>
      </w:r>
    </w:p>
    <w:p w14:paraId="9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неблагоприятных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 регулирования</w:t>
      </w:r>
    </w:p>
    <w:p w14:paraId="9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2127"/>
        <w:gridCol w:w="2126"/>
        <w:gridCol w:w="2126"/>
      </w:tblGrid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 w:firstLine="0" w:left="0" w:right="-2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.1. Виды рисков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 w:firstLine="0" w:left="0" w:right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.3. Методы контроля рисков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.4. Степень контроля рисков (полный/частичный/отсутствует)</w:t>
            </w:r>
          </w:p>
        </w:tc>
      </w:tr>
      <w:t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9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highlight w:val="red"/>
        </w:rPr>
      </w:pPr>
    </w:p>
    <w:p w14:paraId="A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.5. Источники данных:</w:t>
      </w:r>
    </w:p>
    <w:p w14:paraId="A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отсутствуют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</w:t>
      </w:r>
    </w:p>
    <w:p w14:paraId="A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Сравнение возможных вариантов решения проблемы</w:t>
      </w:r>
    </w:p>
    <w:p w14:paraId="A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highlight w:val="red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94"/>
        <w:gridCol w:w="1983"/>
        <w:gridCol w:w="1709"/>
      </w:tblGrid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>
        <w:trPr>
          <w:trHeight w:hRule="atLeast" w:val="486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.1. Содержание варианта решения проблемы</w:t>
            </w:r>
          </w:p>
        </w:tc>
        <w:tc>
          <w:tcPr>
            <w:tcW w:type="dxa" w:w="1983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акта</w:t>
            </w:r>
          </w:p>
        </w:tc>
        <w:tc>
          <w:tcPr>
            <w:tcW w:type="dxa" w:w="1709"/>
            <w:tcBorders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принятие акта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.2. 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1 - 3 года)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Реализация проекта позволит улучшить уровень жизни и комфорт проживания части населения Республики Саха (Якутия), </w:t>
            </w:r>
          </w:p>
          <w:p w14:paraId="AC000000">
            <w:pPr>
              <w:pStyle w:val="Style_4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повысится</w:t>
            </w:r>
            <w:r>
              <w:rPr>
                <w:rFonts w:ascii="Times New Roman" w:hAnsi="Times New Roman"/>
                <w:sz w:val="26"/>
              </w:rPr>
              <w:t xml:space="preserve"> качество</w:t>
            </w:r>
            <w:r>
              <w:rPr>
                <w:rFonts w:ascii="Times New Roman" w:hAnsi="Times New Roman"/>
                <w:sz w:val="26"/>
              </w:rPr>
              <w:t xml:space="preserve"> и надежность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предоставления коммунальных услуг</w:t>
            </w:r>
            <w:r>
              <w:rPr>
                <w:rFonts w:ascii="Times New Roman" w:hAnsi="Times New Roman"/>
                <w:sz w:val="26"/>
              </w:rPr>
              <w:t>,</w:t>
            </w:r>
          </w:p>
          <w:p w14:paraId="AD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увеличится протяженность</w:t>
            </w:r>
            <w:r>
              <w:rPr>
                <w:rFonts w:ascii="Times New Roman" w:hAnsi="Times New Roman"/>
                <w:sz w:val="26"/>
              </w:rPr>
              <w:t xml:space="preserve"> замененных</w:t>
            </w:r>
            <w:r>
              <w:rPr>
                <w:rFonts w:ascii="Times New Roman" w:hAnsi="Times New Roman"/>
                <w:sz w:val="26"/>
              </w:rPr>
              <w:t xml:space="preserve"> инженерных сетей, снизится аварийность коммунальной инфраструктуры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6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Отсутствие </w:t>
            </w:r>
            <w:r>
              <w:rPr>
                <w:rFonts w:ascii="Times New Roman" w:hAnsi="Times New Roman"/>
                <w:sz w:val="26"/>
              </w:rPr>
              <w:t>модернизации, замены инженерных сетей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у </w:t>
            </w:r>
            <w:r>
              <w:rPr>
                <w:rFonts w:ascii="Times New Roman" w:hAnsi="Times New Roman"/>
                <w:sz w:val="26"/>
              </w:rPr>
              <w:t>части насе</w:t>
            </w:r>
            <w:r>
              <w:rPr>
                <w:rFonts w:ascii="Times New Roman" w:hAnsi="Times New Roman"/>
                <w:sz w:val="26"/>
              </w:rPr>
              <w:t>ления Республики Саха (Якутия)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rPr>
          <w:trHeight w:hRule="atLeast" w:val="558"/>
        </w:trP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.4. 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 рублей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Достигается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д</w:t>
            </w:r>
            <w:r>
              <w:rPr>
                <w:rFonts w:ascii="Times New Roman" w:hAnsi="Times New Roman"/>
                <w:sz w:val="28"/>
              </w:rPr>
              <w:t>остигается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.6. Оценка рисков неблагоприятных последствий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Низкая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</w:tc>
      </w:tr>
      <w:tr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 w:firstLine="0" w:left="0" w:righ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.7. 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Определение механизма предоставления финансовой поддержки ППК «Фонд развития территорий», конкурсной отбор по мероприятиям программы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 w:firstLine="0" w:left="0" w:right="7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предпочтительного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проблемы:</w:t>
      </w:r>
    </w:p>
    <w:p w14:paraId="C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Учитывая проводимую госуда</w:t>
      </w:r>
      <w:r>
        <w:rPr>
          <w:rFonts w:ascii="Times New Roman" w:hAnsi="Times New Roman"/>
          <w:sz w:val="28"/>
          <w:u w:val="single"/>
        </w:rPr>
        <w:t xml:space="preserve">рственную политику в сфере </w:t>
      </w:r>
      <w:r>
        <w:rPr>
          <w:rFonts w:ascii="Times New Roman" w:hAnsi="Times New Roman"/>
          <w:sz w:val="28"/>
          <w:u w:val="single"/>
        </w:rPr>
        <w:t>коммунального комплекса</w:t>
      </w:r>
      <w:r>
        <w:rPr>
          <w:rFonts w:ascii="Times New Roman" w:hAnsi="Times New Roman"/>
          <w:sz w:val="28"/>
          <w:u w:val="single"/>
        </w:rPr>
        <w:t>, предпочтительным является вариант № 1.</w:t>
      </w:r>
    </w:p>
    <w:p w14:paraId="C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.9. Детальное описание предлагаемого варианта решения проблемы:</w:t>
      </w:r>
    </w:p>
    <w:p w14:paraId="C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</w:t>
      </w:r>
      <w:r>
        <w:rPr>
          <w:rFonts w:ascii="Times New Roman" w:hAnsi="Times New Roman"/>
          <w:sz w:val="28"/>
          <w:u w:val="single"/>
        </w:rPr>
        <w:t>риняти</w:t>
      </w:r>
      <w:r>
        <w:rPr>
          <w:rFonts w:ascii="Times New Roman" w:hAnsi="Times New Roman"/>
          <w:sz w:val="28"/>
          <w:u w:val="single"/>
        </w:rPr>
        <w:t>е</w:t>
      </w:r>
      <w:r>
        <w:rPr>
          <w:rFonts w:ascii="Times New Roman" w:hAnsi="Times New Roman"/>
          <w:sz w:val="28"/>
          <w:u w:val="single"/>
        </w:rPr>
        <w:t xml:space="preserve"> акта, </w:t>
      </w:r>
      <w:r>
        <w:rPr>
          <w:rFonts w:ascii="Times New Roman" w:hAnsi="Times New Roman"/>
          <w:sz w:val="28"/>
          <w:u w:val="single"/>
        </w:rPr>
        <w:t>позволит</w:t>
      </w:r>
      <w:r>
        <w:rPr>
          <w:rFonts w:ascii="Times New Roman" w:hAnsi="Times New Roman"/>
          <w:sz w:val="28"/>
          <w:u w:val="single"/>
        </w:rPr>
        <w:t xml:space="preserve"> улучшить уровень жизни и комфорт проживания населения в сельской местности. В перспективе возможно </w:t>
      </w:r>
      <w:r>
        <w:rPr>
          <w:rFonts w:ascii="Times New Roman" w:hAnsi="Times New Roman"/>
          <w:sz w:val="28"/>
          <w:u w:val="single"/>
        </w:rPr>
        <w:t>подключение жилых</w:t>
      </w:r>
      <w:r>
        <w:rPr>
          <w:rFonts w:ascii="Times New Roman" w:hAnsi="Times New Roman"/>
          <w:sz w:val="28"/>
          <w:u w:val="single"/>
        </w:rPr>
        <w:t xml:space="preserve"> домов к централизова</w:t>
      </w:r>
      <w:r>
        <w:rPr>
          <w:rFonts w:ascii="Times New Roman" w:hAnsi="Times New Roman"/>
          <w:sz w:val="28"/>
          <w:u w:val="single"/>
        </w:rPr>
        <w:t>нным источникам теплоснабжения.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C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необходимости установления переходного периода и 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  <w:r>
        <w:rPr>
          <w:rFonts w:ascii="Times New Roman" w:hAnsi="Times New Roman"/>
          <w:sz w:val="28"/>
        </w:rPr>
        <w:t xml:space="preserve"> </w:t>
      </w:r>
    </w:p>
    <w:p w14:paraId="C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отсутствуют</w:t>
      </w:r>
    </w:p>
    <w:p w14:paraId="C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 Предполагаемая дата вступления в силу нормативного правового акта:</w:t>
      </w:r>
    </w:p>
    <w:p w14:paraId="C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 установленном законодательством порядке, со дня </w:t>
      </w:r>
      <w:r>
        <w:rPr>
          <w:rFonts w:ascii="Times New Roman" w:hAnsi="Times New Roman"/>
          <w:sz w:val="28"/>
          <w:u w:val="single"/>
        </w:rPr>
        <w:t>подписания</w:t>
      </w:r>
    </w:p>
    <w:p w14:paraId="C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периода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(или) 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введения предлагаемого правового регулирования: </w:t>
      </w:r>
    </w:p>
    <w:p w14:paraId="C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срок переходного периода: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с момента принятия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акта;</w:t>
      </w:r>
    </w:p>
    <w:p w14:paraId="CA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отсрочка введения предлагаемого правового регулирования: ___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B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 предлагаемого правового 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ранее возникшие отношения: </w:t>
      </w:r>
    </w:p>
    <w:p w14:paraId="CC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</w:p>
    <w:p w14:paraId="CD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Период распространения на ранее возникшие отношения: __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_____ дней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момента принятия проекта нормативного правового акта.</w:t>
      </w:r>
    </w:p>
    <w:p w14:paraId="CE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Обоснование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установления переходного периода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отсрочки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силу нормативного правового акта либо 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распространения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предлагаемого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регулирования на ранее возникшие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отношения:</w:t>
      </w:r>
    </w:p>
    <w:p w14:paraId="CF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отсутствует</w:t>
      </w:r>
      <w:r>
        <w:rPr>
          <w:rFonts w:ascii="Times New Roman" w:hAnsi="Times New Roman"/>
          <w:sz w:val="28"/>
        </w:rPr>
        <w:t>_</w:t>
      </w:r>
    </w:p>
    <w:p w14:paraId="D0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сводного отчета:</w:t>
      </w:r>
    </w:p>
    <w:p w14:paraId="D1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Информация о сроках проведения публичных консультаций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нормативного правового акта и сводному отчету:</w:t>
      </w:r>
    </w:p>
    <w:p w14:paraId="D2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Срок, в течение которого принимались предложения в связи с публичными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консультациями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проекту нормативного правового акта и сводному отчету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оценке регулирующего воздействия:</w:t>
      </w:r>
    </w:p>
    <w:p w14:paraId="D3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«22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г.;</w:t>
      </w:r>
    </w:p>
    <w:p w14:paraId="D4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окончание: </w:t>
      </w:r>
      <w:r>
        <w:rPr>
          <w:rFonts w:ascii="Times New Roman" w:hAnsi="Times New Roman"/>
          <w:sz w:val="28"/>
        </w:rPr>
        <w:t>«02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г.</w:t>
      </w:r>
    </w:p>
    <w:p w14:paraId="D5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замечаний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предложений, полученных в 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 консультаций по проекту нормативного правового акта: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0 ед. </w:t>
      </w:r>
    </w:p>
    <w:p w14:paraId="D6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замечаний и предложений: 0</w:t>
      </w:r>
      <w:r>
        <w:rPr>
          <w:rFonts w:ascii="Times New Roman" w:hAnsi="Times New Roman"/>
          <w:sz w:val="28"/>
        </w:rPr>
        <w:t>, из них учтено:</w:t>
      </w:r>
    </w:p>
    <w:p w14:paraId="D7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полностью: 0</w:t>
      </w:r>
      <w:r>
        <w:rPr>
          <w:rFonts w:ascii="Times New Roman" w:hAnsi="Times New Roman"/>
          <w:sz w:val="28"/>
        </w:rPr>
        <w:t>, учтено частично: 0</w:t>
      </w:r>
      <w:r>
        <w:rPr>
          <w:rFonts w:ascii="Times New Roman" w:hAnsi="Times New Roman"/>
          <w:sz w:val="28"/>
        </w:rPr>
        <w:t>.</w:t>
      </w:r>
    </w:p>
    <w:p w14:paraId="D8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электронный адрес размещения </w:t>
      </w:r>
      <w:r>
        <w:rPr>
          <w:rFonts w:ascii="Times New Roman" w:hAnsi="Times New Roman"/>
          <w:sz w:val="28"/>
        </w:rPr>
        <w:t>сводного отчета</w:t>
      </w:r>
      <w:r>
        <w:rPr>
          <w:rFonts w:ascii="Times New Roman" w:hAnsi="Times New Roman"/>
          <w:sz w:val="28"/>
        </w:rPr>
        <w:t>:</w:t>
      </w:r>
    </w:p>
    <w:p w14:paraId="D9000000">
      <w:pPr>
        <w:spacing w:after="0" w:line="240" w:lineRule="auto"/>
        <w:ind w:firstLine="709" w:left="0" w:right="-285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90"/>
        <w:gridCol w:w="4329"/>
        <w:gridCol w:w="3401"/>
      </w:tblGrid>
      <w:tr>
        <w:trPr>
          <w:trHeight w:hRule="atLeast" w:val="700"/>
        </w:trPr>
        <w:tc>
          <w:tcPr>
            <w:tcW w:type="dxa" w:w="219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160" w:line="264" w:lineRule="auto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Министр ЖКХ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  <w:sz w:val="27"/>
              </w:rPr>
              <w:t>и энергетики РС(Я)</w:t>
            </w:r>
          </w:p>
        </w:tc>
        <w:tc>
          <w:tcPr>
            <w:tcW w:type="dxa" w:w="43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160" w:line="264" w:lineRule="auto"/>
              <w:ind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</w:rPr>
              <w:drawing>
                <wp:inline>
                  <wp:extent cx="2381249" cy="9906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2381249" cy="990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4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160" w:line="264" w:lineRule="auto"/>
              <w:ind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В.П. Емельянов</w:t>
            </w:r>
          </w:p>
        </w:tc>
      </w:tr>
    </w:tbl>
    <w:p w14:paraId="DD000000">
      <w:pPr>
        <w:spacing w:after="0" w:line="360" w:lineRule="exact"/>
        <w:ind w:firstLine="709" w:left="0" w:right="-285"/>
        <w:jc w:val="both"/>
        <w:rPr>
          <w:rFonts w:ascii="Times New Roman" w:hAnsi="Times New Roman"/>
          <w:sz w:val="24"/>
        </w:rPr>
      </w:pPr>
    </w:p>
    <w:p w14:paraId="DE000000">
      <w:pPr>
        <w:spacing w:after="0" w:line="360" w:lineRule="exact"/>
        <w:ind w:firstLine="709" w:left="0" w:right="-2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Пахомов В.В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8 (4112) </w:t>
      </w:r>
      <w:r>
        <w:rPr>
          <w:rFonts w:ascii="Times New Roman" w:hAnsi="Times New Roman"/>
          <w:sz w:val="24"/>
        </w:rPr>
        <w:t>506-</w:t>
      </w:r>
      <w:r>
        <w:rPr>
          <w:rFonts w:ascii="Times New Roman" w:hAnsi="Times New Roman"/>
          <w:sz w:val="24"/>
        </w:rPr>
        <w:t>894</w:t>
      </w:r>
    </w:p>
    <w:sectPr>
      <w:headerReference r:id="rId1" w:type="default"/>
      <w:headerReference r:id="rId2" w:type="first"/>
      <w:pgSz w:h="16838" w:orient="portrait" w:w="11905"/>
      <w:pgMar w:bottom="993" w:footer="0" w:gutter="0" w:header="0" w:left="1135" w:right="850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</w:rPr>
    </w:pP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373"/>
      </w:pPr>
    </w:lvl>
    <w:lvl w:ilvl="1">
      <w:start w:val="1"/>
      <w:numFmt w:val="lowerLetter"/>
      <w:lvlText w:val="%2."/>
      <w:lvlJc w:val="left"/>
      <w:pPr>
        <w:ind w:hanging="360" w:left="1093"/>
      </w:pPr>
    </w:lvl>
    <w:lvl w:ilvl="2">
      <w:start w:val="1"/>
      <w:numFmt w:val="lowerRoman"/>
      <w:lvlText w:val="%3."/>
      <w:lvlJc w:val="right"/>
      <w:pPr>
        <w:ind w:hanging="180" w:left="1813"/>
      </w:pPr>
    </w:lvl>
    <w:lvl w:ilvl="3">
      <w:start w:val="1"/>
      <w:numFmt w:val="decimal"/>
      <w:lvlText w:val="%4."/>
      <w:lvlJc w:val="left"/>
      <w:pPr>
        <w:ind w:hanging="360" w:left="2533"/>
      </w:pPr>
    </w:lvl>
    <w:lvl w:ilvl="4">
      <w:start w:val="1"/>
      <w:numFmt w:val="lowerLetter"/>
      <w:lvlText w:val="%5."/>
      <w:lvlJc w:val="left"/>
      <w:pPr>
        <w:ind w:hanging="360" w:left="3253"/>
      </w:pPr>
    </w:lvl>
    <w:lvl w:ilvl="5">
      <w:start w:val="1"/>
      <w:numFmt w:val="lowerRoman"/>
      <w:lvlText w:val="%6."/>
      <w:lvlJc w:val="right"/>
      <w:pPr>
        <w:ind w:hanging="180" w:left="3973"/>
      </w:pPr>
    </w:lvl>
    <w:lvl w:ilvl="6">
      <w:start w:val="1"/>
      <w:numFmt w:val="decimal"/>
      <w:lvlText w:val="%7."/>
      <w:lvlJc w:val="left"/>
      <w:pPr>
        <w:ind w:hanging="360" w:left="4693"/>
      </w:pPr>
    </w:lvl>
    <w:lvl w:ilvl="7">
      <w:start w:val="1"/>
      <w:numFmt w:val="lowerLetter"/>
      <w:lvlText w:val="%8."/>
      <w:lvlJc w:val="left"/>
      <w:pPr>
        <w:ind w:hanging="360" w:left="5413"/>
      </w:pPr>
    </w:lvl>
    <w:lvl w:ilvl="8">
      <w:start w:val="1"/>
      <w:numFmt w:val="lowerRoman"/>
      <w:lvlText w:val="%9."/>
      <w:lvlJc w:val="right"/>
      <w:pPr>
        <w:ind w:hanging="180" w:left="6133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477"/>
      </w:pPr>
    </w:lvl>
    <w:lvl w:ilvl="1">
      <w:start w:val="1"/>
      <w:numFmt w:val="lowerLetter"/>
      <w:lvlText w:val="%2."/>
      <w:lvlJc w:val="left"/>
      <w:pPr>
        <w:ind w:hanging="360" w:left="1197"/>
      </w:pPr>
    </w:lvl>
    <w:lvl w:ilvl="2">
      <w:start w:val="1"/>
      <w:numFmt w:val="lowerRoman"/>
      <w:lvlText w:val="%3."/>
      <w:lvlJc w:val="right"/>
      <w:pPr>
        <w:ind w:hanging="180" w:left="1917"/>
      </w:pPr>
    </w:lvl>
    <w:lvl w:ilvl="3">
      <w:start w:val="1"/>
      <w:numFmt w:val="decimal"/>
      <w:lvlText w:val="%4."/>
      <w:lvlJc w:val="left"/>
      <w:pPr>
        <w:ind w:hanging="360" w:left="2637"/>
      </w:pPr>
    </w:lvl>
    <w:lvl w:ilvl="4">
      <w:start w:val="1"/>
      <w:numFmt w:val="lowerLetter"/>
      <w:lvlText w:val="%5."/>
      <w:lvlJc w:val="left"/>
      <w:pPr>
        <w:ind w:hanging="360" w:left="3357"/>
      </w:pPr>
    </w:lvl>
    <w:lvl w:ilvl="5">
      <w:start w:val="1"/>
      <w:numFmt w:val="lowerRoman"/>
      <w:lvlText w:val="%6."/>
      <w:lvlJc w:val="right"/>
      <w:pPr>
        <w:ind w:hanging="180" w:left="4077"/>
      </w:pPr>
    </w:lvl>
    <w:lvl w:ilvl="6">
      <w:start w:val="1"/>
      <w:numFmt w:val="decimal"/>
      <w:lvlText w:val="%7."/>
      <w:lvlJc w:val="left"/>
      <w:pPr>
        <w:ind w:hanging="360" w:left="4797"/>
      </w:pPr>
    </w:lvl>
    <w:lvl w:ilvl="7">
      <w:start w:val="1"/>
      <w:numFmt w:val="lowerLetter"/>
      <w:lvlText w:val="%8."/>
      <w:lvlJc w:val="left"/>
      <w:pPr>
        <w:ind w:hanging="360" w:left="5517"/>
      </w:pPr>
    </w:lvl>
    <w:lvl w:ilvl="8">
      <w:start w:val="1"/>
      <w:numFmt w:val="lowerRoman"/>
      <w:lvlText w:val="%9."/>
      <w:lvlJc w:val="right"/>
      <w:pPr>
        <w:ind w:hanging="180" w:left="623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6" w:type="paragraph">
    <w:name w:val="ConsPlusNormal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5" w:type="paragraph">
    <w:name w:val="Прижатый влево"/>
    <w:basedOn w:val="Style_7"/>
    <w:next w:val="Style_7"/>
    <w:link w:val="Style_5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5_ch" w:type="character">
    <w:name w:val="Прижатый влево"/>
    <w:basedOn w:val="Style_7_ch"/>
    <w:link w:val="Style_5"/>
    <w:rPr>
      <w:rFonts w:ascii="Times New Roman CYR" w:hAnsi="Times New Roman CYR"/>
      <w:sz w:val="24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7_ch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9"/>
    <w:link w:val="Style_18_ch"/>
    <w:rPr>
      <w:color w:themeColor="hyperlink" w:val="0563C1"/>
      <w:u w:val="single"/>
    </w:rPr>
  </w:style>
  <w:style w:styleId="Style_18_ch" w:type="character">
    <w:name w:val="Hyperlink"/>
    <w:basedOn w:val="Style_19_ch"/>
    <w:link w:val="Style_18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7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7_ch"/>
    <w:link w:val="Style_23"/>
    <w:rPr>
      <w:rFonts w:ascii="Segoe UI" w:hAnsi="Segoe UI"/>
      <w:sz w:val="18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2024-11-21T10:52:50Z</dcterms:modified>
</cp:coreProperties>
</file>