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Пояснительная записка </w:t>
      </w:r>
    </w:p>
    <w:p w14:paraId="02000000">
      <w:pPr>
        <w:pStyle w:val="Style_1"/>
        <w:spacing w:after="0" w:before="0" w:line="240" w:lineRule="auto"/>
        <w:ind w:firstLine="540" w:left="0"/>
        <w:jc w:val="center"/>
      </w:pPr>
      <w:r>
        <w:rPr>
          <w:rFonts w:ascii="Times New Roman" w:hAnsi="Times New Roman"/>
          <w:b w:val="1"/>
          <w:sz w:val="28"/>
        </w:rPr>
        <w:t>к проекту постановления Правительства Республики Саха (Якутия) «</w:t>
      </w:r>
      <w:r>
        <w:rPr>
          <w:rFonts w:ascii="XO Thames" w:hAnsi="XO Thames"/>
          <w:b w:val="1"/>
          <w:sz w:val="28"/>
        </w:rPr>
        <w:t>Об утверждении Правил предоставления субсидий из государственного бюджета Республики Саха (Якутия)</w:t>
      </w:r>
      <w:r>
        <w:rPr>
          <w:rFonts w:ascii="XO Thames" w:hAnsi="XO Thames"/>
          <w:b w:val="1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на</w:t>
      </w:r>
      <w:r>
        <w:rPr>
          <w:rFonts w:ascii="XO Thames" w:hAnsi="XO Thames"/>
          <w:b w:val="1"/>
          <w:sz w:val="28"/>
        </w:rPr>
        <w:t xml:space="preserve"> возмещени</w:t>
      </w:r>
      <w:r>
        <w:rPr>
          <w:rFonts w:ascii="XO Thames" w:hAnsi="XO Thames"/>
          <w:b w:val="1"/>
          <w:sz w:val="28"/>
        </w:rPr>
        <w:t>е</w:t>
      </w:r>
      <w:r>
        <w:rPr>
          <w:rFonts w:ascii="XO Thames" w:hAnsi="XO Thames"/>
          <w:b w:val="1"/>
          <w:sz w:val="28"/>
        </w:rPr>
        <w:t xml:space="preserve"> части </w:t>
      </w:r>
      <w:r>
        <w:rPr>
          <w:rFonts w:ascii="XO Thames" w:hAnsi="XO Thames"/>
          <w:b w:val="1"/>
          <w:sz w:val="28"/>
        </w:rPr>
        <w:t>затрат</w:t>
      </w:r>
      <w:r>
        <w:rPr>
          <w:rStyle w:val="Style_1_ch"/>
          <w:rFonts w:ascii="XO Thames" w:hAnsi="XO Thames"/>
          <w:b w:val="1"/>
          <w:sz w:val="28"/>
        </w:rPr>
        <w:t xml:space="preserve"> по уплате страховых взносов, возникающих у резидентов территорий развития местного производства в Республике Саха (Якутия)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b w:val="1"/>
          <w:sz w:val="28"/>
        </w:rPr>
        <w:t>2024 году»</w:t>
      </w:r>
    </w:p>
    <w:p w14:paraId="03000000">
      <w:pPr>
        <w:pStyle w:val="Style_2"/>
        <w:numPr>
          <w:ilvl w:val="0"/>
          <w:numId w:val="1"/>
        </w:numPr>
        <w:spacing w:after="0" w:before="113" w:line="360" w:lineRule="exact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Правовое обоснование необходимости принятия акта.</w:t>
      </w:r>
    </w:p>
    <w:p w14:paraId="04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5 статьи 7 Закона Республики Саха (Якутия) от 25.12.2003 г. 98-З № 199-III «О правовых актах органов государственной власти Республики Саха (Якутия)» Правительство в пределах своей компетенции, на основе и во исполнение Конституции Российской Федерации, федеральных законов и иных нормативных правовых актов Российской Федерации, Конституции (Основного закона) Республики Саха (Якутия), законов Республики Саха (Якутия), правовых актов Главы, принимает постановления и распоряжения.</w:t>
      </w:r>
    </w:p>
    <w:p w14:paraId="05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Основание для подготовки и внесения акта.</w:t>
      </w:r>
    </w:p>
    <w:p w14:paraId="06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</w:t>
      </w:r>
      <w:r>
        <w:rPr>
          <w:rStyle w:val="Style_1_ch"/>
          <w:rFonts w:ascii="Times New Roman" w:hAnsi="Times New Roman"/>
          <w:sz w:val="28"/>
        </w:rPr>
        <w:t>остановление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Style w:val="Style_1_ch"/>
          <w:rFonts w:ascii="Times New Roman" w:hAnsi="Times New Roman"/>
          <w:sz w:val="28"/>
        </w:rPr>
        <w:t xml:space="preserve"> числе грантов в форме субсидий».</w:t>
      </w:r>
    </w:p>
    <w:p w14:paraId="07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1_ch"/>
          <w:rFonts w:ascii="Times New Roman" w:hAnsi="Times New Roman"/>
          <w:sz w:val="28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bookmarkStart w:id="1" w:name="_GoBack"/>
      <w:bookmarkEnd w:id="1"/>
      <w:r>
        <w:rPr>
          <w:rStyle w:val="Style_1_ch"/>
          <w:rFonts w:ascii="Times New Roman" w:hAnsi="Times New Roman"/>
          <w:sz w:val="28"/>
        </w:rPr>
        <w:t>.</w:t>
      </w:r>
    </w:p>
    <w:p w14:paraId="08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Цели, задачи и предмет правового регулирования акта.</w:t>
      </w:r>
    </w:p>
    <w:p w14:paraId="09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Целью настоящего проекта является утверждение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Пор</w:t>
      </w:r>
      <w:r>
        <w:rPr>
          <w:rStyle w:val="Style_1_ch"/>
          <w:rFonts w:ascii="Times New Roman" w:hAnsi="Times New Roman"/>
          <w:sz w:val="28"/>
        </w:rPr>
        <w:t>ядка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предоставления из государственного бюджета Республики Саха (Якутия) </w:t>
      </w:r>
      <w:r>
        <w:rPr>
          <w:rFonts w:ascii="Times New Roman" w:hAnsi="Times New Roman"/>
          <w:b w:val="0"/>
          <w:sz w:val="28"/>
        </w:rPr>
        <w:t xml:space="preserve">субсидий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возмещение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части затрат </w:t>
      </w:r>
      <w:r>
        <w:rPr>
          <w:rStyle w:val="Style_1_ch"/>
          <w:rFonts w:ascii="XO Thames" w:hAnsi="XO Thames"/>
          <w:b w:val="0"/>
          <w:sz w:val="28"/>
        </w:rPr>
        <w:t>по уплате страховых взносов, возникающих у резидентов территорий развития местного производства в Республике Саха (Якутия).</w:t>
      </w:r>
    </w:p>
    <w:p w14:paraId="0A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Структура проекта решения.</w:t>
      </w:r>
    </w:p>
    <w:p w14:paraId="0B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состоит из 3 пунктов и 1 приложения. </w:t>
      </w:r>
    </w:p>
    <w:p w14:paraId="0C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Правовые акты, в которые вносятся или предполагается внести изменения: </w:t>
      </w:r>
    </w:p>
    <w:p w14:paraId="0D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принятием проекта не потребуется признания утратившими силу, приостановления, изменения, дополнения действующих или принятия других актов Республики Саха (Якутия).</w:t>
      </w:r>
    </w:p>
    <w:p w14:paraId="0E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Прогноз ожидаемых социально-экономических, экологических и иных последствий от реализации решения.</w:t>
      </w:r>
    </w:p>
    <w:p w14:paraId="0F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позволит реализовать Закон Республики Саха (Якутия) от 22.06.2023 № 2647-З № 1205-VI «О территориях развития местного производства в Республике Саха (Якутия)».</w:t>
      </w:r>
    </w:p>
    <w:p w14:paraId="10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Источник финансирования.</w:t>
      </w:r>
    </w:p>
    <w:p w14:paraId="11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Республики Саха (Якутия)</w:t>
      </w:r>
      <w:r>
        <w:rPr>
          <w:rStyle w:val="Style_1_ch"/>
          <w:rFonts w:ascii="Times New Roman" w:hAnsi="Times New Roman"/>
          <w:sz w:val="28"/>
        </w:rPr>
        <w:t xml:space="preserve"> от 06.05.2024 2721-З № 117-VII «О внесении изменений в Закон РС(Я) «О государственном бюджете РС(Я) на 2024 год и на плановый период 2025 и 2026 годов» </w:t>
      </w:r>
      <w:r>
        <w:rPr>
          <w:rStyle w:val="Style_1_ch"/>
          <w:rFonts w:ascii="Times New Roman" w:hAnsi="Times New Roman"/>
          <w:sz w:val="28"/>
        </w:rPr>
        <w:t>в 202</w:t>
      </w:r>
      <w:r>
        <w:rPr>
          <w:rStyle w:val="Style_1_ch"/>
          <w:rFonts w:ascii="Times New Roman" w:hAnsi="Times New Roman"/>
          <w:sz w:val="28"/>
        </w:rPr>
        <w:t xml:space="preserve">4 году предусмотрено 20 млн рублей (ЦС </w:t>
      </w:r>
      <w:r>
        <w:rPr>
          <w:rStyle w:val="Style_1_ch"/>
          <w:rFonts w:ascii="Times New Roman" w:hAnsi="Times New Roman"/>
          <w:sz w:val="28"/>
        </w:rPr>
        <w:t>7430710170</w:t>
      </w:r>
      <w:r>
        <w:rPr>
          <w:rStyle w:val="Style_1_ch"/>
          <w:rFonts w:ascii="Times New Roman" w:hAnsi="Times New Roman"/>
          <w:sz w:val="28"/>
        </w:rPr>
        <w:t>).</w:t>
      </w:r>
    </w:p>
    <w:p w14:paraId="12000000">
      <w:pPr>
        <w:ind w:firstLine="567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20320" distL="0" distR="10160" distT="0" layoutInCell="true" locked="false" relativeHeight="251658240" simplePos="false">
                <wp:simplePos x="0" y="0"/>
                <wp:positionH relativeFrom="column">
                  <wp:posOffset>1206500</wp:posOffset>
                </wp:positionH>
                <wp:positionV relativeFrom="paragraph">
                  <wp:posOffset>450850</wp:posOffset>
                </wp:positionV>
                <wp:extent cx="3628390" cy="1446530"/>
                <wp:wrapNone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3628390" cy="1446530"/>
                          <a:chOff x="0" y="0"/>
                          <a:chExt cx="3628390" cy="144653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3628390" cy="144653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center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ДОКУМЕНТ ПОДПИСАН</w:t>
                              </w:r>
                            </w:p>
                            <w:p w14:paraId="17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center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ЭЛЕКТРОННОЙ ПОДПИСЬЮ</w:t>
                              </w:r>
                            </w:p>
                            <w:p w14:paraId="18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</w:p>
                            <w:p w14:paraId="19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</w:p>
                            <w:p w14:paraId="1A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Сертификат 361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EB18F5751C122A55495536AFFD45C</w:t>
                              </w:r>
                            </w:p>
                            <w:p w14:paraId="1B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 xml:space="preserve"> Владелец  </w:t>
                              </w:r>
                              <w:r>
                                <w:rPr>
                                  <w:rFonts w:ascii="XO Thames" w:hAnsi="XO Thames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Аргунова Мария Мих</w:t>
                              </w:r>
                              <w:r>
                                <w:rPr>
                                  <w:rFonts w:ascii="XO Thames" w:hAnsi="XO Thames"/>
                                  <w:b w:val="1"/>
                                  <w:spacing w:val="0"/>
                                  <w:sz w:val="20"/>
                                </w:rPr>
                                <w:t>айловна</w:t>
                              </w:r>
                            </w:p>
                            <w:p w14:paraId="1C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Действителен  с 06.10.2023 по 29.12.2024</w:t>
                              </w:r>
                            </w:p>
                          </w:txbxContent>
                        </wps:txbx>
                        <wps:bodyPr anchor="t" bIns="80640" lIns="91440" rIns="91440" tIns="8064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3"/>
        <w:tblW w:type="auto" w:w="0"/>
        <w:tblInd w:type="dxa" w:w="-42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27"/>
        <w:gridCol w:w="5812"/>
        <w:gridCol w:w="2268"/>
      </w:tblGrid>
      <w:tr>
        <w:trPr>
          <w:trHeight w:hRule="atLeast" w:val="1845"/>
        </w:trPr>
        <w:tc>
          <w:tcPr>
            <w:tcW w:type="dxa" w:w="21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E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</w:t>
            </w:r>
          </w:p>
          <w:p w14:paraId="1F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министра</w:t>
            </w:r>
          </w:p>
        </w:tc>
        <w:tc>
          <w:tcPr>
            <w:tcW w:type="dxa" w:w="58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М.М. Аргунова</w:t>
            </w:r>
          </w:p>
        </w:tc>
      </w:tr>
    </w:tbl>
    <w:p w14:paraId="22000000">
      <w:pPr>
        <w:pStyle w:val="Style_1"/>
        <w:spacing w:after="160" w:before="0"/>
        <w:ind/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List"/>
    <w:basedOn w:val="Style_12"/>
    <w:link w:val="Style_11_ch"/>
    <w:rPr>
      <w:rFonts w:ascii="PT Astra Serif" w:hAnsi="PT Astra Serif"/>
    </w:rPr>
  </w:style>
  <w:style w:styleId="Style_11_ch" w:type="character">
    <w:name w:val="List"/>
    <w:basedOn w:val="Style_12_ch"/>
    <w:link w:val="Style_11"/>
    <w:rPr>
      <w:rFonts w:ascii="PT Astra Serif" w:hAnsi="PT Astra Serif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2" w:type="paragraph">
    <w:name w:val="Body Text"/>
    <w:basedOn w:val="Style_1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1_ch"/>
    <w:link w:val="Style_12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Указатель"/>
    <w:basedOn w:val="Style_1"/>
    <w:link w:val="Style_21_ch"/>
    <w:rPr>
      <w:rFonts w:ascii="PT Astra Serif" w:hAnsi="PT Astra Serif"/>
    </w:rPr>
  </w:style>
  <w:style w:styleId="Style_21_ch" w:type="character">
    <w:name w:val="Указатель"/>
    <w:basedOn w:val="Style_1_ch"/>
    <w:link w:val="Style_21"/>
    <w:rPr>
      <w:rFonts w:ascii="PT Astra Serif" w:hAnsi="PT Astra Serif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Заголовок"/>
    <w:basedOn w:val="Style_1"/>
    <w:next w:val="Style_12"/>
    <w:link w:val="Style_2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4_ch" w:type="character">
    <w:name w:val="Заголовок"/>
    <w:basedOn w:val="Style_1_ch"/>
    <w:link w:val="Style_24"/>
    <w:rPr>
      <w:rFonts w:ascii="PT Astra Serif" w:hAnsi="PT Astra Serif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rFonts w:ascii="PT Astra Serif" w:hAnsi="PT Astra Serif"/>
      <w:i w:val="1"/>
      <w:sz w:val="24"/>
    </w:rPr>
  </w:style>
  <w:style w:styleId="Style_28_ch" w:type="character">
    <w:name w:val="Caption"/>
    <w:basedOn w:val="Style_1_ch"/>
    <w:link w:val="Style_28"/>
    <w:rPr>
      <w:rFonts w:ascii="PT Astra Serif" w:hAnsi="PT Astra Serif"/>
      <w:i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Интернет-ссылка"/>
    <w:basedOn w:val="Style_10"/>
    <w:link w:val="Style_30_ch"/>
    <w:rPr>
      <w:color w:themeColor="hyperlink" w:val="0563C1"/>
      <w:u w:val="single"/>
    </w:rPr>
  </w:style>
  <w:style w:styleId="Style_30_ch" w:type="character">
    <w:name w:val="Интернет-ссылка"/>
    <w:basedOn w:val="Style_10_ch"/>
    <w:link w:val="Style_30"/>
    <w:rPr>
      <w:color w:themeColor="hyperlink" w:val="0563C1"/>
      <w:u w:val="single"/>
    </w:rPr>
  </w:style>
  <w:style w:styleId="Style_2" w:type="paragraph">
    <w:name w:val="List Paragraph"/>
    <w:basedOn w:val="Style_1"/>
    <w:link w:val="Style_2_ch"/>
    <w:pPr>
      <w:spacing w:after="16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31" w:type="table">
    <w:name w:val="Сетка таблицы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2024-06-04T06:53:21Z</dcterms:modified>
</cp:coreProperties>
</file>