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18"/>
        <w:tblW w:w="1038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29"/>
        <w:gridCol w:w="1760"/>
        <w:gridCol w:w="43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29" w:type="dxa"/>
          </w:tcPr>
          <w:p>
            <w:pPr>
              <w:jc w:val="center"/>
              <w:rPr>
                <w:b/>
                <w:sz w:val="26"/>
                <w:szCs w:val="26"/>
              </w:rPr>
            </w:pPr>
          </w:p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Министерство</w:t>
            </w:r>
          </w:p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жилищно-коммунального</w:t>
            </w:r>
          </w:p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хозяйства и энергетики</w:t>
            </w:r>
          </w:p>
          <w:p>
            <w:pPr>
              <w:jc w:val="center"/>
            </w:pPr>
            <w:r>
              <w:rPr>
                <w:b/>
                <w:sz w:val="26"/>
                <w:szCs w:val="26"/>
              </w:rPr>
              <w:t>Республики Саха (Якутия)</w:t>
            </w:r>
          </w:p>
        </w:tc>
        <w:tc>
          <w:tcPr>
            <w:tcW w:w="1760" w:type="dxa"/>
          </w:tcPr>
          <w:p>
            <w:pPr>
              <w:jc w:val="center"/>
            </w:pPr>
            <w: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ge">
                    <wp:posOffset>0</wp:posOffset>
                  </wp:positionV>
                  <wp:extent cx="734695" cy="752475"/>
                  <wp:effectExtent l="0" t="0" r="0" b="0"/>
                  <wp:wrapTopAndBottom/>
                  <wp:docPr id="3" name="Рисунок 2" descr="base_23801_60884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base_23801_60884_2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69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4" w:type="dxa"/>
          </w:tcPr>
          <w:p>
            <w:pPr>
              <w:jc w:val="center"/>
              <w:rPr>
                <w:b/>
                <w:sz w:val="26"/>
                <w:szCs w:val="26"/>
              </w:rPr>
            </w:pPr>
          </w:p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Саха Өрөспүүбүлүкэтин</w:t>
            </w:r>
          </w:p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олорор дьиэҕэ, коммунальнай</w:t>
            </w:r>
          </w:p>
          <w:p>
            <w:pPr>
              <w:jc w:val="center"/>
            </w:pPr>
            <w:r>
              <w:rPr>
                <w:b/>
                <w:sz w:val="26"/>
                <w:szCs w:val="26"/>
              </w:rPr>
              <w:t>хаhаайыстыбаҕа уонна энергетикэҕэ министиэристибэтэ</w:t>
            </w:r>
          </w:p>
        </w:tc>
      </w:tr>
    </w:tbl>
    <w:p>
      <w:pPr>
        <w:rPr>
          <w:sz w:val="20"/>
          <w:szCs w:val="20"/>
        </w:rPr>
      </w:pPr>
    </w:p>
    <w:p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ул. Кирова, д. 13, г. Якутск, 677000, </w:t>
      </w:r>
    </w:p>
    <w:p>
      <w:pPr>
        <w:jc w:val="center"/>
        <w:rPr>
          <w:sz w:val="20"/>
          <w:szCs w:val="20"/>
        </w:rPr>
      </w:pPr>
      <w:r>
        <w:rPr>
          <w:sz w:val="20"/>
          <w:szCs w:val="20"/>
        </w:rPr>
        <w:t>тел.: (4112) 34-19-33, факс: (4112) 42-27-39</w:t>
      </w:r>
    </w:p>
    <w:p>
      <w:pPr>
        <w:pBdr>
          <w:bottom w:val="double" w:color="auto" w:sz="6" w:space="0"/>
        </w:pBdr>
        <w:jc w:val="center"/>
        <w:rPr>
          <w:b/>
          <w:sz w:val="28"/>
          <w:szCs w:val="28"/>
        </w:rPr>
      </w:pPr>
      <w:r>
        <w:fldChar w:fldCharType="begin"/>
      </w:r>
      <w:r>
        <w:instrText xml:space="preserve"> HYPERLINK "http://www.sakha.gov.ru/minjkh" </w:instrText>
      </w:r>
      <w:r>
        <w:fldChar w:fldCharType="separate"/>
      </w:r>
      <w:r>
        <w:rPr>
          <w:sz w:val="20"/>
          <w:szCs w:val="20"/>
          <w:lang w:val="en-US"/>
        </w:rPr>
        <w:t>http</w:t>
      </w:r>
      <w:r>
        <w:rPr>
          <w:sz w:val="20"/>
          <w:szCs w:val="20"/>
        </w:rPr>
        <w:t>://</w:t>
      </w:r>
      <w:r>
        <w:rPr>
          <w:sz w:val="20"/>
          <w:szCs w:val="20"/>
          <w:lang w:val="en-US"/>
        </w:rPr>
        <w:t>www</w:t>
      </w:r>
      <w:r>
        <w:rPr>
          <w:sz w:val="20"/>
          <w:szCs w:val="20"/>
        </w:rPr>
        <w:t xml:space="preserve">. </w:t>
      </w:r>
      <w:r>
        <w:rPr>
          <w:sz w:val="20"/>
          <w:szCs w:val="20"/>
          <w:lang w:val="en-US"/>
        </w:rPr>
        <w:t>minjkh</w:t>
      </w:r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sakha</w:t>
      </w:r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gov</w:t>
      </w:r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ru</w:t>
      </w:r>
      <w:r>
        <w:rPr>
          <w:sz w:val="20"/>
          <w:szCs w:val="20"/>
          <w:lang w:val="en-US"/>
        </w:rPr>
        <w:fldChar w:fldCharType="end"/>
      </w:r>
      <w:r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r>
        <w:fldChar w:fldCharType="begin"/>
      </w:r>
      <w:r>
        <w:instrText xml:space="preserve"> HYPERLINK "mailto:mingkx@sakha.gov.ru" </w:instrText>
      </w:r>
      <w:r>
        <w:fldChar w:fldCharType="separate"/>
      </w:r>
      <w:r>
        <w:rPr>
          <w:sz w:val="20"/>
          <w:szCs w:val="20"/>
          <w:lang w:val="en-US"/>
        </w:rPr>
        <w:t>mingkx</w:t>
      </w:r>
      <w:r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sakha</w:t>
      </w:r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gov</w:t>
      </w:r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ru</w:t>
      </w:r>
      <w:r>
        <w:rPr>
          <w:sz w:val="20"/>
          <w:szCs w:val="20"/>
          <w:lang w:val="en-US"/>
        </w:rPr>
        <w:fldChar w:fldCharType="end"/>
      </w:r>
    </w:p>
    <w:p>
      <w:pPr>
        <w:rPr>
          <w:b/>
          <w:i/>
          <w:szCs w:val="20"/>
        </w:rPr>
      </w:pPr>
    </w:p>
    <w:p>
      <w:pPr>
        <w:spacing w:line="300" w:lineRule="auto"/>
        <w:jc w:val="both"/>
      </w:pPr>
      <w:bookmarkStart w:id="0" w:name="REGNUMDATESTAMP"/>
      <w:r>
        <w:t>от ______________ 20____ г. № ________</w:t>
      </w:r>
      <w:bookmarkEnd w:id="0"/>
    </w:p>
    <w:p>
      <w:pPr>
        <w:spacing w:line="300" w:lineRule="auto"/>
        <w:rPr>
          <w:szCs w:val="20"/>
        </w:rPr>
      </w:pPr>
      <w:r>
        <w:rPr>
          <w:szCs w:val="20"/>
        </w:rPr>
        <w:t xml:space="preserve">на </w:t>
      </w:r>
      <w:r>
        <w:rPr>
          <w:szCs w:val="20"/>
          <w:u w:val="single"/>
        </w:rPr>
        <w:t xml:space="preserve">                                      </w:t>
      </w:r>
      <w:r>
        <w:rPr>
          <w:szCs w:val="20"/>
        </w:rPr>
        <w:t xml:space="preserve">   от_______________</w:t>
      </w:r>
    </w:p>
    <w:p/>
    <w:p>
      <w:pPr>
        <w:jc w:val="center"/>
        <w:rPr>
          <w:b/>
          <w:bCs/>
        </w:rPr>
      </w:pPr>
      <w:r>
        <w:rPr>
          <w:b/>
          <w:bCs/>
        </w:rPr>
        <w:t>СВОДНЫЙ ОТЧЕТ</w:t>
      </w:r>
    </w:p>
    <w:p>
      <w:pPr>
        <w:jc w:val="center"/>
        <w:rPr>
          <w:b/>
          <w:bCs/>
        </w:rPr>
      </w:pPr>
      <w:r>
        <w:rPr>
          <w:b/>
          <w:bCs/>
        </w:rPr>
        <w:t>о проведени</w:t>
      </w:r>
      <w:r>
        <w:rPr>
          <w:b/>
          <w:bCs/>
          <w:lang w:val="ru-RU"/>
        </w:rPr>
        <w:t>и</w:t>
      </w:r>
      <w:r>
        <w:rPr>
          <w:b/>
          <w:bCs/>
        </w:rPr>
        <w:t xml:space="preserve"> оценки регулирующего воздействия проекта нормативного правового акта</w:t>
      </w:r>
    </w:p>
    <w:p/>
    <w:p>
      <w:pPr>
        <w:pStyle w:val="43"/>
        <w:numPr>
          <w:ilvl w:val="0"/>
          <w:numId w:val="1"/>
        </w:num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ОБЩАЯ ИНФОРМАЦИЯ</w:t>
      </w:r>
    </w:p>
    <w:p>
      <w:pPr>
        <w:spacing w:line="276" w:lineRule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43"/>
        <w:numPr>
          <w:ilvl w:val="1"/>
          <w:numId w:val="1"/>
        </w:numPr>
        <w:spacing w:line="276" w:lineRule="auto"/>
        <w:ind w:left="0" w:firstLine="567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Орган-разработчик:</w:t>
      </w:r>
    </w:p>
    <w:p>
      <w:pPr>
        <w:spacing w:line="276" w:lineRule="auto"/>
        <w:ind w:firstLine="567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Министерство жилищно-коммунального хозяйства и энергетики Республики Саха (Якутия).</w:t>
      </w:r>
    </w:p>
    <w:p>
      <w:pPr>
        <w:spacing w:line="276" w:lineRule="auto"/>
        <w:ind w:firstLine="567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pStyle w:val="43"/>
        <w:numPr>
          <w:ilvl w:val="1"/>
          <w:numId w:val="1"/>
        </w:numPr>
        <w:spacing w:line="276" w:lineRule="auto"/>
        <w:ind w:left="0" w:firstLine="567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Вид и наименование проекта нормативного правового акта:</w:t>
      </w:r>
    </w:p>
    <w:p>
      <w:pPr>
        <w:spacing w:line="276" w:lineRule="auto"/>
        <w:ind w:firstLine="567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Проект </w:t>
      </w:r>
      <w:r>
        <w:rPr>
          <w:rFonts w:hint="default" w:cs="Times New Roman"/>
          <w:sz w:val="24"/>
          <w:szCs w:val="24"/>
          <w:lang w:val="ru-RU"/>
        </w:rPr>
        <w:t>постановления Правительства Республики Саха (Якутия)</w:t>
      </w:r>
      <w:r>
        <w:rPr>
          <w:rFonts w:hint="default" w:ascii="Times New Roman" w:hAnsi="Times New Roman" w:cs="Times New Roman"/>
          <w:sz w:val="24"/>
          <w:szCs w:val="24"/>
        </w:rPr>
        <w:t xml:space="preserve"> «Об утверждении порядка предоставления субсидии на финансовое обеспечение затрат, в том числе на уплату лизинговых платежей на приобретение специализированной техники для обеспечения деятельности по обращению с твердыми коммунальными».</w:t>
      </w:r>
    </w:p>
    <w:p>
      <w:pPr>
        <w:spacing w:line="276" w:lineRule="auto"/>
        <w:ind w:firstLine="567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43"/>
        <w:numPr>
          <w:ilvl w:val="1"/>
          <w:numId w:val="1"/>
        </w:numPr>
        <w:spacing w:line="276" w:lineRule="auto"/>
        <w:ind w:left="0" w:firstLine="567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Краткое описание проблемы, на решение которой направлено предлагаемое правовое регулирование:</w:t>
      </w:r>
    </w:p>
    <w:p>
      <w:pPr>
        <w:pStyle w:val="43"/>
        <w:numPr>
          <w:ilvl w:val="0"/>
          <w:numId w:val="0"/>
        </w:numPr>
        <w:spacing w:line="276" w:lineRule="auto"/>
        <w:ind w:firstLine="708" w:firstLineChars="0"/>
        <w:rPr>
          <w:rFonts w:hint="default" w:cs="Times New Roman"/>
          <w:sz w:val="24"/>
          <w:szCs w:val="24"/>
          <w:lang w:val="ru-RU"/>
        </w:rPr>
      </w:pPr>
      <w:r>
        <w:rPr>
          <w:rFonts w:hint="default" w:cs="Times New Roman"/>
          <w:b w:val="0"/>
          <w:bCs w:val="0"/>
          <w:color w:val="auto"/>
          <w:sz w:val="24"/>
          <w:szCs w:val="24"/>
          <w:highlight w:val="none"/>
          <w:u w:val="none"/>
          <w:lang w:val="ru-RU"/>
        </w:rPr>
        <w:t xml:space="preserve">В настоящим момент 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поряд</w:t>
      </w:r>
      <w:r>
        <w:rPr>
          <w:rFonts w:hint="default" w:cs="Times New Roman"/>
          <w:sz w:val="24"/>
          <w:szCs w:val="24"/>
          <w:lang w:val="ru-RU"/>
        </w:rPr>
        <w:t>ок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 xml:space="preserve"> предоставления субсидии на предоставления субсидии на финансовое обеспечение (возмещение) приобретения специализированной техники для обеспечения деятельности по обращению с твердыми коммунальными отходами</w:t>
      </w:r>
      <w:r>
        <w:rPr>
          <w:rFonts w:hint="default" w:cs="Times New Roman"/>
          <w:sz w:val="24"/>
          <w:szCs w:val="24"/>
          <w:lang w:val="ru-RU"/>
        </w:rPr>
        <w:t>, утвержденная п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риказ</w:t>
      </w:r>
      <w:r>
        <w:rPr>
          <w:rFonts w:hint="default" w:cs="Times New Roman"/>
          <w:sz w:val="24"/>
          <w:szCs w:val="24"/>
          <w:lang w:val="ru-RU"/>
        </w:rPr>
        <w:t>ом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 xml:space="preserve"> Министерства жилищно-коммунального хозяйства и энергетики Республики Саха (Якутия) от 2</w:t>
      </w:r>
      <w:r>
        <w:rPr>
          <w:rFonts w:hint="default" w:cs="Times New Roman"/>
          <w:sz w:val="24"/>
          <w:szCs w:val="24"/>
          <w:lang w:val="ru-RU"/>
        </w:rPr>
        <w:t>0.04.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202</w:t>
      </w:r>
      <w:r>
        <w:rPr>
          <w:rFonts w:hint="default" w:cs="Times New Roman"/>
          <w:sz w:val="24"/>
          <w:szCs w:val="24"/>
          <w:lang w:val="ru-RU"/>
        </w:rPr>
        <w:t>2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 xml:space="preserve"> </w:t>
      </w:r>
      <w:r>
        <w:rPr>
          <w:rFonts w:hint="default" w:cs="Times New Roman"/>
          <w:sz w:val="24"/>
          <w:szCs w:val="24"/>
          <w:lang w:val="ru-RU"/>
        </w:rPr>
        <w:t>№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 xml:space="preserve"> </w:t>
      </w:r>
      <w:r>
        <w:rPr>
          <w:rFonts w:hint="default" w:cs="Times New Roman"/>
          <w:sz w:val="24"/>
          <w:szCs w:val="24"/>
          <w:lang w:val="ru-RU"/>
        </w:rPr>
        <w:t>2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1</w:t>
      </w:r>
      <w:r>
        <w:rPr>
          <w:rFonts w:hint="default" w:cs="Times New Roman"/>
          <w:sz w:val="24"/>
          <w:szCs w:val="24"/>
          <w:lang w:val="ru-RU"/>
        </w:rPr>
        <w:t>2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-ОД</w:t>
      </w:r>
      <w:r>
        <w:rPr>
          <w:rFonts w:hint="default" w:cs="Times New Roman"/>
          <w:sz w:val="24"/>
          <w:szCs w:val="24"/>
          <w:lang w:val="ru-RU"/>
        </w:rPr>
        <w:t xml:space="preserve"> не соответствует федеральному законодательству. </w:t>
      </w:r>
    </w:p>
    <w:p>
      <w:pPr>
        <w:pStyle w:val="43"/>
        <w:numPr>
          <w:ilvl w:val="0"/>
          <w:numId w:val="0"/>
        </w:numPr>
        <w:spacing w:line="276" w:lineRule="auto"/>
        <w:ind w:firstLine="708" w:firstLineChars="0"/>
        <w:rPr>
          <w:rFonts w:hint="default" w:cs="Times New Roman"/>
          <w:sz w:val="24"/>
          <w:szCs w:val="24"/>
          <w:lang w:val="ru-RU"/>
        </w:rPr>
      </w:pPr>
    </w:p>
    <w:p>
      <w:pPr>
        <w:pStyle w:val="43"/>
        <w:numPr>
          <w:ilvl w:val="1"/>
          <w:numId w:val="1"/>
        </w:numPr>
        <w:spacing w:line="276" w:lineRule="auto"/>
        <w:ind w:left="0" w:firstLine="567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Краткое описание целей предлагаемого правового регулирования:</w:t>
      </w:r>
    </w:p>
    <w:p>
      <w:pPr>
        <w:pStyle w:val="45"/>
        <w:spacing w:after="0"/>
        <w:ind w:firstLine="70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 целях привидения в соответствие с постановлением Правительства Российской Федерации от 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субсидий».</w:t>
      </w:r>
    </w:p>
    <w:p>
      <w:pPr>
        <w:pStyle w:val="45"/>
        <w:spacing w:after="0"/>
        <w:ind w:firstLine="708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43"/>
        <w:numPr>
          <w:ilvl w:val="1"/>
          <w:numId w:val="1"/>
        </w:numPr>
        <w:spacing w:line="276" w:lineRule="auto"/>
        <w:ind w:left="0" w:firstLine="567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Краткое описание содержания предлагаемого правового регулирования:</w:t>
      </w:r>
    </w:p>
    <w:p>
      <w:pPr>
        <w:pStyle w:val="43"/>
        <w:numPr>
          <w:ilvl w:val="0"/>
          <w:numId w:val="0"/>
        </w:numPr>
        <w:spacing w:line="276" w:lineRule="auto"/>
        <w:ind w:firstLine="708" w:firstLineChars="0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cs="Times New Roman"/>
          <w:b w:val="0"/>
          <w:bCs w:val="0"/>
          <w:sz w:val="24"/>
          <w:szCs w:val="24"/>
          <w:lang w:val="ru-RU"/>
        </w:rPr>
        <w:t>Проект приводит в соответствие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 с постановлением Правительства Российской Федерации от 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</w:t>
      </w:r>
      <w:r>
        <w:rPr>
          <w:rFonts w:hint="default" w:cs="Times New Roman"/>
          <w:b w:val="0"/>
          <w:bCs w:val="0"/>
          <w:sz w:val="24"/>
          <w:szCs w:val="24"/>
          <w:lang w:val="ru-RU"/>
        </w:rPr>
        <w:t xml:space="preserve"> </w:t>
      </w:r>
    </w:p>
    <w:p>
      <w:pPr>
        <w:pStyle w:val="43"/>
        <w:numPr>
          <w:ilvl w:val="0"/>
          <w:numId w:val="0"/>
        </w:numPr>
        <w:spacing w:line="276" w:lineRule="auto"/>
        <w:ind w:left="567" w:leftChars="0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pStyle w:val="43"/>
        <w:numPr>
          <w:ilvl w:val="1"/>
          <w:numId w:val="1"/>
        </w:numPr>
        <w:spacing w:line="276" w:lineRule="auto"/>
        <w:ind w:left="0" w:firstLine="56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Контактная информация исполнителя в органе-разработчике:</w:t>
      </w:r>
    </w:p>
    <w:p>
      <w:pPr>
        <w:spacing w:line="276" w:lineRule="auto"/>
        <w:ind w:firstLine="567"/>
        <w:jc w:val="both"/>
        <w:rPr>
          <w:rFonts w:hint="default" w:cs="Times New Roman"/>
          <w:sz w:val="24"/>
          <w:szCs w:val="24"/>
          <w:highlight w:val="none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Ф.И.О.: </w:t>
      </w:r>
      <w:r>
        <w:rPr>
          <w:rFonts w:hint="default" w:cs="Times New Roman"/>
          <w:sz w:val="24"/>
          <w:szCs w:val="24"/>
          <w:highlight w:val="none"/>
          <w:lang w:val="ru-RU"/>
        </w:rPr>
        <w:t>Кюндяйцев Айаал Вениаминович</w:t>
      </w:r>
    </w:p>
    <w:p>
      <w:pPr>
        <w:spacing w:line="276" w:lineRule="auto"/>
        <w:ind w:firstLine="567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Должность: </w:t>
      </w:r>
      <w:r>
        <w:rPr>
          <w:rFonts w:hint="default" w:cs="Times New Roman"/>
          <w:sz w:val="24"/>
          <w:szCs w:val="24"/>
          <w:highlight w:val="none"/>
          <w:lang w:val="ru-RU"/>
        </w:rPr>
        <w:t>Заместитель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</w:t>
      </w:r>
      <w:r>
        <w:rPr>
          <w:rFonts w:hint="default" w:cs="Times New Roman"/>
          <w:sz w:val="24"/>
          <w:szCs w:val="24"/>
          <w:highlight w:val="none"/>
          <w:lang w:val="ru-RU"/>
        </w:rPr>
        <w:t xml:space="preserve">директора ГАУ РС(Я) «Центр развития жилищно-коммунального хозяйства и повышения энергоэффективности»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</w:t>
      </w:r>
    </w:p>
    <w:p>
      <w:pPr>
        <w:spacing w:line="276" w:lineRule="auto"/>
        <w:ind w:firstLine="567"/>
        <w:jc w:val="both"/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171450</wp:posOffset>
                </wp:positionV>
                <wp:extent cx="5715000" cy="1270"/>
                <wp:effectExtent l="13335" t="5715" r="5715" b="12065"/>
                <wp:wrapTopAndBottom/>
                <wp:docPr id="1159758464" name="Полилиния: фигур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00"/>
                            <a:gd name="T2" fmla="+- 0 10701 1701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: фигура 2" o:spid="_x0000_s1026" o:spt="100" style="position:absolute;left:0pt;margin-left:85.05pt;margin-top:13.5pt;height:0.1pt;width:450pt;mso-position-horizontal-relative:page;mso-wrap-distance-bottom:0pt;mso-wrap-distance-top:0pt;z-index:-251656192;mso-width-relative:page;mso-height-relative:page;" filled="f" stroked="t" coordsize="9000,1" o:gfxdata="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" path="m0,0l9000,0e">
                <v:path o:connectlocs="0,0;5715000,0" o:connectangles="0,0"/>
                <v:fill on="f" focussize="0,0"/>
                <v:stroke weight="0.48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Телефон (4112) 50</w:t>
      </w:r>
      <w:r>
        <w:rPr>
          <w:rFonts w:hint="default" w:cs="Times New Roman"/>
          <w:sz w:val="24"/>
          <w:szCs w:val="24"/>
          <w:highlight w:val="none"/>
          <w:lang w:val="ru-RU"/>
        </w:rPr>
        <w:t>9861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Адрес электронной почты: </w:t>
      </w:r>
      <w:r>
        <w:rPr>
          <w:rFonts w:hint="default" w:cs="Times New Roman"/>
          <w:sz w:val="24"/>
          <w:szCs w:val="24"/>
          <w:highlight w:val="none"/>
          <w:lang w:val="ru-RU"/>
        </w:rPr>
        <w:fldChar w:fldCharType="begin"/>
      </w:r>
      <w:r>
        <w:rPr>
          <w:rFonts w:hint="default" w:cs="Times New Roman"/>
          <w:sz w:val="24"/>
          <w:szCs w:val="24"/>
          <w:highlight w:val="none"/>
          <w:lang w:val="ru-RU"/>
        </w:rPr>
        <w:instrText xml:space="preserve"> HYPERLINK "mailto:omim@centerjkh.ru" </w:instrText>
      </w:r>
      <w:r>
        <w:rPr>
          <w:rFonts w:hint="default" w:cs="Times New Roman"/>
          <w:sz w:val="24"/>
          <w:szCs w:val="24"/>
          <w:highlight w:val="none"/>
          <w:lang w:val="ru-RU"/>
        </w:rPr>
        <w:fldChar w:fldCharType="separate"/>
      </w:r>
      <w:r>
        <w:rPr>
          <w:rStyle w:val="9"/>
          <w:rFonts w:hint="default" w:cs="Times New Roman"/>
          <w:sz w:val="24"/>
          <w:szCs w:val="24"/>
          <w:highlight w:val="none"/>
          <w:lang w:val="ru-RU"/>
        </w:rPr>
        <w:t>omim@centerjkh.ru</w:t>
      </w:r>
      <w:r>
        <w:rPr>
          <w:rFonts w:hint="default" w:cs="Times New Roman"/>
          <w:sz w:val="24"/>
          <w:szCs w:val="24"/>
          <w:highlight w:val="none"/>
          <w:lang w:val="ru-RU"/>
        </w:rPr>
        <w:fldChar w:fldCharType="end"/>
      </w:r>
      <w:r>
        <w:rPr>
          <w:rFonts w:hint="default" w:cs="Times New Roman"/>
          <w:sz w:val="24"/>
          <w:szCs w:val="24"/>
          <w:highlight w:val="none"/>
          <w:lang w:val="ru-RU"/>
        </w:rPr>
        <w:t xml:space="preserve"> </w:t>
      </w:r>
    </w:p>
    <w:p>
      <w:pPr>
        <w:spacing w:line="276" w:lineRule="auto"/>
        <w:ind w:firstLine="567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43"/>
        <w:numPr>
          <w:ilvl w:val="1"/>
          <w:numId w:val="1"/>
        </w:numPr>
        <w:spacing w:line="276" w:lineRule="auto"/>
        <w:ind w:left="0" w:firstLine="567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Степень регулирующего воздействия проекта нормативного правового акта:</w:t>
      </w:r>
    </w:p>
    <w:p>
      <w:pPr>
        <w:spacing w:line="276" w:lineRule="auto"/>
        <w:ind w:firstLine="56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cs="Times New Roman"/>
          <w:sz w:val="24"/>
          <w:szCs w:val="24"/>
          <w:lang w:val="ru-RU"/>
        </w:rPr>
        <w:t>Низкая</w:t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spacing w:line="276" w:lineRule="auto"/>
        <w:ind w:firstLine="567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43"/>
        <w:numPr>
          <w:ilvl w:val="1"/>
          <w:numId w:val="1"/>
        </w:numPr>
        <w:spacing w:line="276" w:lineRule="auto"/>
        <w:ind w:left="0" w:firstLine="567"/>
        <w:rPr>
          <w:rFonts w:hint="default" w:ascii="Times New Roman" w:hAnsi="Times New Roman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Обоснование отнесения проекта нормативного правового акта к определенной степени регулирующего воздействия:</w:t>
      </w:r>
    </w:p>
    <w:p>
      <w:pPr>
        <w:spacing w:line="276" w:lineRule="auto"/>
        <w:ind w:firstLine="567"/>
        <w:jc w:val="both"/>
        <w:rPr>
          <w:rFonts w:hint="default" w:cs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cs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П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роект </w:t>
      </w:r>
      <w:r>
        <w:rPr>
          <w:rFonts w:hint="default" w:cs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 xml:space="preserve">постановления Правительства РС(Я)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не содержит положений, предусмотренных абзацами вторым, третьим пункта</w:t>
      </w:r>
      <w:r>
        <w:rPr>
          <w:rFonts w:hint="default" w:cs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 xml:space="preserve"> 1.12 Указ Главы Республики Саха (Якутия) от 19.07.2023 № 2911«Об утверждении Положения об оценке регулирующего воздействия проектов нормативных правовых актов Республики Саха (Якутия), мониторинге фактического воздействия нормативных правовых актов Республики Саха (Якутия) и экспертизе нормативных правовых актов Республики Саха (Якутия)» и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направлен</w:t>
      </w:r>
      <w:r>
        <w:rPr>
          <w:rFonts w:hint="default" w:cs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о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на повышение устойчивости экономики Республики Саха (Якутия) в условиях санкций</w:t>
      </w:r>
      <w:r>
        <w:rPr>
          <w:rFonts w:hint="default" w:cs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 xml:space="preserve"> и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обеспечени</w:t>
      </w:r>
      <w:r>
        <w:rPr>
          <w:rFonts w:hint="default" w:cs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я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санитарно-эпидемиологического благополучия населения</w:t>
      </w:r>
      <w:r>
        <w:rPr>
          <w:rFonts w:hint="default" w:cs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spacing w:line="276" w:lineRule="auto"/>
        <w:ind w:firstLine="567"/>
        <w:jc w:val="both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Таким образом, проект нормативного правового акта относиться к </w:t>
      </w:r>
      <w:r>
        <w:rPr>
          <w:rFonts w:hint="default" w:cs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низкой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степени регулирующего воздействия.</w:t>
      </w:r>
    </w:p>
    <w:p>
      <w:pPr>
        <w:spacing w:line="276" w:lineRule="auto"/>
        <w:ind w:firstLine="567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43"/>
        <w:numPr>
          <w:ilvl w:val="0"/>
          <w:numId w:val="1"/>
        </w:numPr>
        <w:spacing w:line="276" w:lineRule="auto"/>
        <w:ind w:left="0" w:firstLine="567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ОПИСАНИЕ ПРОБЛЕМЫ, НА РЕШЕНИЕ КОТОРОЙ НАПРАВЛЕНО ПРЕДЛАГАЕМОЕ ПРАВОВОЕ РЕГУЛИРОВАНИЕ</w:t>
      </w:r>
    </w:p>
    <w:p>
      <w:pPr>
        <w:spacing w:line="276" w:lineRule="auto"/>
        <w:ind w:firstLine="567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43"/>
        <w:numPr>
          <w:ilvl w:val="1"/>
          <w:numId w:val="1"/>
        </w:numPr>
        <w:spacing w:line="276" w:lineRule="auto"/>
        <w:ind w:left="0" w:firstLine="567"/>
        <w:rPr>
          <w:rFonts w:hint="default" w:cs="Times New Roman"/>
          <w:b w:val="0"/>
          <w:bCs w:val="0"/>
          <w:color w:val="auto"/>
          <w:sz w:val="24"/>
          <w:szCs w:val="24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Формулировка проблемы:</w:t>
      </w:r>
    </w:p>
    <w:p>
      <w:pPr>
        <w:pStyle w:val="43"/>
        <w:numPr>
          <w:ilvl w:val="0"/>
          <w:numId w:val="0"/>
        </w:numPr>
        <w:spacing w:line="276" w:lineRule="auto"/>
        <w:ind w:firstLine="708" w:firstLineChars="0"/>
        <w:rPr>
          <w:rFonts w:hint="default" w:cs="Times New Roman"/>
          <w:b w:val="0"/>
          <w:bCs w:val="0"/>
          <w:color w:val="auto"/>
          <w:sz w:val="24"/>
          <w:szCs w:val="24"/>
          <w:highlight w:val="none"/>
          <w:u w:val="none"/>
          <w:lang w:val="ru-RU"/>
        </w:rPr>
      </w:pPr>
      <w:r>
        <w:rPr>
          <w:rFonts w:hint="default" w:cs="Times New Roman"/>
          <w:b w:val="0"/>
          <w:bCs w:val="0"/>
          <w:color w:val="auto"/>
          <w:sz w:val="24"/>
          <w:szCs w:val="24"/>
          <w:highlight w:val="none"/>
          <w:u w:val="none"/>
          <w:lang w:val="ru-RU"/>
        </w:rPr>
        <w:t>В соответствии с пунктом 8 постановления Правительства Российской Федерации от 25.10.2023 №1782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субсидий».</w:t>
      </w:r>
    </w:p>
    <w:p>
      <w:pPr>
        <w:pStyle w:val="43"/>
        <w:numPr>
          <w:ilvl w:val="0"/>
          <w:numId w:val="0"/>
        </w:numPr>
        <w:spacing w:line="276" w:lineRule="auto"/>
        <w:ind w:firstLine="708" w:firstLineChars="0"/>
        <w:rPr>
          <w:rFonts w:hint="default" w:cs="Times New Roman"/>
          <w:sz w:val="24"/>
          <w:szCs w:val="24"/>
          <w:lang w:val="ru-RU"/>
        </w:rPr>
      </w:pPr>
      <w:r>
        <w:rPr>
          <w:rFonts w:hint="default" w:cs="Times New Roman"/>
          <w:b w:val="0"/>
          <w:bCs w:val="0"/>
          <w:color w:val="auto"/>
          <w:sz w:val="24"/>
          <w:szCs w:val="24"/>
          <w:highlight w:val="none"/>
          <w:u w:val="none"/>
          <w:lang w:val="ru-RU"/>
        </w:rPr>
        <w:t xml:space="preserve">В настоящим момент 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поряд</w:t>
      </w:r>
      <w:r>
        <w:rPr>
          <w:rFonts w:hint="default" w:cs="Times New Roman"/>
          <w:sz w:val="24"/>
          <w:szCs w:val="24"/>
          <w:lang w:val="ru-RU"/>
        </w:rPr>
        <w:t>ок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 xml:space="preserve"> предоставления субсидии на предоставления субсидии на финансовое обеспечение (возмещение) приобретения специализированной техники для обеспечения деятельности по обращению с твердыми коммунальными отходами</w:t>
      </w:r>
      <w:r>
        <w:rPr>
          <w:rFonts w:hint="default" w:cs="Times New Roman"/>
          <w:sz w:val="24"/>
          <w:szCs w:val="24"/>
          <w:lang w:val="ru-RU"/>
        </w:rPr>
        <w:t>, утверждена п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риказ</w:t>
      </w:r>
      <w:r>
        <w:rPr>
          <w:rFonts w:hint="default" w:cs="Times New Roman"/>
          <w:sz w:val="24"/>
          <w:szCs w:val="24"/>
          <w:lang w:val="ru-RU"/>
        </w:rPr>
        <w:t>ом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 xml:space="preserve"> Министерства жилищно-коммунального хозяйства и энергетики Республики Саха (Якутия) от 2</w:t>
      </w:r>
      <w:r>
        <w:rPr>
          <w:rFonts w:hint="default" w:cs="Times New Roman"/>
          <w:sz w:val="24"/>
          <w:szCs w:val="24"/>
          <w:lang w:val="ru-RU"/>
        </w:rPr>
        <w:t>0.04.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202</w:t>
      </w:r>
      <w:r>
        <w:rPr>
          <w:rFonts w:hint="default" w:cs="Times New Roman"/>
          <w:sz w:val="24"/>
          <w:szCs w:val="24"/>
          <w:lang w:val="ru-RU"/>
        </w:rPr>
        <w:t>2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 xml:space="preserve"> </w:t>
      </w:r>
      <w:r>
        <w:rPr>
          <w:rFonts w:hint="default" w:cs="Times New Roman"/>
          <w:sz w:val="24"/>
          <w:szCs w:val="24"/>
          <w:lang w:val="ru-RU"/>
        </w:rPr>
        <w:t>№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 xml:space="preserve"> </w:t>
      </w:r>
      <w:r>
        <w:rPr>
          <w:rFonts w:hint="default" w:cs="Times New Roman"/>
          <w:sz w:val="24"/>
          <w:szCs w:val="24"/>
          <w:lang w:val="ru-RU"/>
        </w:rPr>
        <w:t>2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1</w:t>
      </w:r>
      <w:r>
        <w:rPr>
          <w:rFonts w:hint="default" w:cs="Times New Roman"/>
          <w:sz w:val="24"/>
          <w:szCs w:val="24"/>
          <w:lang w:val="ru-RU"/>
        </w:rPr>
        <w:t>2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-ОД</w:t>
      </w:r>
      <w:r>
        <w:rPr>
          <w:rFonts w:hint="default" w:cs="Times New Roman"/>
          <w:sz w:val="24"/>
          <w:szCs w:val="24"/>
          <w:lang w:val="ru-RU"/>
        </w:rPr>
        <w:t xml:space="preserve">. </w:t>
      </w:r>
    </w:p>
    <w:p>
      <w:pPr>
        <w:pStyle w:val="43"/>
        <w:numPr>
          <w:ilvl w:val="1"/>
          <w:numId w:val="1"/>
        </w:numPr>
        <w:spacing w:line="276" w:lineRule="auto"/>
        <w:ind w:left="0" w:firstLine="567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>
      <w:pPr>
        <w:ind w:firstLine="567"/>
        <w:jc w:val="both"/>
        <w:rPr>
          <w:rFonts w:hint="default" w:ascii="Times New Roman" w:hAnsi="Times New Roman" w:cs="Times New Roman"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Cs/>
          <w:sz w:val="24"/>
          <w:szCs w:val="24"/>
          <w:lang w:val="ru-RU"/>
        </w:rPr>
        <w:t>Отсутствует.</w:t>
      </w:r>
    </w:p>
    <w:p>
      <w:pPr>
        <w:pStyle w:val="43"/>
        <w:numPr>
          <w:ilvl w:val="1"/>
          <w:numId w:val="1"/>
        </w:numPr>
        <w:spacing w:line="276" w:lineRule="auto"/>
        <w:ind w:left="0" w:firstLine="567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Социальные группы, заинтересованные в устранении проблемы, их количественная оценка:</w:t>
      </w:r>
    </w:p>
    <w:p>
      <w:pPr>
        <w:spacing w:line="276" w:lineRule="auto"/>
        <w:ind w:firstLine="567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 Юридические лица, которые имеют статус регионального оператора по обращению с твердыми коммунальными отходами присвоенного в порядке, установленном Правительством Российской Федерации, заключившие соглашение с Министерством в порядке, установленном постановлением Правительства Республики Саха (Якутия) от 04 мая 2017 года № 159 «Об организации деятельности по обращению с твердыми коммунальными отходами на территории Республики Саха (Якутия)»;</w:t>
      </w:r>
    </w:p>
    <w:p>
      <w:pPr>
        <w:spacing w:line="276" w:lineRule="auto"/>
        <w:ind w:firstLine="567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На </w:t>
      </w:r>
      <w:r>
        <w:rPr>
          <w:rFonts w:hint="default" w:cs="Times New Roman"/>
          <w:sz w:val="24"/>
          <w:szCs w:val="24"/>
          <w:lang w:val="ru-RU"/>
        </w:rPr>
        <w:t>01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.0</w:t>
      </w:r>
      <w:r>
        <w:rPr>
          <w:rFonts w:hint="default" w:cs="Times New Roman"/>
          <w:sz w:val="24"/>
          <w:szCs w:val="24"/>
          <w:lang w:val="ru-RU"/>
        </w:rPr>
        <w:t>6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.2024 в Республике Саха (Якутия) 12 региональных операторов.</w:t>
      </w:r>
    </w:p>
    <w:p>
      <w:pPr>
        <w:pStyle w:val="43"/>
        <w:numPr>
          <w:ilvl w:val="1"/>
          <w:numId w:val="1"/>
        </w:numPr>
        <w:spacing w:line="276" w:lineRule="auto"/>
        <w:ind w:left="0" w:firstLine="567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Характеристика негативных эффектов, возникающих в связи с наличием проблемы, их количественная оценка:</w:t>
      </w:r>
    </w:p>
    <w:p>
      <w:pPr>
        <w:pStyle w:val="43"/>
        <w:numPr>
          <w:ilvl w:val="0"/>
          <w:numId w:val="0"/>
        </w:numPr>
        <w:spacing w:line="276" w:lineRule="auto"/>
        <w:ind w:left="0" w:leftChars="0" w:firstLine="480" w:firstLineChars="200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Невозможность </w:t>
      </w:r>
      <w:r>
        <w:rPr>
          <w:rFonts w:hint="default" w:cs="Times New Roman"/>
          <w:b w:val="0"/>
          <w:bCs w:val="0"/>
          <w:sz w:val="24"/>
          <w:szCs w:val="24"/>
          <w:lang w:val="ru-RU"/>
        </w:rPr>
        <w:t>п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редоставления субсидии </w:t>
      </w:r>
      <w:r>
        <w:rPr>
          <w:rFonts w:hint="default" w:cs="Times New Roman"/>
          <w:b w:val="0"/>
          <w:bCs w:val="0"/>
          <w:sz w:val="24"/>
          <w:szCs w:val="24"/>
          <w:lang w:val="ru-RU"/>
        </w:rPr>
        <w:t xml:space="preserve">на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финансовое обеспечение затрат региональным операторам по обращению с твердыми коммунальными отходами на территории Республики Саха (Якутия) на приобретение специализированной техники для обеспечения деятельности по обращению с твердыми коммунальными.</w:t>
      </w:r>
    </w:p>
    <w:p>
      <w:pPr>
        <w:pStyle w:val="43"/>
        <w:numPr>
          <w:ilvl w:val="1"/>
          <w:numId w:val="1"/>
        </w:numPr>
        <w:spacing w:line="276" w:lineRule="auto"/>
        <w:ind w:left="0" w:firstLine="56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Причины возникновения проблемы и факторы, поддерживающие ее существование:</w:t>
      </w:r>
    </w:p>
    <w:p>
      <w:pPr>
        <w:spacing w:line="276" w:lineRule="auto"/>
        <w:ind w:firstLine="567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cs="Times New Roman"/>
          <w:sz w:val="24"/>
          <w:szCs w:val="24"/>
          <w:lang w:val="ru-RU"/>
        </w:rPr>
        <w:t>П</w:t>
      </w:r>
      <w:bookmarkStart w:id="3" w:name="_GoBack"/>
      <w:bookmarkEnd w:id="3"/>
      <w:r>
        <w:rPr>
          <w:rFonts w:hint="default" w:cs="Times New Roman"/>
          <w:sz w:val="24"/>
          <w:szCs w:val="24"/>
          <w:lang w:val="ru-RU"/>
        </w:rPr>
        <w:t>орядок предоставления субсидии на предоставления субсидии на финансовое обеспечение (возмещение) приобретения специализированной техники для обеспечения деятельности по обращению с твердыми коммунальными отходами, утвержденная приказом Министерства жилищно-коммунального хозяйства и энергетики Республики Саха (Якутия) от 20.04.2022 № 212-ОД не соответствует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постановлени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ю</w:t>
      </w:r>
      <w:r>
        <w:rPr>
          <w:rFonts w:hint="default" w:ascii="Times New Roman" w:hAnsi="Times New Roman" w:cs="Times New Roman"/>
          <w:sz w:val="24"/>
          <w:szCs w:val="24"/>
        </w:rPr>
        <w:t xml:space="preserve"> Правительства Российской Федерации от 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</w:t>
      </w:r>
    </w:p>
    <w:p>
      <w:pPr>
        <w:spacing w:line="276" w:lineRule="auto"/>
        <w:ind w:firstLine="567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pStyle w:val="43"/>
        <w:numPr>
          <w:ilvl w:val="1"/>
          <w:numId w:val="1"/>
        </w:numPr>
        <w:spacing w:line="276" w:lineRule="auto"/>
        <w:ind w:left="0" w:firstLine="567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Опыт решения аналогичных проблем в других субъектах Российской Федерации, иностранных государствах:</w:t>
      </w:r>
    </w:p>
    <w:p>
      <w:pPr>
        <w:spacing w:line="276" w:lineRule="auto"/>
        <w:ind w:firstLine="56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Отсутствует.</w:t>
      </w:r>
    </w:p>
    <w:p>
      <w:pPr>
        <w:spacing w:line="276" w:lineRule="auto"/>
        <w:ind w:firstLine="567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43"/>
        <w:numPr>
          <w:ilvl w:val="1"/>
          <w:numId w:val="1"/>
        </w:numPr>
        <w:spacing w:line="276" w:lineRule="auto"/>
        <w:ind w:left="0" w:firstLine="567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Источники данных:</w:t>
      </w:r>
    </w:p>
    <w:p>
      <w:pPr>
        <w:spacing w:line="276" w:lineRule="auto"/>
        <w:ind w:firstLine="56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Отсутствует.</w:t>
      </w:r>
    </w:p>
    <w:p>
      <w:pPr>
        <w:spacing w:line="276" w:lineRule="auto"/>
        <w:ind w:firstLine="567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43"/>
        <w:numPr>
          <w:ilvl w:val="1"/>
          <w:numId w:val="1"/>
        </w:numPr>
        <w:spacing w:line="276" w:lineRule="auto"/>
        <w:ind w:left="0" w:firstLine="567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Иная информация о проблеме:</w:t>
      </w:r>
    </w:p>
    <w:p>
      <w:pPr>
        <w:spacing w:line="276" w:lineRule="auto"/>
        <w:ind w:firstLine="56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Отсутствует.</w:t>
      </w:r>
    </w:p>
    <w:p>
      <w:pPr>
        <w:spacing w:line="276" w:lineRule="auto"/>
        <w:ind w:firstLine="567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43"/>
        <w:numPr>
          <w:ilvl w:val="0"/>
          <w:numId w:val="1"/>
        </w:numPr>
        <w:spacing w:line="276" w:lineRule="auto"/>
        <w:ind w:left="0" w:firstLine="567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ОПРЕДЕЛЕНИЕ ЦЕЛЕЙ ПРЕДЛАГАЕМОГО ПРАВОВОГО РЕГУЛИРОВАНИЯ И ИНДИКАТОРОВ ДЛЯ ОЦЕНКИ ИХ ДОСТИЖЕНИЯ</w:t>
      </w:r>
    </w:p>
    <w:p>
      <w:pPr>
        <w:spacing w:line="276" w:lineRule="auto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41"/>
        <w:tblW w:w="9498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69"/>
        <w:gridCol w:w="2817"/>
        <w:gridCol w:w="24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9" w:hRule="atLeast"/>
        </w:trPr>
        <w:tc>
          <w:tcPr>
            <w:tcW w:w="4269" w:type="dxa"/>
          </w:tcPr>
          <w:p>
            <w:pPr>
              <w:pStyle w:val="43"/>
              <w:numPr>
                <w:ilvl w:val="1"/>
                <w:numId w:val="1"/>
              </w:numPr>
              <w:ind w:left="296"/>
              <w:jc w:val="center"/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/>
              </w:rPr>
              <w:t>Цели предлагаемого правового регулирования</w:t>
            </w:r>
          </w:p>
        </w:tc>
        <w:tc>
          <w:tcPr>
            <w:tcW w:w="2817" w:type="dxa"/>
          </w:tcPr>
          <w:p>
            <w:pPr>
              <w:pStyle w:val="43"/>
              <w:numPr>
                <w:ilvl w:val="1"/>
                <w:numId w:val="1"/>
              </w:numPr>
              <w:ind w:left="147"/>
              <w:jc w:val="center"/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/>
              </w:rPr>
              <w:t>Сроки достижения целей предлагаемого</w:t>
            </w:r>
          </w:p>
          <w:p>
            <w:pPr>
              <w:widowControl w:val="0"/>
              <w:autoSpaceDE w:val="0"/>
              <w:autoSpaceDN w:val="0"/>
              <w:ind w:left="147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 w:eastAsia="en-US"/>
              </w:rPr>
              <w:t>правового регулирования</w:t>
            </w:r>
          </w:p>
        </w:tc>
        <w:tc>
          <w:tcPr>
            <w:tcW w:w="2412" w:type="dxa"/>
          </w:tcPr>
          <w:p>
            <w:pPr>
              <w:pStyle w:val="43"/>
              <w:numPr>
                <w:ilvl w:val="1"/>
                <w:numId w:val="1"/>
              </w:numPr>
              <w:ind w:left="162"/>
              <w:jc w:val="center"/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/>
              </w:rPr>
              <w:t>Периодичность мониторинга</w:t>
            </w:r>
          </w:p>
          <w:p>
            <w:pPr>
              <w:widowControl w:val="0"/>
              <w:autoSpaceDE w:val="0"/>
              <w:autoSpaceDN w:val="0"/>
              <w:ind w:left="162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 w:eastAsia="en-US"/>
              </w:rPr>
              <w:t>достижения целей предлагаемого правового регулирования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7" w:hRule="atLeast"/>
        </w:trPr>
        <w:tc>
          <w:tcPr>
            <w:tcW w:w="4269" w:type="dxa"/>
          </w:tcPr>
          <w:p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  <w:t>Обеспечение своевременного и обоснованного предоставления субсидий.</w:t>
            </w:r>
          </w:p>
        </w:tc>
        <w:tc>
          <w:tcPr>
            <w:tcW w:w="2817" w:type="dxa"/>
            <w:shd w:val="clear" w:color="auto" w:fill="FFFFFF" w:themeFill="background1"/>
          </w:tcPr>
          <w:p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  <w:t>Со дня вступления нормативного правового акта в законную силу</w:t>
            </w:r>
          </w:p>
        </w:tc>
        <w:tc>
          <w:tcPr>
            <w:tcW w:w="2412" w:type="dxa"/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  <w:t>Ежегодно</w:t>
            </w:r>
          </w:p>
        </w:tc>
      </w:tr>
    </w:tbl>
    <w:p>
      <w:pPr>
        <w:spacing w:line="276" w:lineRule="auto"/>
        <w:ind w:firstLine="567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43"/>
        <w:numPr>
          <w:ilvl w:val="1"/>
          <w:numId w:val="1"/>
        </w:numPr>
        <w:spacing w:line="276" w:lineRule="auto"/>
        <w:ind w:left="0" w:firstLine="567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</w:t>
      </w:r>
    </w:p>
    <w:p>
      <w:pPr>
        <w:spacing w:line="276" w:lineRule="auto"/>
        <w:ind w:firstLine="567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Статья 78 Бюджетного кодекса Российской Федерации;</w:t>
      </w:r>
    </w:p>
    <w:p>
      <w:pPr>
        <w:spacing w:line="276" w:lineRule="auto"/>
        <w:ind w:firstLine="567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Постановление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>Правительства Российской Федерации от 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</w:t>
      </w:r>
      <w:r>
        <w:rPr>
          <w:rFonts w:hint="default" w:ascii="Times New Roman" w:hAnsi="Times New Roman" w:cs="Times New Roman"/>
          <w:sz w:val="24"/>
          <w:szCs w:val="24"/>
        </w:rPr>
        <w:t>;</w:t>
      </w:r>
    </w:p>
    <w:p>
      <w:pPr>
        <w:ind w:firstLine="567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ind w:firstLine="567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ind w:firstLine="709"/>
        <w:jc w:val="both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41"/>
        <w:tblW w:w="9781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39"/>
        <w:gridCol w:w="2381"/>
        <w:gridCol w:w="1702"/>
        <w:gridCol w:w="18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3" w:hRule="atLeast"/>
        </w:trPr>
        <w:tc>
          <w:tcPr>
            <w:tcW w:w="3839" w:type="dxa"/>
          </w:tcPr>
          <w:p>
            <w:pPr>
              <w:pStyle w:val="43"/>
              <w:numPr>
                <w:ilvl w:val="1"/>
                <w:numId w:val="1"/>
              </w:numPr>
              <w:ind w:left="142" w:firstLine="0"/>
              <w:jc w:val="center"/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/>
              </w:rPr>
              <w:t>Цели предлагаемого правового регулирования</w:t>
            </w:r>
          </w:p>
        </w:tc>
        <w:tc>
          <w:tcPr>
            <w:tcW w:w="2381" w:type="dxa"/>
          </w:tcPr>
          <w:p>
            <w:pPr>
              <w:pStyle w:val="43"/>
              <w:numPr>
                <w:ilvl w:val="1"/>
                <w:numId w:val="1"/>
              </w:numPr>
              <w:ind w:left="142" w:firstLine="0"/>
              <w:jc w:val="center"/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/>
              </w:rPr>
              <w:t>Индикаторы достижения целей</w:t>
            </w:r>
          </w:p>
          <w:p>
            <w:pPr>
              <w:widowControl w:val="0"/>
              <w:autoSpaceDE w:val="0"/>
              <w:autoSpaceDN w:val="0"/>
              <w:ind w:left="142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 w:eastAsia="en-US"/>
              </w:rPr>
              <w:t>предлагаемого правового регулирования</w:t>
            </w:r>
          </w:p>
        </w:tc>
        <w:tc>
          <w:tcPr>
            <w:tcW w:w="1702" w:type="dxa"/>
          </w:tcPr>
          <w:p>
            <w:pPr>
              <w:pStyle w:val="43"/>
              <w:numPr>
                <w:ilvl w:val="1"/>
                <w:numId w:val="1"/>
              </w:numPr>
              <w:ind w:left="142" w:firstLine="0"/>
              <w:jc w:val="center"/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/>
              </w:rPr>
              <w:t>Единица измерения индикаторов</w:t>
            </w:r>
          </w:p>
        </w:tc>
        <w:tc>
          <w:tcPr>
            <w:tcW w:w="1859" w:type="dxa"/>
          </w:tcPr>
          <w:p>
            <w:pPr>
              <w:pStyle w:val="43"/>
              <w:numPr>
                <w:ilvl w:val="1"/>
                <w:numId w:val="1"/>
              </w:numPr>
              <w:ind w:left="142" w:right="140" w:firstLine="0"/>
              <w:jc w:val="center"/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/>
              </w:rPr>
              <w:t>Целевые начения</w:t>
            </w:r>
          </w:p>
          <w:p>
            <w:pPr>
              <w:widowControl w:val="0"/>
              <w:autoSpaceDE w:val="0"/>
              <w:autoSpaceDN w:val="0"/>
              <w:ind w:left="142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 w:eastAsia="en-US"/>
              </w:rPr>
              <w:t>индикаторов по годам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7" w:hRule="atLeast"/>
        </w:trPr>
        <w:tc>
          <w:tcPr>
            <w:tcW w:w="3839" w:type="dxa"/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  <w:t>Обеспечение своевременного и обоснованного предоставления субсидий</w:t>
            </w:r>
          </w:p>
        </w:tc>
        <w:tc>
          <w:tcPr>
            <w:tcW w:w="2381" w:type="dxa"/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  <w:t>Своевременность предоставления субсидий</w:t>
            </w:r>
          </w:p>
        </w:tc>
        <w:tc>
          <w:tcPr>
            <w:tcW w:w="1702" w:type="dxa"/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  <w:t>Ед.</w:t>
            </w:r>
          </w:p>
        </w:tc>
        <w:tc>
          <w:tcPr>
            <w:tcW w:w="1859" w:type="dxa"/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  <w:t>0</w:t>
            </w:r>
          </w:p>
        </w:tc>
      </w:tr>
    </w:tbl>
    <w:p>
      <w:pPr>
        <w:spacing w:line="276" w:lineRule="auto"/>
        <w:ind w:firstLine="567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43"/>
        <w:numPr>
          <w:ilvl w:val="1"/>
          <w:numId w:val="1"/>
        </w:numPr>
        <w:spacing w:line="276" w:lineRule="auto"/>
        <w:ind w:left="0" w:firstLine="567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Методы расчета индикаторов достижения целей предлагаемого правового регулирования, источники информации для расчетов:</w:t>
      </w:r>
    </w:p>
    <w:p>
      <w:pPr>
        <w:spacing w:line="276" w:lineRule="auto"/>
        <w:ind w:firstLine="567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Отчет об использовании предоставленных субсидий, предоставляемый получателями субсидий во исполнение условий Порядком и соглашением о предоставлении субсидий.</w:t>
      </w:r>
    </w:p>
    <w:p>
      <w:pPr>
        <w:pStyle w:val="43"/>
        <w:numPr>
          <w:ilvl w:val="1"/>
          <w:numId w:val="1"/>
        </w:numPr>
        <w:spacing w:line="276" w:lineRule="auto"/>
        <w:ind w:left="0" w:firstLine="567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Проведение мониторинга и иные способы (методы) оценки достижения целей предлагаемого правового регулирования:</w:t>
      </w:r>
    </w:p>
    <w:p>
      <w:pPr>
        <w:spacing w:line="276" w:lineRule="auto"/>
        <w:ind w:firstLine="56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Отсутствует.</w:t>
      </w:r>
    </w:p>
    <w:p>
      <w:pPr>
        <w:spacing w:line="276" w:lineRule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43"/>
        <w:numPr>
          <w:ilvl w:val="1"/>
          <w:numId w:val="1"/>
        </w:numPr>
        <w:spacing w:line="276" w:lineRule="auto"/>
        <w:ind w:left="0" w:firstLine="56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Оценка затрат на проведение мониторинга достижения целей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предлагаемого правового регулирования:</w:t>
      </w:r>
    </w:p>
    <w:p>
      <w:pPr>
        <w:spacing w:line="276" w:lineRule="auto"/>
        <w:ind w:firstLine="56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Отсутствует.</w:t>
      </w:r>
    </w:p>
    <w:p>
      <w:pPr>
        <w:spacing w:line="276" w:lineRule="auto"/>
        <w:ind w:firstLine="567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pStyle w:val="43"/>
        <w:numPr>
          <w:ilvl w:val="1"/>
          <w:numId w:val="1"/>
        </w:numPr>
        <w:spacing w:line="276" w:lineRule="auto"/>
        <w:ind w:left="0" w:firstLine="567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Источники информации для расчета индикаторов:</w:t>
      </w:r>
    </w:p>
    <w:p>
      <w:pPr>
        <w:tabs>
          <w:tab w:val="left" w:pos="426"/>
        </w:tabs>
        <w:spacing w:line="276" w:lineRule="auto"/>
        <w:ind w:firstLine="567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Отчет об использовании предоставленных субсидий, предоставляемый получателями субсидий во исполнения условий Порядком и соглашением о предоставлении субсидий.</w:t>
      </w:r>
    </w:p>
    <w:p>
      <w:pPr>
        <w:spacing w:line="276" w:lineRule="auto"/>
        <w:ind w:firstLine="567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43"/>
        <w:numPr>
          <w:ilvl w:val="0"/>
          <w:numId w:val="1"/>
        </w:numPr>
        <w:spacing w:line="276" w:lineRule="auto"/>
        <w:ind w:left="0" w:firstLine="567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КАЧЕСТВЕННАЯ ХАРАКТЕРИСТИКА И ОЦЕНКА ЧИСЛЕННОСТИ ПОТЕНЦИАЛЬНЫХ АДРЕСАТОВ ПРЕДЛАГАЕМОГО ПРАВОВОГО РЕГУЛИРОВАНИЯ (ИХ ГРУПП)</w:t>
      </w:r>
    </w:p>
    <w:p>
      <w:pPr>
        <w:spacing w:line="276" w:lineRule="auto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41"/>
        <w:tblW w:w="963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86"/>
        <w:gridCol w:w="2551"/>
        <w:gridCol w:w="2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7" w:hRule="atLeast"/>
        </w:trPr>
        <w:tc>
          <w:tcPr>
            <w:tcW w:w="5086" w:type="dxa"/>
          </w:tcPr>
          <w:p>
            <w:pPr>
              <w:pStyle w:val="43"/>
              <w:numPr>
                <w:ilvl w:val="1"/>
                <w:numId w:val="1"/>
              </w:numPr>
              <w:ind w:left="142" w:firstLine="0"/>
              <w:jc w:val="center"/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/>
              </w:rPr>
              <w:t>Группы потенциальных адресатов предлагаемого правового</w:t>
            </w:r>
          </w:p>
          <w:p>
            <w:pPr>
              <w:widowControl w:val="0"/>
              <w:autoSpaceDE w:val="0"/>
              <w:autoSpaceDN w:val="0"/>
              <w:ind w:left="142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 w:eastAsia="en-US"/>
              </w:rPr>
              <w:t>регулирования (краткое описание их качественных характеристик)</w:t>
            </w:r>
          </w:p>
        </w:tc>
        <w:tc>
          <w:tcPr>
            <w:tcW w:w="2551" w:type="dxa"/>
          </w:tcPr>
          <w:p>
            <w:pPr>
              <w:pStyle w:val="43"/>
              <w:numPr>
                <w:ilvl w:val="1"/>
                <w:numId w:val="1"/>
              </w:numPr>
              <w:ind w:left="142" w:firstLine="0"/>
              <w:jc w:val="center"/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/>
              </w:rPr>
              <w:t>Количество участников группы</w:t>
            </w:r>
          </w:p>
        </w:tc>
        <w:tc>
          <w:tcPr>
            <w:tcW w:w="2002" w:type="dxa"/>
          </w:tcPr>
          <w:p>
            <w:pPr>
              <w:pStyle w:val="43"/>
              <w:numPr>
                <w:ilvl w:val="1"/>
                <w:numId w:val="1"/>
              </w:numPr>
              <w:ind w:left="142" w:firstLine="0"/>
              <w:jc w:val="center"/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/>
              </w:rPr>
              <w:t xml:space="preserve">Источникиданных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5086" w:type="dxa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  <w:t>Юридические лица, которые имеют статус регионального оператора по обращению с твердыми коммунальными отходами присвоенного в порядке, установленном Правительством Российской Федерации, заключившие соглашение с Министерством в порядке, установленном постановлением Правительства Республики Саха (Якутия) от 04 мая 2017 года № 159 «Об организации деятельности по обращению с твердыми коммунальными отходами на территории Республики Саха (Якутия)»</w:t>
            </w:r>
          </w:p>
        </w:tc>
        <w:tc>
          <w:tcPr>
            <w:tcW w:w="2551" w:type="dxa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  <w:t>Более 1</w:t>
            </w: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2002" w:type="dxa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  <w:t>Ведомственная информация уполномоченного органа</w:t>
            </w:r>
          </w:p>
        </w:tc>
      </w:tr>
    </w:tbl>
    <w:p>
      <w:pPr>
        <w:spacing w:line="276" w:lineRule="auto"/>
        <w:ind w:firstLine="567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43"/>
        <w:numPr>
          <w:ilvl w:val="0"/>
          <w:numId w:val="1"/>
        </w:numPr>
        <w:spacing w:line="276" w:lineRule="auto"/>
        <w:ind w:left="0" w:firstLine="567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Изменение функций (полномочий, обязанностей, прав) органов государственной власти Республики Саха (Якутия) (органов местного самоуправления), а также порядка их реализации в связи с введением предлагаемого правового регулирования</w:t>
      </w:r>
    </w:p>
    <w:p>
      <w:pPr>
        <w:spacing w:line="276" w:lineRule="auto"/>
        <w:ind w:firstLine="56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Не требуется.</w:t>
      </w:r>
    </w:p>
    <w:p>
      <w:pPr>
        <w:spacing w:line="276" w:lineRule="auto"/>
        <w:rPr>
          <w:rFonts w:hint="default" w:ascii="Times New Roman" w:hAnsi="Times New Roman" w:cs="Times New Roman"/>
          <w:sz w:val="24"/>
          <w:szCs w:val="24"/>
          <w:highlight w:val="yellow"/>
        </w:rPr>
      </w:pPr>
    </w:p>
    <w:tbl>
      <w:tblPr>
        <w:tblStyle w:val="41"/>
        <w:tblW w:w="9639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29"/>
        <w:gridCol w:w="1701"/>
        <w:gridCol w:w="1701"/>
        <w:gridCol w:w="1757"/>
        <w:gridCol w:w="11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329" w:type="dxa"/>
            <w:tcBorders>
              <w:bottom w:val="nil"/>
            </w:tcBorders>
          </w:tcPr>
          <w:p>
            <w:pPr>
              <w:pStyle w:val="43"/>
              <w:numPr>
                <w:ilvl w:val="1"/>
                <w:numId w:val="1"/>
              </w:numPr>
              <w:spacing w:line="276" w:lineRule="auto"/>
              <w:ind w:left="154"/>
              <w:jc w:val="center"/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/>
              </w:rPr>
              <w:t>Наименование функции (полномочия обязанности или права)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43"/>
              <w:numPr>
                <w:ilvl w:val="1"/>
                <w:numId w:val="1"/>
              </w:numPr>
              <w:spacing w:line="276" w:lineRule="auto"/>
              <w:ind w:left="214"/>
              <w:jc w:val="center"/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/>
              </w:rPr>
              <w:t>Характер функции (новая/ изменяемая /отменяемая)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43"/>
              <w:numPr>
                <w:ilvl w:val="1"/>
                <w:numId w:val="1"/>
              </w:numPr>
              <w:spacing w:line="276" w:lineRule="auto"/>
              <w:ind w:left="504" w:right="199" w:hanging="504"/>
              <w:jc w:val="center"/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/>
              </w:rPr>
            </w:pPr>
          </w:p>
          <w:p>
            <w:pPr>
              <w:widowControl w:val="0"/>
              <w:autoSpaceDE w:val="0"/>
              <w:autoSpaceDN w:val="0"/>
              <w:spacing w:line="276" w:lineRule="auto"/>
              <w:ind w:right="199"/>
              <w:jc w:val="center"/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 w:eastAsia="en-US"/>
              </w:rPr>
              <w:t>Предпологае</w:t>
            </w:r>
          </w:p>
          <w:p>
            <w:pPr>
              <w:widowControl w:val="0"/>
              <w:autoSpaceDE w:val="0"/>
              <w:autoSpaceDN w:val="0"/>
              <w:spacing w:line="276" w:lineRule="auto"/>
              <w:ind w:right="199"/>
              <w:jc w:val="center"/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 w:eastAsia="en-US"/>
              </w:rPr>
              <w:t>ый порядок реализации</w:t>
            </w: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43"/>
              <w:numPr>
                <w:ilvl w:val="1"/>
                <w:numId w:val="1"/>
              </w:numPr>
              <w:spacing w:line="276" w:lineRule="auto"/>
              <w:ind w:left="70"/>
              <w:jc w:val="center"/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/>
              </w:rPr>
              <w:t>Оценка изменения трудовых затрат (чел./час. в год), изменения трудовых затрат (чел./час в год), изменения численности сотрудников (чел.)</w:t>
            </w:r>
          </w:p>
        </w:tc>
        <w:tc>
          <w:tcPr>
            <w:tcW w:w="1151" w:type="dxa"/>
            <w:tcBorders>
              <w:bottom w:val="nil"/>
            </w:tcBorders>
          </w:tcPr>
          <w:p>
            <w:pPr>
              <w:pStyle w:val="43"/>
              <w:numPr>
                <w:ilvl w:val="1"/>
                <w:numId w:val="1"/>
              </w:numPr>
              <w:spacing w:line="276" w:lineRule="auto"/>
              <w:ind w:left="15" w:right="133" w:firstLine="0"/>
              <w:jc w:val="center"/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/>
              </w:rPr>
              <w:t>Оценка изменен я потребностей в других ресурсах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3329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15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3329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15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3329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15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3329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15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3329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15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3329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15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3329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15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3329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151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3329" w:type="dxa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757" w:type="dxa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151" w:type="dxa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9639" w:type="dxa"/>
            <w:gridSpan w:val="5"/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  <w:t>Наименование органа государственной власти:</w:t>
            </w:r>
          </w:p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  <w:t>Министерство жилищно-коммунального хозяйства и энергетики Республики Саха (Якутия):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3329" w:type="dxa"/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  <w:t>Функция (полномочие обязанность или право) 1.1.,</w:t>
            </w:r>
          </w:p>
        </w:tc>
        <w:tc>
          <w:tcPr>
            <w:tcW w:w="1701" w:type="dxa"/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757" w:type="dxa"/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151" w:type="dxa"/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</w:p>
        </w:tc>
      </w:tr>
    </w:tbl>
    <w:p>
      <w:pPr>
        <w:pStyle w:val="43"/>
        <w:numPr>
          <w:ilvl w:val="0"/>
          <w:numId w:val="1"/>
        </w:numPr>
        <w:spacing w:line="276" w:lineRule="auto"/>
        <w:ind w:left="0" w:firstLine="567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Оценка дополнительных расходов (доходов) государственного бюджета Республики Саха (Якутия) (местных бюджетов), связанных с введением предлагаемого правового регулирования</w:t>
      </w:r>
    </w:p>
    <w:p>
      <w:pPr>
        <w:spacing w:line="276" w:lineRule="auto"/>
        <w:ind w:firstLine="567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Дополнительных финансовых затрат из республиканского бюджета, связанных с введением предлагаемого правового регулирования, а также связанных с выполнением полномочий по предоставлению субсидий, не потребуется.</w:t>
      </w:r>
    </w:p>
    <w:p>
      <w:pPr>
        <w:spacing w:line="276" w:lineRule="auto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41"/>
        <w:tblW w:w="9639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61"/>
        <w:gridCol w:w="4394"/>
        <w:gridCol w:w="19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9" w:hRule="atLeast"/>
        </w:trPr>
        <w:tc>
          <w:tcPr>
            <w:tcW w:w="3261" w:type="dxa"/>
          </w:tcPr>
          <w:p>
            <w:pPr>
              <w:pStyle w:val="43"/>
              <w:numPr>
                <w:ilvl w:val="1"/>
                <w:numId w:val="1"/>
              </w:numPr>
              <w:spacing w:line="276" w:lineRule="auto"/>
              <w:ind w:left="579" w:right="398" w:hanging="425"/>
              <w:jc w:val="center"/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/>
              </w:rPr>
              <w:t>Наименование функции (полномочия, обязанности или права)</w:t>
            </w:r>
          </w:p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 w:eastAsia="en-US"/>
              </w:rPr>
              <w:t>(в соответствии с подпунктом 5.1)</w:t>
            </w:r>
          </w:p>
        </w:tc>
        <w:tc>
          <w:tcPr>
            <w:tcW w:w="4394" w:type="dxa"/>
          </w:tcPr>
          <w:p>
            <w:pPr>
              <w:pStyle w:val="43"/>
              <w:numPr>
                <w:ilvl w:val="1"/>
                <w:numId w:val="1"/>
              </w:numPr>
              <w:spacing w:line="276" w:lineRule="auto"/>
              <w:ind w:left="297" w:hanging="792"/>
              <w:jc w:val="center"/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/>
              </w:rPr>
              <w:t>Виды расходов (возможных поступлений) государственного бюджета</w:t>
            </w:r>
          </w:p>
          <w:p>
            <w:pPr>
              <w:widowControl w:val="0"/>
              <w:autoSpaceDE w:val="0"/>
              <w:autoSpaceDN w:val="0"/>
              <w:spacing w:line="276" w:lineRule="auto"/>
              <w:ind w:left="297" w:hanging="792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 w:eastAsia="en-US"/>
              </w:rPr>
              <w:t>Республики Саха (Якутия) (местных бюджетов)</w:t>
            </w:r>
          </w:p>
        </w:tc>
        <w:tc>
          <w:tcPr>
            <w:tcW w:w="1984" w:type="dxa"/>
          </w:tcPr>
          <w:p>
            <w:pPr>
              <w:pStyle w:val="43"/>
              <w:numPr>
                <w:ilvl w:val="1"/>
                <w:numId w:val="1"/>
              </w:numPr>
              <w:spacing w:line="276" w:lineRule="auto"/>
              <w:ind w:left="0" w:hanging="608"/>
              <w:jc w:val="center"/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/>
              </w:rPr>
            </w:pPr>
          </w:p>
          <w:p>
            <w:pPr>
              <w:pStyle w:val="43"/>
              <w:numPr>
                <w:ilvl w:val="1"/>
                <w:numId w:val="1"/>
              </w:numPr>
              <w:spacing w:line="276" w:lineRule="auto"/>
              <w:ind w:left="0" w:hanging="608"/>
              <w:jc w:val="center"/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/>
              </w:rPr>
              <w:t>Количественная оценка расходов и возможных поступлений, млн рублей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1" w:hRule="atLeast"/>
        </w:trPr>
        <w:tc>
          <w:tcPr>
            <w:tcW w:w="9639" w:type="dxa"/>
            <w:gridSpan w:val="3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  <w:t>Наименование органа государственной власти (органа местного самоуправления) (от 1 до K):</w:t>
            </w:r>
          </w:p>
          <w:p>
            <w:pPr>
              <w:widowControl w:val="0"/>
              <w:autoSpaceDE w:val="0"/>
              <w:autoSpaceDN w:val="0"/>
              <w:spacing w:line="276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  <w:t>Министерство жилищно-коммунального хозяйства и энергетики Республики Саха (Якутия)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3261" w:type="dxa"/>
            <w:vMerge w:val="restart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  <w:t>Функция (полномочие, обязанность</w:t>
            </w:r>
          </w:p>
          <w:p>
            <w:pPr>
              <w:widowControl w:val="0"/>
              <w:autoSpaceDE w:val="0"/>
              <w:autoSpaceDN w:val="0"/>
              <w:spacing w:line="276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  <w:t>или право) 1.1</w:t>
            </w:r>
          </w:p>
        </w:tc>
        <w:tc>
          <w:tcPr>
            <w:tcW w:w="4394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  <w:t>Единовременные расходы (от 1 до N) в</w:t>
            </w:r>
          </w:p>
          <w:p>
            <w:pPr>
              <w:widowControl w:val="0"/>
              <w:autoSpaceDE w:val="0"/>
              <w:autoSpaceDN w:val="0"/>
              <w:spacing w:line="276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  <w:tab/>
            </w: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  <w:t>г.:</w:t>
            </w:r>
          </w:p>
        </w:tc>
        <w:tc>
          <w:tcPr>
            <w:tcW w:w="1984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3261" w:type="dxa"/>
            <w:vMerge w:val="continue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4394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  <w:t>Периодические расходы (от 1 до N) за период</w:t>
            </w: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  <w:tab/>
            </w: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  <w:t>г.г.:</w:t>
            </w:r>
          </w:p>
        </w:tc>
        <w:tc>
          <w:tcPr>
            <w:tcW w:w="1984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3261" w:type="dxa"/>
            <w:vMerge w:val="continue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4394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  <w:t>Возможные доходы (от 1 до N) за период</w:t>
            </w:r>
          </w:p>
          <w:p>
            <w:pPr>
              <w:widowControl w:val="0"/>
              <w:autoSpaceDE w:val="0"/>
              <w:autoSpaceDN w:val="0"/>
              <w:spacing w:line="276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  <w:tab/>
            </w: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  <w:t>г.г.:</w:t>
            </w:r>
          </w:p>
        </w:tc>
        <w:tc>
          <w:tcPr>
            <w:tcW w:w="1984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3261" w:type="dxa"/>
            <w:vMerge w:val="restart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  <w:t>Функция (полномочие, обязанность</w:t>
            </w:r>
          </w:p>
          <w:p>
            <w:pPr>
              <w:widowControl w:val="0"/>
              <w:autoSpaceDE w:val="0"/>
              <w:autoSpaceDN w:val="0"/>
              <w:spacing w:line="276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  <w:t>или право) 1.N</w:t>
            </w:r>
          </w:p>
        </w:tc>
        <w:tc>
          <w:tcPr>
            <w:tcW w:w="4394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  <w:t>Единовременные расходы (от 1 до N) в</w:t>
            </w:r>
          </w:p>
          <w:p>
            <w:pPr>
              <w:widowControl w:val="0"/>
              <w:autoSpaceDE w:val="0"/>
              <w:autoSpaceDN w:val="0"/>
              <w:spacing w:line="276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  <w:tab/>
            </w: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  <w:t>г.:</w:t>
            </w:r>
          </w:p>
        </w:tc>
        <w:tc>
          <w:tcPr>
            <w:tcW w:w="1984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3261" w:type="dxa"/>
            <w:vMerge w:val="continue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4394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  <w:t>Периодические расходы (от 1 до N) за период</w:t>
            </w: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  <w:tab/>
            </w: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  <w:t>г.г.:</w:t>
            </w:r>
          </w:p>
        </w:tc>
        <w:tc>
          <w:tcPr>
            <w:tcW w:w="1984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3261" w:type="dxa"/>
            <w:vMerge w:val="continue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4394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  <w:t>Возможные доходы (от 1 до N) за период</w:t>
            </w:r>
          </w:p>
          <w:p>
            <w:pPr>
              <w:widowControl w:val="0"/>
              <w:autoSpaceDE w:val="0"/>
              <w:autoSpaceDN w:val="0"/>
              <w:spacing w:line="276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  <w:tab/>
            </w: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  <w:t>г.г.:</w:t>
            </w:r>
          </w:p>
        </w:tc>
        <w:tc>
          <w:tcPr>
            <w:tcW w:w="1984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7655" w:type="dxa"/>
            <w:gridSpan w:val="2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  <w:t>Итого единовременные расходы за период</w:t>
            </w: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  <w:tab/>
            </w: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  <w:t>г.г.:</w:t>
            </w:r>
          </w:p>
        </w:tc>
        <w:tc>
          <w:tcPr>
            <w:tcW w:w="1984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7655" w:type="dxa"/>
            <w:gridSpan w:val="2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  <w:t>Итого периодические расходы за период</w:t>
            </w: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  <w:tab/>
            </w: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  <w:t>г.г.:</w:t>
            </w:r>
          </w:p>
        </w:tc>
        <w:tc>
          <w:tcPr>
            <w:tcW w:w="1984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7655" w:type="dxa"/>
            <w:gridSpan w:val="2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  <w:t>Итого возможные доходы за период</w:t>
            </w: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  <w:tab/>
            </w: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  <w:t>г.г.:</w:t>
            </w:r>
          </w:p>
        </w:tc>
        <w:tc>
          <w:tcPr>
            <w:tcW w:w="1984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</w:p>
        </w:tc>
      </w:tr>
    </w:tbl>
    <w:p>
      <w:pPr>
        <w:spacing w:line="276" w:lineRule="auto"/>
        <w:ind w:firstLine="567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43"/>
        <w:numPr>
          <w:ilvl w:val="1"/>
          <w:numId w:val="1"/>
        </w:numPr>
        <w:spacing w:line="276" w:lineRule="auto"/>
        <w:ind w:left="0" w:firstLine="567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Другие сведения о дополнительных расходах (доходах) государственного бюджета Республики Саха (Якутия) (местных бюджетов), возникающих в связи с введением предлагаемого правового регулирования:</w:t>
      </w:r>
    </w:p>
    <w:p>
      <w:pPr>
        <w:spacing w:line="276" w:lineRule="auto"/>
        <w:ind w:firstLine="56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Не потребуется.</w:t>
      </w:r>
    </w:p>
    <w:p>
      <w:pPr>
        <w:spacing w:line="276" w:lineRule="auto"/>
        <w:ind w:firstLine="567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43"/>
        <w:numPr>
          <w:ilvl w:val="1"/>
          <w:numId w:val="1"/>
        </w:numPr>
        <w:spacing w:line="276" w:lineRule="auto"/>
        <w:ind w:left="0" w:firstLine="567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Источники данных:</w:t>
      </w:r>
    </w:p>
    <w:p>
      <w:pPr>
        <w:spacing w:line="276" w:lineRule="auto"/>
        <w:ind w:firstLine="56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Ведомственная информация уполномоченного органа.</w:t>
      </w:r>
    </w:p>
    <w:p>
      <w:pPr>
        <w:spacing w:line="276" w:lineRule="auto"/>
        <w:ind w:firstLine="284"/>
        <w:jc w:val="both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pStyle w:val="43"/>
        <w:numPr>
          <w:ilvl w:val="0"/>
          <w:numId w:val="1"/>
        </w:numPr>
        <w:spacing w:line="276" w:lineRule="auto"/>
        <w:ind w:left="0" w:firstLine="567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tbl>
      <w:tblPr>
        <w:tblStyle w:val="41"/>
        <w:tblpPr w:leftFromText="180" w:rightFromText="180" w:vertAnchor="text" w:horzAnchor="margin" w:tblpXSpec="center" w:tblpY="230"/>
        <w:tblW w:w="1011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64"/>
        <w:gridCol w:w="2552"/>
        <w:gridCol w:w="1701"/>
        <w:gridCol w:w="18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6" w:hRule="atLeast"/>
        </w:trPr>
        <w:tc>
          <w:tcPr>
            <w:tcW w:w="3964" w:type="dxa"/>
          </w:tcPr>
          <w:p>
            <w:pPr>
              <w:pStyle w:val="43"/>
              <w:numPr>
                <w:ilvl w:val="1"/>
                <w:numId w:val="1"/>
              </w:numPr>
              <w:spacing w:line="276" w:lineRule="auto"/>
              <w:ind w:left="0" w:firstLine="0"/>
              <w:jc w:val="center"/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/>
              </w:rPr>
              <w:t>Группы потенциальных</w:t>
            </w:r>
          </w:p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 w:eastAsia="en-US"/>
              </w:rPr>
              <w:t>адресатов предлагаемого правового регулирования (в соответствии с пп. 4.1 сводного отчета)</w:t>
            </w:r>
          </w:p>
        </w:tc>
        <w:tc>
          <w:tcPr>
            <w:tcW w:w="2552" w:type="dxa"/>
          </w:tcPr>
          <w:p>
            <w:pPr>
              <w:pStyle w:val="43"/>
              <w:numPr>
                <w:ilvl w:val="1"/>
                <w:numId w:val="1"/>
              </w:numPr>
              <w:spacing w:line="276" w:lineRule="auto"/>
              <w:ind w:left="3" w:right="300" w:hanging="290"/>
              <w:jc w:val="center"/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/>
              </w:rPr>
              <w:t>Новые обязанности и ограничения, изменения существующих обязанностей и</w:t>
            </w:r>
          </w:p>
          <w:p>
            <w:pPr>
              <w:widowControl w:val="0"/>
              <w:autoSpaceDE w:val="0"/>
              <w:autoSpaceDN w:val="0"/>
              <w:spacing w:line="276" w:lineRule="auto"/>
              <w:ind w:left="3" w:right="300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 w:eastAsia="en-US"/>
              </w:rPr>
              <w:t>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1701" w:type="dxa"/>
          </w:tcPr>
          <w:p>
            <w:pPr>
              <w:pStyle w:val="43"/>
              <w:numPr>
                <w:ilvl w:val="1"/>
                <w:numId w:val="1"/>
              </w:numPr>
              <w:spacing w:line="276" w:lineRule="auto"/>
              <w:ind w:left="-136" w:right="155" w:firstLine="136"/>
              <w:jc w:val="center"/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/>
              </w:rPr>
              <w:t>Описание расходов и возможных доходов,</w:t>
            </w:r>
          </w:p>
          <w:p>
            <w:pPr>
              <w:widowControl w:val="0"/>
              <w:autoSpaceDE w:val="0"/>
              <w:autoSpaceDN w:val="0"/>
              <w:spacing w:line="276" w:lineRule="auto"/>
              <w:ind w:left="126" w:right="155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 w:eastAsia="en-US"/>
              </w:rPr>
              <w:t>связанных с введением предлагаемого правового регулирования</w:t>
            </w:r>
          </w:p>
        </w:tc>
        <w:tc>
          <w:tcPr>
            <w:tcW w:w="1896" w:type="dxa"/>
          </w:tcPr>
          <w:p>
            <w:pPr>
              <w:pStyle w:val="43"/>
              <w:numPr>
                <w:ilvl w:val="1"/>
                <w:numId w:val="1"/>
              </w:numPr>
              <w:spacing w:line="276" w:lineRule="auto"/>
              <w:ind w:left="0" w:right="151" w:firstLine="0"/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/>
              </w:rPr>
              <w:t>Количественная оценка, млн рублей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3" w:hRule="atLeast"/>
        </w:trPr>
        <w:tc>
          <w:tcPr>
            <w:tcW w:w="3964" w:type="dxa"/>
          </w:tcPr>
          <w:p>
            <w:pPr>
              <w:widowControl w:val="0"/>
              <w:autoSpaceDE w:val="0"/>
              <w:autoSpaceDN w:val="0"/>
              <w:ind w:right="131"/>
              <w:jc w:val="both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  <w:t xml:space="preserve">юридические лица, которые имеют статус регионального оператора по обращению с твердыми коммунальными отходами присвоенного в порядке, установленном Правительством Российской Федерации, заключившие соглашение с Министерством в порядке, установленном постановлением Правительства Республики Саха (Якутия) от 04 мая 2017 года № 159 «Об организации деятельности по обращению с твердыми коммунальными отходами на территории Республики Саха (Якутия)»;  </w:t>
            </w:r>
          </w:p>
          <w:p>
            <w:pPr>
              <w:widowControl w:val="0"/>
              <w:autoSpaceDE w:val="0"/>
              <w:autoSpaceDN w:val="0"/>
              <w:spacing w:line="276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2552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701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  <w:t>Расходы не предполагаются</w:t>
            </w:r>
          </w:p>
        </w:tc>
        <w:tc>
          <w:tcPr>
            <w:tcW w:w="1896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  <w:t>-</w:t>
            </w:r>
          </w:p>
        </w:tc>
      </w:tr>
    </w:tbl>
    <w:p>
      <w:pPr>
        <w:spacing w:line="276" w:lineRule="auto"/>
        <w:ind w:firstLine="567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43"/>
        <w:numPr>
          <w:ilvl w:val="1"/>
          <w:numId w:val="1"/>
        </w:numPr>
        <w:spacing w:line="276" w:lineRule="auto"/>
        <w:ind w:left="0" w:firstLine="567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Издержки и выгоды адресатов предлагаемого правового регулирования, не поддающиеся количественной оценке:</w:t>
      </w:r>
    </w:p>
    <w:p>
      <w:pPr>
        <w:spacing w:line="276" w:lineRule="auto"/>
        <w:ind w:firstLine="56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Отсутствует.</w:t>
      </w:r>
    </w:p>
    <w:p>
      <w:pPr>
        <w:pStyle w:val="43"/>
        <w:numPr>
          <w:ilvl w:val="1"/>
          <w:numId w:val="1"/>
        </w:numPr>
        <w:spacing w:line="276" w:lineRule="auto"/>
        <w:ind w:left="0" w:firstLine="567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Источники данных:</w:t>
      </w:r>
    </w:p>
    <w:p>
      <w:pPr>
        <w:spacing w:line="276" w:lineRule="auto"/>
        <w:ind w:firstLine="56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Отсутствует.</w:t>
      </w:r>
    </w:p>
    <w:p>
      <w:pPr>
        <w:pStyle w:val="43"/>
        <w:numPr>
          <w:ilvl w:val="0"/>
          <w:numId w:val="1"/>
        </w:numPr>
        <w:spacing w:line="276" w:lineRule="auto"/>
        <w:ind w:left="0" w:firstLine="567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Оценка рисков неблагоприятных последствий применения предлагаемого правового регулирования</w:t>
      </w:r>
    </w:p>
    <w:p>
      <w:pPr>
        <w:spacing w:line="276" w:lineRule="auto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41"/>
        <w:tblW w:w="9623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22"/>
        <w:gridCol w:w="2381"/>
        <w:gridCol w:w="2410"/>
        <w:gridCol w:w="24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3" w:hRule="atLeast"/>
        </w:trPr>
        <w:tc>
          <w:tcPr>
            <w:tcW w:w="2422" w:type="dxa"/>
          </w:tcPr>
          <w:p>
            <w:pPr>
              <w:pStyle w:val="43"/>
              <w:numPr>
                <w:ilvl w:val="1"/>
                <w:numId w:val="1"/>
              </w:numPr>
              <w:spacing w:line="276" w:lineRule="auto"/>
              <w:ind w:left="154"/>
              <w:jc w:val="center"/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/>
              </w:rPr>
              <w:t>Виды рисков</w:t>
            </w:r>
          </w:p>
        </w:tc>
        <w:tc>
          <w:tcPr>
            <w:tcW w:w="2381" w:type="dxa"/>
          </w:tcPr>
          <w:p>
            <w:pPr>
              <w:pStyle w:val="43"/>
              <w:numPr>
                <w:ilvl w:val="1"/>
                <w:numId w:val="1"/>
              </w:numPr>
              <w:spacing w:line="276" w:lineRule="auto"/>
              <w:ind w:left="134" w:firstLine="142"/>
              <w:jc w:val="center"/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/>
              </w:rPr>
              <w:t>Оценка вероятности наступления</w:t>
            </w:r>
          </w:p>
          <w:p>
            <w:pPr>
              <w:widowControl w:val="0"/>
              <w:autoSpaceDE w:val="0"/>
              <w:autoSpaceDN w:val="0"/>
              <w:spacing w:line="276" w:lineRule="auto"/>
              <w:ind w:left="134" w:firstLine="142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 w:eastAsia="en-US"/>
              </w:rPr>
              <w:t>неблагоприятных последствий</w:t>
            </w:r>
          </w:p>
        </w:tc>
        <w:tc>
          <w:tcPr>
            <w:tcW w:w="2410" w:type="dxa"/>
          </w:tcPr>
          <w:p>
            <w:pPr>
              <w:pStyle w:val="43"/>
              <w:numPr>
                <w:ilvl w:val="1"/>
                <w:numId w:val="1"/>
              </w:numPr>
              <w:spacing w:line="276" w:lineRule="auto"/>
              <w:ind w:left="17" w:firstLine="0"/>
              <w:jc w:val="center"/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/>
              </w:rPr>
              <w:t>Методы контроля рисков</w:t>
            </w:r>
          </w:p>
        </w:tc>
        <w:tc>
          <w:tcPr>
            <w:tcW w:w="2410" w:type="dxa"/>
          </w:tcPr>
          <w:p>
            <w:pPr>
              <w:pStyle w:val="43"/>
              <w:numPr>
                <w:ilvl w:val="1"/>
                <w:numId w:val="1"/>
              </w:numPr>
              <w:spacing w:line="276" w:lineRule="auto"/>
              <w:ind w:left="0" w:firstLine="13"/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/>
              </w:rPr>
              <w:t>Степень контроля рисков</w:t>
            </w:r>
          </w:p>
          <w:p>
            <w:pPr>
              <w:widowControl w:val="0"/>
              <w:autoSpaceDE w:val="0"/>
              <w:autoSpaceDN w:val="0"/>
              <w:spacing w:line="276" w:lineRule="auto"/>
              <w:ind w:firstLine="13"/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 w:eastAsia="en-US"/>
              </w:rPr>
              <w:t>(полный/частичный</w:t>
            </w:r>
          </w:p>
          <w:p>
            <w:pPr>
              <w:widowControl w:val="0"/>
              <w:autoSpaceDE w:val="0"/>
              <w:autoSpaceDN w:val="0"/>
              <w:spacing w:line="276" w:lineRule="auto"/>
              <w:ind w:firstLine="13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 w:eastAsia="en-US"/>
              </w:rPr>
              <w:t>/отсутствует)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2422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  <w:t>Риск 1</w:t>
            </w:r>
          </w:p>
        </w:tc>
        <w:tc>
          <w:tcPr>
            <w:tcW w:w="2381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  <w:t>Нет</w:t>
            </w:r>
          </w:p>
        </w:tc>
        <w:tc>
          <w:tcPr>
            <w:tcW w:w="2410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  <w:t>Нет</w:t>
            </w:r>
          </w:p>
        </w:tc>
        <w:tc>
          <w:tcPr>
            <w:tcW w:w="2410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  <w:t>Нет</w:t>
            </w:r>
          </w:p>
        </w:tc>
      </w:tr>
    </w:tbl>
    <w:p>
      <w:pPr>
        <w:pStyle w:val="43"/>
        <w:numPr>
          <w:ilvl w:val="1"/>
          <w:numId w:val="1"/>
        </w:numPr>
        <w:spacing w:line="276" w:lineRule="auto"/>
        <w:ind w:left="0" w:firstLine="567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Источники данных:</w:t>
      </w:r>
    </w:p>
    <w:p>
      <w:pPr>
        <w:spacing w:line="276" w:lineRule="auto"/>
        <w:ind w:firstLine="56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Отсутствует.</w:t>
      </w:r>
    </w:p>
    <w:p>
      <w:pPr>
        <w:pStyle w:val="43"/>
        <w:numPr>
          <w:ilvl w:val="0"/>
          <w:numId w:val="1"/>
        </w:numPr>
        <w:spacing w:line="276" w:lineRule="auto"/>
        <w:ind w:left="0" w:firstLine="567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Сравнение возможных вариантов решения проблемы</w:t>
      </w:r>
    </w:p>
    <w:p>
      <w:pPr>
        <w:spacing w:line="276" w:lineRule="auto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41"/>
        <w:tblW w:w="9924" w:type="dxa"/>
        <w:tblInd w:w="-4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50"/>
        <w:gridCol w:w="2977"/>
        <w:gridCol w:w="31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3750" w:type="dxa"/>
            <w:tcBorders>
              <w:left w:val="single" w:color="000000" w:sz="6" w:space="0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ind w:left="144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2977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  <w:t>Вариант 1</w:t>
            </w:r>
          </w:p>
        </w:tc>
        <w:tc>
          <w:tcPr>
            <w:tcW w:w="3197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  <w:t>Вариант 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3750" w:type="dxa"/>
            <w:tcBorders>
              <w:left w:val="single" w:color="000000" w:sz="6" w:space="0"/>
            </w:tcBorders>
          </w:tcPr>
          <w:p>
            <w:pPr>
              <w:pStyle w:val="43"/>
              <w:numPr>
                <w:ilvl w:val="1"/>
                <w:numId w:val="1"/>
              </w:numPr>
              <w:spacing w:line="276" w:lineRule="auto"/>
              <w:ind w:left="144" w:right="196" w:firstLine="0"/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/>
              </w:rPr>
              <w:t>Содержание</w:t>
            </w:r>
            <w:r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/>
              </w:rPr>
              <w:tab/>
            </w:r>
            <w:r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/>
              </w:rPr>
              <w:t>варианта</w:t>
            </w:r>
            <w:r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/>
              </w:rPr>
              <w:tab/>
            </w:r>
            <w:r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/>
              </w:rPr>
              <w:t>решения проблемы</w:t>
            </w:r>
          </w:p>
        </w:tc>
        <w:tc>
          <w:tcPr>
            <w:tcW w:w="2977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  <w:t>Принятие настоящего проекта</w:t>
            </w:r>
          </w:p>
        </w:tc>
        <w:tc>
          <w:tcPr>
            <w:tcW w:w="3197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  <w:t>Не</w:t>
            </w:r>
            <w:r>
              <w:rPr>
                <w:rFonts w:hint="default" w:cs="Times New Roman" w:eastAsiaTheme="minorHAnsi"/>
                <w:sz w:val="24"/>
                <w:szCs w:val="24"/>
                <w:lang w:val="ru-RU" w:eastAsia="en-US"/>
              </w:rPr>
              <w:t xml:space="preserve"> принятие настоящего</w:t>
            </w: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hint="default" w:cs="Times New Roman" w:eastAsiaTheme="minorHAnsi"/>
                <w:sz w:val="24"/>
                <w:szCs w:val="24"/>
                <w:lang w:val="ru-RU" w:eastAsia="en-US"/>
              </w:rPr>
              <w:t>проекта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3" w:hRule="atLeast"/>
        </w:trPr>
        <w:tc>
          <w:tcPr>
            <w:tcW w:w="3750" w:type="dxa"/>
            <w:tcBorders>
              <w:left w:val="single" w:color="000000" w:sz="6" w:space="0"/>
            </w:tcBorders>
          </w:tcPr>
          <w:p>
            <w:pPr>
              <w:pStyle w:val="43"/>
              <w:numPr>
                <w:ilvl w:val="1"/>
                <w:numId w:val="1"/>
              </w:numPr>
              <w:spacing w:line="276" w:lineRule="auto"/>
              <w:ind w:left="144" w:right="196" w:firstLine="0"/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/>
              </w:rPr>
              <w:t>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977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  <w:t>Своевременное и обоснованное предоставление субсидий.</w:t>
            </w:r>
          </w:p>
        </w:tc>
        <w:tc>
          <w:tcPr>
            <w:tcW w:w="3197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  <w:t>Увеличение убытков организаций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755" w:hRule="atLeast"/>
        </w:trPr>
        <w:tc>
          <w:tcPr>
            <w:tcW w:w="3750" w:type="dxa"/>
            <w:tcBorders>
              <w:left w:val="single" w:color="000000" w:sz="6" w:space="0"/>
            </w:tcBorders>
          </w:tcPr>
          <w:p>
            <w:pPr>
              <w:pStyle w:val="43"/>
              <w:numPr>
                <w:ilvl w:val="1"/>
                <w:numId w:val="1"/>
              </w:numPr>
              <w:spacing w:line="276" w:lineRule="auto"/>
              <w:ind w:left="144" w:right="196" w:firstLine="0"/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/>
              </w:rPr>
              <w:t>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977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  <w:t>Нет</w:t>
            </w:r>
          </w:p>
        </w:tc>
        <w:tc>
          <w:tcPr>
            <w:tcW w:w="3197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  <w:t>Нет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 w:hRule="atLeast"/>
        </w:trPr>
        <w:tc>
          <w:tcPr>
            <w:tcW w:w="3750" w:type="dxa"/>
            <w:tcBorders>
              <w:left w:val="single" w:color="000000" w:sz="6" w:space="0"/>
            </w:tcBorders>
          </w:tcPr>
          <w:p>
            <w:pPr>
              <w:pStyle w:val="43"/>
              <w:numPr>
                <w:ilvl w:val="1"/>
                <w:numId w:val="1"/>
              </w:numPr>
              <w:spacing w:line="276" w:lineRule="auto"/>
              <w:ind w:left="144" w:right="196" w:firstLine="0"/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/>
              </w:rPr>
              <w:t>Оценка расходов (доходов) государственного бюджета Республики Саха (Якутия), связанных с введением предлагаемого правового регулирования</w:t>
            </w:r>
          </w:p>
        </w:tc>
        <w:tc>
          <w:tcPr>
            <w:tcW w:w="2977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highlight w:val="yellow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  <w:t>В пределах средств, предусмотренных на 202</w:t>
            </w: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  <w:t>4</w:t>
            </w: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  <w:t xml:space="preserve"> год</w:t>
            </w:r>
          </w:p>
        </w:tc>
        <w:tc>
          <w:tcPr>
            <w:tcW w:w="3197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highlight w:val="yellow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  <w:t>В пределах средств, предусмотренных на 202</w:t>
            </w: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  <w:t>4</w:t>
            </w: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  <w:t xml:space="preserve"> год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3" w:hRule="atLeast"/>
        </w:trPr>
        <w:tc>
          <w:tcPr>
            <w:tcW w:w="3750" w:type="dxa"/>
            <w:tcBorders>
              <w:left w:val="single" w:color="000000" w:sz="6" w:space="0"/>
            </w:tcBorders>
          </w:tcPr>
          <w:p>
            <w:pPr>
              <w:pStyle w:val="43"/>
              <w:numPr>
                <w:ilvl w:val="1"/>
                <w:numId w:val="1"/>
              </w:numPr>
              <w:spacing w:line="276" w:lineRule="auto"/>
              <w:ind w:left="144" w:right="196" w:firstLine="0"/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/>
              </w:rPr>
              <w:t>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977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  <w:t>эффективно</w:t>
            </w:r>
          </w:p>
        </w:tc>
        <w:tc>
          <w:tcPr>
            <w:tcW w:w="3197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  <w:t>не эффективно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3" w:hRule="atLeast"/>
        </w:trPr>
        <w:tc>
          <w:tcPr>
            <w:tcW w:w="3750" w:type="dxa"/>
            <w:tcBorders>
              <w:left w:val="single" w:color="000000" w:sz="6" w:space="0"/>
            </w:tcBorders>
          </w:tcPr>
          <w:p>
            <w:pPr>
              <w:pStyle w:val="43"/>
              <w:numPr>
                <w:ilvl w:val="1"/>
                <w:numId w:val="1"/>
              </w:numPr>
              <w:spacing w:line="276" w:lineRule="auto"/>
              <w:ind w:left="144" w:right="196" w:firstLine="0"/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/>
              </w:rPr>
              <w:t>Оценка рисков неблагоприятных последствий</w:t>
            </w:r>
          </w:p>
        </w:tc>
        <w:tc>
          <w:tcPr>
            <w:tcW w:w="2977" w:type="dxa"/>
          </w:tcPr>
          <w:p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  <w:t xml:space="preserve">Качественное и своевременное </w:t>
            </w: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  <w:t>предоставление услуги по обращению с ТКО на территории</w:t>
            </w: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  <w:t xml:space="preserve"> Республики Саха (Якутия)</w:t>
            </w:r>
          </w:p>
        </w:tc>
        <w:tc>
          <w:tcPr>
            <w:tcW w:w="3197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  <w:t>Не к</w:t>
            </w: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  <w:t xml:space="preserve">ачественное и </w:t>
            </w: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  <w:t>не</w:t>
            </w: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  <w:t xml:space="preserve">своевременное </w:t>
            </w: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  <w:t>предоставление услуги по обращению с ТКО на территории</w:t>
            </w: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  <w:t xml:space="preserve"> Республики</w:t>
            </w: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  <w:t xml:space="preserve"> Саха(Якутия)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7" w:hRule="atLeast"/>
        </w:trPr>
        <w:tc>
          <w:tcPr>
            <w:tcW w:w="3750" w:type="dxa"/>
            <w:tcBorders>
              <w:left w:val="single" w:color="000000" w:sz="6" w:space="0"/>
            </w:tcBorders>
          </w:tcPr>
          <w:p>
            <w:pPr>
              <w:pStyle w:val="43"/>
              <w:numPr>
                <w:ilvl w:val="1"/>
                <w:numId w:val="1"/>
              </w:numPr>
              <w:spacing w:line="276" w:lineRule="auto"/>
              <w:ind w:left="144" w:right="196" w:firstLine="0"/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/>
              </w:rPr>
              <w:t>Необходимые для достижения заявленных целей регулирования организационно-технические, методологические, информационные</w:t>
            </w:r>
            <w:r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/>
              </w:rPr>
              <w:tab/>
            </w:r>
            <w:r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/>
              </w:rPr>
              <w:t>и иные мероприятия, общий объем затрат</w:t>
            </w:r>
          </w:p>
        </w:tc>
        <w:tc>
          <w:tcPr>
            <w:tcW w:w="2977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  <w:t>нет</w:t>
            </w:r>
          </w:p>
        </w:tc>
        <w:tc>
          <w:tcPr>
            <w:tcW w:w="3197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  <w:t>нет</w:t>
            </w:r>
          </w:p>
        </w:tc>
      </w:tr>
    </w:tbl>
    <w:p>
      <w:pPr>
        <w:spacing w:line="276" w:lineRule="auto"/>
        <w:ind w:firstLine="567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43"/>
        <w:numPr>
          <w:ilvl w:val="1"/>
          <w:numId w:val="1"/>
        </w:numPr>
        <w:spacing w:line="276" w:lineRule="auto"/>
        <w:ind w:left="0" w:firstLine="56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Обоснование выбора предпочтительного варианта решения выявленной проблемы</w:t>
      </w:r>
      <w:r>
        <w:rPr>
          <w:rFonts w:hint="default" w:ascii="Times New Roman" w:hAnsi="Times New Roman" w:cs="Times New Roman"/>
          <w:sz w:val="24"/>
          <w:szCs w:val="24"/>
        </w:rPr>
        <w:t>:</w:t>
      </w:r>
    </w:p>
    <w:p>
      <w:pPr>
        <w:spacing w:line="276" w:lineRule="auto"/>
        <w:ind w:firstLine="567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Первый вариант предпочтительнее в целях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к</w:t>
      </w:r>
      <w:r>
        <w:rPr>
          <w:rFonts w:hint="default" w:ascii="Times New Roman" w:hAnsi="Times New Roman" w:cs="Times New Roman" w:eastAsiaTheme="minorHAnsi"/>
          <w:sz w:val="24"/>
          <w:szCs w:val="24"/>
          <w:lang w:val="en-US" w:eastAsia="en-US"/>
        </w:rPr>
        <w:t>ачественно</w:t>
      </w:r>
      <w:r>
        <w:rPr>
          <w:rFonts w:hint="default" w:ascii="Times New Roman" w:hAnsi="Times New Roman" w:cs="Times New Roman" w:eastAsiaTheme="minorHAnsi"/>
          <w:sz w:val="24"/>
          <w:szCs w:val="24"/>
          <w:lang w:val="ru-RU" w:eastAsia="en-US"/>
        </w:rPr>
        <w:t>го</w:t>
      </w:r>
      <w:r>
        <w:rPr>
          <w:rFonts w:hint="default" w:ascii="Times New Roman" w:hAnsi="Times New Roman" w:cs="Times New Roman" w:eastAsiaTheme="minorHAnsi"/>
          <w:sz w:val="24"/>
          <w:szCs w:val="24"/>
          <w:lang w:val="en-US" w:eastAsia="en-US"/>
        </w:rPr>
        <w:t xml:space="preserve"> и своевременно</w:t>
      </w:r>
      <w:r>
        <w:rPr>
          <w:rFonts w:hint="default" w:ascii="Times New Roman" w:hAnsi="Times New Roman" w:cs="Times New Roman" w:eastAsiaTheme="minorHAnsi"/>
          <w:sz w:val="24"/>
          <w:szCs w:val="24"/>
          <w:lang w:val="ru-RU" w:eastAsia="en-US"/>
        </w:rPr>
        <w:t>го</w:t>
      </w:r>
      <w:r>
        <w:rPr>
          <w:rFonts w:hint="default" w:ascii="Times New Roman" w:hAnsi="Times New Roman" w:cs="Times New Roman" w:eastAsiaTheme="minorHAnsi"/>
          <w:sz w:val="24"/>
          <w:szCs w:val="24"/>
          <w:lang w:val="en-US" w:eastAsia="en-US"/>
        </w:rPr>
        <w:t xml:space="preserve"> </w:t>
      </w:r>
      <w:r>
        <w:rPr>
          <w:rFonts w:hint="default" w:ascii="Times New Roman" w:hAnsi="Times New Roman" w:cs="Times New Roman" w:eastAsiaTheme="minorHAnsi"/>
          <w:sz w:val="24"/>
          <w:szCs w:val="24"/>
          <w:lang w:val="ru-RU" w:eastAsia="en-US"/>
        </w:rPr>
        <w:t>предоставления услуги по обращению с ТКО на территории</w:t>
      </w:r>
      <w:r>
        <w:rPr>
          <w:rFonts w:hint="default" w:ascii="Times New Roman" w:hAnsi="Times New Roman" w:cs="Times New Roman" w:eastAsiaTheme="minorHAnsi"/>
          <w:sz w:val="24"/>
          <w:szCs w:val="24"/>
          <w:lang w:val="en-US" w:eastAsia="en-US"/>
        </w:rPr>
        <w:t xml:space="preserve"> Республики</w:t>
      </w:r>
      <w:r>
        <w:rPr>
          <w:rFonts w:hint="default" w:ascii="Times New Roman" w:hAnsi="Times New Roman" w:cs="Times New Roman" w:eastAsiaTheme="minorHAnsi"/>
          <w:sz w:val="24"/>
          <w:szCs w:val="24"/>
          <w:lang w:val="ru-RU" w:eastAsia="en-US"/>
        </w:rPr>
        <w:t>.</w:t>
      </w:r>
    </w:p>
    <w:p>
      <w:pPr>
        <w:spacing w:line="276" w:lineRule="auto"/>
        <w:ind w:firstLine="567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276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201295</wp:posOffset>
                </wp:positionV>
                <wp:extent cx="5715000" cy="1270"/>
                <wp:effectExtent l="13335" t="11430" r="5715" b="6350"/>
                <wp:wrapTopAndBottom/>
                <wp:docPr id="1639989299" name="Полилиния: фигур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00"/>
                            <a:gd name="T2" fmla="+- 0 10701 1701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: фигура 1" o:spid="_x0000_s1026" o:spt="100" style="position:absolute;left:0pt;margin-left:85.05pt;margin-top:15.85pt;height:0.1pt;width:450pt;mso-position-horizontal-relative:page;mso-wrap-distance-bottom:0pt;mso-wrap-distance-top:0pt;z-index:-251655168;mso-width-relative:page;mso-height-relative:page;" filled="f" stroked="t" coordsize="9000,1" o:gfxdata="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" path="m0,0l9000,0e">
                <v:path o:connectlocs="0,0;5715000,0" o:connectangles="0,0"/>
                <v:fill on="f" focussize="0,0"/>
                <v:stroke weight="0.48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spacing w:line="276" w:lineRule="auto"/>
        <w:ind w:firstLine="567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43"/>
        <w:numPr>
          <w:ilvl w:val="0"/>
          <w:numId w:val="1"/>
        </w:numPr>
        <w:spacing w:line="276" w:lineRule="auto"/>
        <w:ind w:left="0" w:firstLine="567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</w:t>
      </w:r>
    </w:p>
    <w:p>
      <w:pPr>
        <w:spacing w:line="276" w:lineRule="auto"/>
        <w:ind w:firstLine="567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ПРАВОВОГО РЕГУЛИРОВАНИЯ НА РАНЕЕ ВОЗНИКШИЕ ОТНОШЕНИЯ:</w:t>
      </w:r>
    </w:p>
    <w:p>
      <w:pPr>
        <w:spacing w:line="276" w:lineRule="auto"/>
        <w:ind w:firstLine="567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43"/>
        <w:numPr>
          <w:ilvl w:val="1"/>
          <w:numId w:val="1"/>
        </w:numPr>
        <w:spacing w:line="276" w:lineRule="auto"/>
        <w:ind w:left="0" w:firstLine="567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Предполагаемая дата вступления в силу нормативного правового акта:</w:t>
      </w:r>
    </w:p>
    <w:p>
      <w:pPr>
        <w:pStyle w:val="43"/>
        <w:numPr>
          <w:ilvl w:val="0"/>
          <w:numId w:val="0"/>
        </w:numPr>
        <w:spacing w:line="276" w:lineRule="auto"/>
        <w:ind w:left="567" w:left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cs="Times New Roman"/>
          <w:sz w:val="24"/>
          <w:szCs w:val="24"/>
          <w:lang w:val="ru-RU"/>
        </w:rPr>
        <w:t>31 июля</w:t>
      </w:r>
      <w:r>
        <w:rPr>
          <w:rFonts w:hint="default" w:ascii="Times New Roman" w:hAnsi="Times New Roman" w:cs="Times New Roman"/>
          <w:sz w:val="24"/>
          <w:szCs w:val="24"/>
        </w:rPr>
        <w:t xml:space="preserve"> 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4</w:t>
      </w:r>
      <w:r>
        <w:rPr>
          <w:rFonts w:hint="default" w:ascii="Times New Roman" w:hAnsi="Times New Roman" w:cs="Times New Roman"/>
          <w:sz w:val="24"/>
          <w:szCs w:val="24"/>
        </w:rPr>
        <w:t xml:space="preserve"> года.</w:t>
      </w:r>
    </w:p>
    <w:p>
      <w:pPr>
        <w:pStyle w:val="43"/>
        <w:numPr>
          <w:ilvl w:val="1"/>
          <w:numId w:val="1"/>
        </w:numPr>
        <w:spacing w:line="276" w:lineRule="auto"/>
        <w:ind w:left="0" w:firstLine="567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Необходимость установления переходного периода и (или) отсрочки введения предлагаемого правового регулирования: нет</w:t>
      </w:r>
    </w:p>
    <w:p>
      <w:pPr>
        <w:spacing w:line="276" w:lineRule="auto"/>
        <w:ind w:firstLine="56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а) срок переходного периода: нет</w:t>
      </w:r>
    </w:p>
    <w:p>
      <w:pPr>
        <w:spacing w:line="276" w:lineRule="auto"/>
        <w:ind w:firstLine="56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б) отсрочка введения предлагаемого правового регулирования: нет</w:t>
      </w:r>
    </w:p>
    <w:p>
      <w:pPr>
        <w:spacing w:line="276" w:lineRule="auto"/>
        <w:ind w:firstLine="567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43"/>
        <w:numPr>
          <w:ilvl w:val="1"/>
          <w:numId w:val="1"/>
        </w:numPr>
        <w:spacing w:line="276" w:lineRule="auto"/>
        <w:ind w:left="0" w:firstLine="567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Необходимость распространения предлагаемого правового регулирования на ранее возникшие отношения:</w:t>
      </w:r>
    </w:p>
    <w:p>
      <w:pPr>
        <w:spacing w:line="276" w:lineRule="auto"/>
        <w:ind w:firstLine="56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Не требуется.</w:t>
      </w:r>
    </w:p>
    <w:p>
      <w:pPr>
        <w:pStyle w:val="43"/>
        <w:numPr>
          <w:ilvl w:val="2"/>
          <w:numId w:val="1"/>
        </w:numPr>
        <w:spacing w:line="276" w:lineRule="auto"/>
        <w:ind w:left="0" w:firstLine="567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Период распространения на ранее возникшие отношения:</w:t>
      </w:r>
    </w:p>
    <w:p>
      <w:pPr>
        <w:spacing w:line="276" w:lineRule="auto"/>
        <w:ind w:firstLine="567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Не требуется.</w:t>
      </w:r>
    </w:p>
    <w:p>
      <w:pPr>
        <w:spacing w:line="276" w:lineRule="auto"/>
        <w:ind w:firstLine="567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pStyle w:val="43"/>
        <w:numPr>
          <w:ilvl w:val="1"/>
          <w:numId w:val="1"/>
        </w:numPr>
        <w:spacing w:line="276" w:lineRule="auto"/>
        <w:ind w:left="0" w:firstLine="567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Обоснование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>
      <w:pPr>
        <w:spacing w:line="276" w:lineRule="auto"/>
        <w:ind w:firstLine="56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Отсутствует.</w:t>
      </w:r>
    </w:p>
    <w:p>
      <w:pPr>
        <w:spacing w:line="276" w:lineRule="auto"/>
        <w:ind w:firstLine="567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Заполняется по итогам проведения публичных консультаций по проекту нормативного правового акта и сводного отчета:</w:t>
      </w:r>
    </w:p>
    <w:p>
      <w:pPr>
        <w:spacing w:line="276" w:lineRule="auto"/>
        <w:ind w:firstLine="567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43"/>
        <w:numPr>
          <w:ilvl w:val="0"/>
          <w:numId w:val="1"/>
        </w:numPr>
        <w:spacing w:line="276" w:lineRule="auto"/>
        <w:ind w:left="0" w:firstLine="567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ИНФОРМАЦИЯ О СРОКАХ ПРОВЕДЕНИЯ ПУБЛИЧНЫХ КОНСУЛЬТАЦИЙ ПО ПРОЕКТУ НОРМАТИВНОГО ПРАВОВОГО АКТА И СВОДНОМУ ОТЧЕТУ:</w:t>
      </w:r>
    </w:p>
    <w:p>
      <w:pPr>
        <w:spacing w:line="276" w:lineRule="auto"/>
        <w:ind w:firstLine="567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43"/>
        <w:numPr>
          <w:ilvl w:val="1"/>
          <w:numId w:val="1"/>
        </w:numPr>
        <w:spacing w:line="276" w:lineRule="auto"/>
        <w:ind w:left="0" w:firstLine="567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воздействия:</w:t>
      </w:r>
    </w:p>
    <w:p>
      <w:pPr>
        <w:pStyle w:val="43"/>
        <w:numPr>
          <w:ilvl w:val="1"/>
          <w:numId w:val="1"/>
        </w:numPr>
        <w:spacing w:line="276" w:lineRule="auto"/>
        <w:ind w:left="0" w:firstLine="567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Сведения о количестве замечаний и предложений, полученных в ходе публичных консультаций по проекту нормативного правового акта:</w:t>
      </w:r>
    </w:p>
    <w:p>
      <w:pPr>
        <w:spacing w:line="276" w:lineRule="auto"/>
        <w:ind w:firstLine="567"/>
        <w:jc w:val="both"/>
        <w:rPr>
          <w:rFonts w:hint="default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>Всего замечаний и предложений:</w:t>
      </w:r>
      <w:r>
        <w:rPr>
          <w:rFonts w:hint="default" w:cs="Times New Roman"/>
          <w:sz w:val="24"/>
          <w:szCs w:val="24"/>
          <w:lang w:val="ru-RU"/>
        </w:rPr>
        <w:t xml:space="preserve"> </w:t>
      </w:r>
    </w:p>
    <w:p>
      <w:pPr>
        <w:pStyle w:val="43"/>
        <w:numPr>
          <w:ilvl w:val="1"/>
          <w:numId w:val="1"/>
        </w:numPr>
        <w:spacing w:line="276" w:lineRule="auto"/>
        <w:ind w:left="0" w:firstLine="567"/>
        <w:rPr>
          <w:rFonts w:hint="default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Полный электронный адрес размещения сводки предложений, поступивших по итогам проведения публичных консультаций по проекту нормативного правового акта: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</w:p>
    <w:tbl>
      <w:tblPr>
        <w:tblStyle w:val="1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0"/>
        <w:gridCol w:w="4329"/>
        <w:gridCol w:w="28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190" w:type="dxa"/>
          </w:tcPr>
          <w:p>
            <w:pPr>
              <w:spacing w:after="160" w:line="259" w:lineRule="auto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Министр ЖКХ и энергетики РС(Я)</w:t>
            </w:r>
          </w:p>
        </w:tc>
        <w:tc>
          <w:tcPr>
            <w:tcW w:w="4329" w:type="dxa"/>
          </w:tcPr>
          <w:p>
            <w:pPr>
              <w:spacing w:after="160" w:line="259" w:lineRule="auto"/>
            </w:pPr>
            <w:bookmarkStart w:id="1" w:name="SIGNERSTAMP1"/>
            <w:bookmarkEnd w:id="1"/>
          </w:p>
        </w:tc>
        <w:tc>
          <w:tcPr>
            <w:tcW w:w="2836" w:type="dxa"/>
          </w:tcPr>
          <w:p>
            <w:pPr>
              <w:spacing w:after="160" w:line="259" w:lineRule="auto"/>
              <w:jc w:val="center"/>
            </w:pPr>
            <w:bookmarkStart w:id="2" w:name="SIGNERNAME1"/>
            <w:r>
              <w:t xml:space="preserve">      ФИО</w:t>
            </w:r>
            <w:bookmarkEnd w:id="2"/>
          </w:p>
        </w:tc>
      </w:tr>
    </w:tbl>
    <w:p>
      <w:pPr>
        <w:jc w:val="both"/>
      </w:pPr>
    </w:p>
    <w:sectPr>
      <w:footerReference r:id="rId5" w:type="first"/>
      <w:headerReference r:id="rId3" w:type="even"/>
      <w:footerReference r:id="rId4" w:type="even"/>
      <w:pgSz w:w="11906" w:h="16838"/>
      <w:pgMar w:top="851" w:right="850" w:bottom="993" w:left="1701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altName w:val="Times New Roman"/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黑体">
    <w:altName w:val="Times New Roman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altName w:val="Arimo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mo">
    <w:panose1 w:val="020B0604020202020204"/>
    <w:charset w:val="00"/>
    <w:family w:val="auto"/>
    <w:pitch w:val="default"/>
    <w:sig w:usb0="E0000AFF" w:usb1="500078FF" w:usb2="00000021" w:usb3="00000000" w:csb0="600001BF" w:csb1="DFF7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Times New Roman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Cambria">
    <w:altName w:val="Noto Sans Syriac Eastern"/>
    <w:panose1 w:val="02040503050406030204"/>
    <w:charset w:val="CC"/>
    <w:family w:val="roman"/>
    <w:pitch w:val="default"/>
    <w:sig w:usb0="00000000" w:usb1="00000000" w:usb2="02000000" w:usb3="00000000" w:csb0="0000019F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Tahoma">
    <w:panose1 w:val="020B0604030504040204"/>
    <w:charset w:val="CC"/>
    <w:family w:val="swiss"/>
    <w:pitch w:val="default"/>
    <w:sig w:usb0="800022EF" w:usb1="C000205A" w:usb2="00000008" w:usb3="00000000" w:csb0="20000057" w:csb1="000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57</w:t>
    </w:r>
    <w:r>
      <w:rPr>
        <w:rStyle w:val="10"/>
      </w:rPr>
      <w:fldChar w:fldCharType="end"/>
    </w:r>
  </w:p>
  <w:p>
    <w:pPr>
      <w:pStyle w:val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jc w:val="center"/>
    </w:pPr>
    <w:r>
      <w:t>(Документ создан в электронной форме в Министерстве жилищно-коммунального хозяйства и энергетики Республики Саха (Якутия)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19</w:t>
    </w:r>
    <w:r>
      <w:rPr>
        <w:rStyle w:val="10"/>
      </w:rPr>
      <w:fldChar w:fldCharType="end"/>
    </w:r>
  </w:p>
  <w:p>
    <w:pPr>
      <w:pStyle w:val="1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C6060A6"/>
    <w:multiLevelType w:val="multilevel"/>
    <w:tmpl w:val="3C6060A6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 w:tentative="0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D6C"/>
    <w:rsid w:val="0000067F"/>
    <w:rsid w:val="00000CF9"/>
    <w:rsid w:val="0000458F"/>
    <w:rsid w:val="000046EF"/>
    <w:rsid w:val="00012144"/>
    <w:rsid w:val="00012654"/>
    <w:rsid w:val="00013361"/>
    <w:rsid w:val="00014153"/>
    <w:rsid w:val="000148B2"/>
    <w:rsid w:val="00017948"/>
    <w:rsid w:val="00021872"/>
    <w:rsid w:val="00023A40"/>
    <w:rsid w:val="00026775"/>
    <w:rsid w:val="0003045A"/>
    <w:rsid w:val="00031441"/>
    <w:rsid w:val="00034BFB"/>
    <w:rsid w:val="000374FC"/>
    <w:rsid w:val="0003795C"/>
    <w:rsid w:val="0004112C"/>
    <w:rsid w:val="00041999"/>
    <w:rsid w:val="00041D48"/>
    <w:rsid w:val="0004313D"/>
    <w:rsid w:val="000468B0"/>
    <w:rsid w:val="000505E7"/>
    <w:rsid w:val="00051127"/>
    <w:rsid w:val="00054537"/>
    <w:rsid w:val="00054F93"/>
    <w:rsid w:val="00056258"/>
    <w:rsid w:val="00061741"/>
    <w:rsid w:val="000647B1"/>
    <w:rsid w:val="00064CBD"/>
    <w:rsid w:val="000666BA"/>
    <w:rsid w:val="00070C0A"/>
    <w:rsid w:val="00072FE4"/>
    <w:rsid w:val="00074671"/>
    <w:rsid w:val="00074702"/>
    <w:rsid w:val="00074A2E"/>
    <w:rsid w:val="000813F5"/>
    <w:rsid w:val="00081B0B"/>
    <w:rsid w:val="00082CE9"/>
    <w:rsid w:val="00090373"/>
    <w:rsid w:val="00093684"/>
    <w:rsid w:val="000936A8"/>
    <w:rsid w:val="000A30A1"/>
    <w:rsid w:val="000A3AB5"/>
    <w:rsid w:val="000A4E86"/>
    <w:rsid w:val="000A714A"/>
    <w:rsid w:val="000B7437"/>
    <w:rsid w:val="000B7F4B"/>
    <w:rsid w:val="000C1294"/>
    <w:rsid w:val="000C3211"/>
    <w:rsid w:val="000C3CC5"/>
    <w:rsid w:val="000C6E1D"/>
    <w:rsid w:val="000C701C"/>
    <w:rsid w:val="000C7BF3"/>
    <w:rsid w:val="000D003F"/>
    <w:rsid w:val="000D0611"/>
    <w:rsid w:val="000D3680"/>
    <w:rsid w:val="000D4C59"/>
    <w:rsid w:val="000D655F"/>
    <w:rsid w:val="000E0CEA"/>
    <w:rsid w:val="000E63F0"/>
    <w:rsid w:val="000F3724"/>
    <w:rsid w:val="00106A34"/>
    <w:rsid w:val="00110153"/>
    <w:rsid w:val="00114162"/>
    <w:rsid w:val="00115140"/>
    <w:rsid w:val="00115D84"/>
    <w:rsid w:val="00116352"/>
    <w:rsid w:val="00116C57"/>
    <w:rsid w:val="001173E3"/>
    <w:rsid w:val="00121761"/>
    <w:rsid w:val="00121B3F"/>
    <w:rsid w:val="001227AB"/>
    <w:rsid w:val="00122BC7"/>
    <w:rsid w:val="0012682E"/>
    <w:rsid w:val="00132A2E"/>
    <w:rsid w:val="00136209"/>
    <w:rsid w:val="00137973"/>
    <w:rsid w:val="0014069E"/>
    <w:rsid w:val="00143A8C"/>
    <w:rsid w:val="001465D8"/>
    <w:rsid w:val="00146CDC"/>
    <w:rsid w:val="001470D7"/>
    <w:rsid w:val="001504D5"/>
    <w:rsid w:val="001513E7"/>
    <w:rsid w:val="0015165C"/>
    <w:rsid w:val="00152D04"/>
    <w:rsid w:val="001563B9"/>
    <w:rsid w:val="00160B9C"/>
    <w:rsid w:val="0017348B"/>
    <w:rsid w:val="00180459"/>
    <w:rsid w:val="00186E45"/>
    <w:rsid w:val="00187FD0"/>
    <w:rsid w:val="001906FB"/>
    <w:rsid w:val="001926FC"/>
    <w:rsid w:val="0019363B"/>
    <w:rsid w:val="00193C2B"/>
    <w:rsid w:val="00195B0C"/>
    <w:rsid w:val="00197226"/>
    <w:rsid w:val="001A252C"/>
    <w:rsid w:val="001A5EC2"/>
    <w:rsid w:val="001B19C1"/>
    <w:rsid w:val="001B7294"/>
    <w:rsid w:val="001C06D0"/>
    <w:rsid w:val="001C1E5D"/>
    <w:rsid w:val="001C699A"/>
    <w:rsid w:val="001C7E9F"/>
    <w:rsid w:val="001E0CCF"/>
    <w:rsid w:val="001E0E5C"/>
    <w:rsid w:val="001E15D0"/>
    <w:rsid w:val="001E22C1"/>
    <w:rsid w:val="001E6821"/>
    <w:rsid w:val="001F1619"/>
    <w:rsid w:val="001F3901"/>
    <w:rsid w:val="001F5258"/>
    <w:rsid w:val="001F7405"/>
    <w:rsid w:val="00200C5B"/>
    <w:rsid w:val="002019A9"/>
    <w:rsid w:val="00207671"/>
    <w:rsid w:val="002079A8"/>
    <w:rsid w:val="00207A5F"/>
    <w:rsid w:val="00207BEB"/>
    <w:rsid w:val="0021474A"/>
    <w:rsid w:val="00214B7F"/>
    <w:rsid w:val="002162E3"/>
    <w:rsid w:val="00220050"/>
    <w:rsid w:val="002207AD"/>
    <w:rsid w:val="00220E99"/>
    <w:rsid w:val="002214BF"/>
    <w:rsid w:val="002230F0"/>
    <w:rsid w:val="002235C1"/>
    <w:rsid w:val="00223F71"/>
    <w:rsid w:val="002252A0"/>
    <w:rsid w:val="00225AC0"/>
    <w:rsid w:val="002261DB"/>
    <w:rsid w:val="002309C2"/>
    <w:rsid w:val="00233412"/>
    <w:rsid w:val="00242D9A"/>
    <w:rsid w:val="00244366"/>
    <w:rsid w:val="0024467B"/>
    <w:rsid w:val="00244ED0"/>
    <w:rsid w:val="0024562E"/>
    <w:rsid w:val="00246083"/>
    <w:rsid w:val="00250DC9"/>
    <w:rsid w:val="00251DF9"/>
    <w:rsid w:val="00253CE3"/>
    <w:rsid w:val="0025694E"/>
    <w:rsid w:val="00257AE1"/>
    <w:rsid w:val="00262A33"/>
    <w:rsid w:val="00263594"/>
    <w:rsid w:val="00264CFB"/>
    <w:rsid w:val="002651EC"/>
    <w:rsid w:val="00271ACC"/>
    <w:rsid w:val="00274873"/>
    <w:rsid w:val="00275699"/>
    <w:rsid w:val="00277D45"/>
    <w:rsid w:val="002800F4"/>
    <w:rsid w:val="0028078B"/>
    <w:rsid w:val="00284F5E"/>
    <w:rsid w:val="00287393"/>
    <w:rsid w:val="0029022B"/>
    <w:rsid w:val="00291474"/>
    <w:rsid w:val="00291E62"/>
    <w:rsid w:val="002950FD"/>
    <w:rsid w:val="00295319"/>
    <w:rsid w:val="00296929"/>
    <w:rsid w:val="0029736D"/>
    <w:rsid w:val="002A042A"/>
    <w:rsid w:val="002A3418"/>
    <w:rsid w:val="002A4D30"/>
    <w:rsid w:val="002B3D59"/>
    <w:rsid w:val="002B7DAE"/>
    <w:rsid w:val="002C08D2"/>
    <w:rsid w:val="002C1CEE"/>
    <w:rsid w:val="002C2762"/>
    <w:rsid w:val="002C4507"/>
    <w:rsid w:val="002C4FFC"/>
    <w:rsid w:val="002C5A82"/>
    <w:rsid w:val="002D567E"/>
    <w:rsid w:val="002D6EAB"/>
    <w:rsid w:val="002E522E"/>
    <w:rsid w:val="002E5D6C"/>
    <w:rsid w:val="003006A3"/>
    <w:rsid w:val="00302AE3"/>
    <w:rsid w:val="003066D7"/>
    <w:rsid w:val="003116B8"/>
    <w:rsid w:val="003135FD"/>
    <w:rsid w:val="00313EAE"/>
    <w:rsid w:val="00315885"/>
    <w:rsid w:val="003170CC"/>
    <w:rsid w:val="00326909"/>
    <w:rsid w:val="00327244"/>
    <w:rsid w:val="003310A5"/>
    <w:rsid w:val="00332E45"/>
    <w:rsid w:val="00333376"/>
    <w:rsid w:val="00335CD6"/>
    <w:rsid w:val="00340474"/>
    <w:rsid w:val="0034229B"/>
    <w:rsid w:val="00342FC6"/>
    <w:rsid w:val="00343DC9"/>
    <w:rsid w:val="0034633E"/>
    <w:rsid w:val="00346F6B"/>
    <w:rsid w:val="00347DB4"/>
    <w:rsid w:val="0035229E"/>
    <w:rsid w:val="0035291C"/>
    <w:rsid w:val="00352F10"/>
    <w:rsid w:val="00355A1D"/>
    <w:rsid w:val="00355C78"/>
    <w:rsid w:val="00356392"/>
    <w:rsid w:val="003575A6"/>
    <w:rsid w:val="0036477D"/>
    <w:rsid w:val="003709BE"/>
    <w:rsid w:val="00373ABD"/>
    <w:rsid w:val="0037507D"/>
    <w:rsid w:val="0037667A"/>
    <w:rsid w:val="003849A0"/>
    <w:rsid w:val="003865AB"/>
    <w:rsid w:val="00391BBA"/>
    <w:rsid w:val="00395AD3"/>
    <w:rsid w:val="00396422"/>
    <w:rsid w:val="003A0E89"/>
    <w:rsid w:val="003A2EBD"/>
    <w:rsid w:val="003A5A9E"/>
    <w:rsid w:val="003A6FEA"/>
    <w:rsid w:val="003A7941"/>
    <w:rsid w:val="003B7B6B"/>
    <w:rsid w:val="003C0208"/>
    <w:rsid w:val="003C0A97"/>
    <w:rsid w:val="003C15A6"/>
    <w:rsid w:val="003C25D6"/>
    <w:rsid w:val="003C28A1"/>
    <w:rsid w:val="003D0C25"/>
    <w:rsid w:val="003D1A4D"/>
    <w:rsid w:val="003D32D2"/>
    <w:rsid w:val="003D6F56"/>
    <w:rsid w:val="003D7495"/>
    <w:rsid w:val="003E165D"/>
    <w:rsid w:val="003E525F"/>
    <w:rsid w:val="003E613E"/>
    <w:rsid w:val="003E66D3"/>
    <w:rsid w:val="003F3E15"/>
    <w:rsid w:val="003F71AC"/>
    <w:rsid w:val="00400E85"/>
    <w:rsid w:val="00403165"/>
    <w:rsid w:val="0040547A"/>
    <w:rsid w:val="0041050B"/>
    <w:rsid w:val="0041402E"/>
    <w:rsid w:val="00416177"/>
    <w:rsid w:val="0041635D"/>
    <w:rsid w:val="004164CC"/>
    <w:rsid w:val="0041721C"/>
    <w:rsid w:val="004252D7"/>
    <w:rsid w:val="00425390"/>
    <w:rsid w:val="00426FF5"/>
    <w:rsid w:val="00427D66"/>
    <w:rsid w:val="00430D8C"/>
    <w:rsid w:val="00430D8E"/>
    <w:rsid w:val="004312B1"/>
    <w:rsid w:val="004335B7"/>
    <w:rsid w:val="0044058A"/>
    <w:rsid w:val="00441E9B"/>
    <w:rsid w:val="004440AD"/>
    <w:rsid w:val="004457EE"/>
    <w:rsid w:val="0044755E"/>
    <w:rsid w:val="00451D0E"/>
    <w:rsid w:val="004544FC"/>
    <w:rsid w:val="00456AC2"/>
    <w:rsid w:val="00457A2F"/>
    <w:rsid w:val="00457DB1"/>
    <w:rsid w:val="00473E3E"/>
    <w:rsid w:val="00475FAA"/>
    <w:rsid w:val="0047766A"/>
    <w:rsid w:val="00477B1C"/>
    <w:rsid w:val="0048005A"/>
    <w:rsid w:val="00480E9D"/>
    <w:rsid w:val="00484672"/>
    <w:rsid w:val="004855F8"/>
    <w:rsid w:val="00485E8F"/>
    <w:rsid w:val="00487EC6"/>
    <w:rsid w:val="00494E2A"/>
    <w:rsid w:val="00495E1A"/>
    <w:rsid w:val="004A0DF7"/>
    <w:rsid w:val="004A1A46"/>
    <w:rsid w:val="004A383B"/>
    <w:rsid w:val="004A54C7"/>
    <w:rsid w:val="004B2F8B"/>
    <w:rsid w:val="004B3449"/>
    <w:rsid w:val="004B5C0F"/>
    <w:rsid w:val="004C0F0C"/>
    <w:rsid w:val="004C2A00"/>
    <w:rsid w:val="004C3791"/>
    <w:rsid w:val="004C3871"/>
    <w:rsid w:val="004C477B"/>
    <w:rsid w:val="004C65D0"/>
    <w:rsid w:val="004C7B00"/>
    <w:rsid w:val="004C7CBF"/>
    <w:rsid w:val="004D1421"/>
    <w:rsid w:val="004D4F59"/>
    <w:rsid w:val="004D5DA1"/>
    <w:rsid w:val="004D64C9"/>
    <w:rsid w:val="004E0A23"/>
    <w:rsid w:val="004E0AE9"/>
    <w:rsid w:val="004E1019"/>
    <w:rsid w:val="004E16F4"/>
    <w:rsid w:val="004E321D"/>
    <w:rsid w:val="004E4B7B"/>
    <w:rsid w:val="004F381A"/>
    <w:rsid w:val="005015E2"/>
    <w:rsid w:val="005026A8"/>
    <w:rsid w:val="005051EC"/>
    <w:rsid w:val="00506093"/>
    <w:rsid w:val="00511340"/>
    <w:rsid w:val="0051152C"/>
    <w:rsid w:val="00511FD5"/>
    <w:rsid w:val="005124FE"/>
    <w:rsid w:val="005143FC"/>
    <w:rsid w:val="00515306"/>
    <w:rsid w:val="005165A5"/>
    <w:rsid w:val="005170A0"/>
    <w:rsid w:val="00517567"/>
    <w:rsid w:val="005216F6"/>
    <w:rsid w:val="005225C9"/>
    <w:rsid w:val="0052436D"/>
    <w:rsid w:val="005245C0"/>
    <w:rsid w:val="00530022"/>
    <w:rsid w:val="005311F6"/>
    <w:rsid w:val="0053226F"/>
    <w:rsid w:val="00533066"/>
    <w:rsid w:val="005333AE"/>
    <w:rsid w:val="00534217"/>
    <w:rsid w:val="0053570B"/>
    <w:rsid w:val="005362AF"/>
    <w:rsid w:val="005368D0"/>
    <w:rsid w:val="00547308"/>
    <w:rsid w:val="00547AF1"/>
    <w:rsid w:val="00550657"/>
    <w:rsid w:val="00551047"/>
    <w:rsid w:val="005512DF"/>
    <w:rsid w:val="005522B8"/>
    <w:rsid w:val="005547BA"/>
    <w:rsid w:val="00556138"/>
    <w:rsid w:val="00556511"/>
    <w:rsid w:val="00562002"/>
    <w:rsid w:val="005653E1"/>
    <w:rsid w:val="005670F3"/>
    <w:rsid w:val="00571F06"/>
    <w:rsid w:val="00572A6E"/>
    <w:rsid w:val="005740A2"/>
    <w:rsid w:val="00575330"/>
    <w:rsid w:val="0057543E"/>
    <w:rsid w:val="005755E4"/>
    <w:rsid w:val="005760AD"/>
    <w:rsid w:val="005762E8"/>
    <w:rsid w:val="00576368"/>
    <w:rsid w:val="005800DF"/>
    <w:rsid w:val="0058032E"/>
    <w:rsid w:val="005820D3"/>
    <w:rsid w:val="005824A8"/>
    <w:rsid w:val="00582F0F"/>
    <w:rsid w:val="00586F7D"/>
    <w:rsid w:val="00591DD9"/>
    <w:rsid w:val="0059205E"/>
    <w:rsid w:val="00593139"/>
    <w:rsid w:val="00597F56"/>
    <w:rsid w:val="005A100B"/>
    <w:rsid w:val="005A42E1"/>
    <w:rsid w:val="005A442E"/>
    <w:rsid w:val="005A4AA2"/>
    <w:rsid w:val="005A5E8E"/>
    <w:rsid w:val="005B21E0"/>
    <w:rsid w:val="005B24A2"/>
    <w:rsid w:val="005B283E"/>
    <w:rsid w:val="005B5AE6"/>
    <w:rsid w:val="005B6040"/>
    <w:rsid w:val="005B7713"/>
    <w:rsid w:val="005B7B1B"/>
    <w:rsid w:val="005C0A34"/>
    <w:rsid w:val="005C18B5"/>
    <w:rsid w:val="005C2577"/>
    <w:rsid w:val="005C28D6"/>
    <w:rsid w:val="005C359E"/>
    <w:rsid w:val="005C432D"/>
    <w:rsid w:val="005C7255"/>
    <w:rsid w:val="005C74D7"/>
    <w:rsid w:val="005C788C"/>
    <w:rsid w:val="005D154F"/>
    <w:rsid w:val="005D28AA"/>
    <w:rsid w:val="005D2A93"/>
    <w:rsid w:val="005D2FD9"/>
    <w:rsid w:val="005D4D9A"/>
    <w:rsid w:val="005D6FBD"/>
    <w:rsid w:val="005E05C0"/>
    <w:rsid w:val="005E289B"/>
    <w:rsid w:val="005E2A57"/>
    <w:rsid w:val="005E4517"/>
    <w:rsid w:val="005E4A13"/>
    <w:rsid w:val="005E64E6"/>
    <w:rsid w:val="005E75D1"/>
    <w:rsid w:val="005E775A"/>
    <w:rsid w:val="005F2FBF"/>
    <w:rsid w:val="005F3F1A"/>
    <w:rsid w:val="005F441F"/>
    <w:rsid w:val="005F557F"/>
    <w:rsid w:val="005F6910"/>
    <w:rsid w:val="0060254A"/>
    <w:rsid w:val="006027A4"/>
    <w:rsid w:val="006037B0"/>
    <w:rsid w:val="00607EC9"/>
    <w:rsid w:val="00610FC4"/>
    <w:rsid w:val="006122C1"/>
    <w:rsid w:val="00612323"/>
    <w:rsid w:val="006128B7"/>
    <w:rsid w:val="00613041"/>
    <w:rsid w:val="00616587"/>
    <w:rsid w:val="006175FD"/>
    <w:rsid w:val="0062090F"/>
    <w:rsid w:val="00621DBA"/>
    <w:rsid w:val="00622218"/>
    <w:rsid w:val="006229F3"/>
    <w:rsid w:val="00623DE9"/>
    <w:rsid w:val="00625947"/>
    <w:rsid w:val="00627AB9"/>
    <w:rsid w:val="00630F3B"/>
    <w:rsid w:val="00631812"/>
    <w:rsid w:val="00633B37"/>
    <w:rsid w:val="006357E0"/>
    <w:rsid w:val="00635D6B"/>
    <w:rsid w:val="0063774F"/>
    <w:rsid w:val="006438CE"/>
    <w:rsid w:val="00644A7D"/>
    <w:rsid w:val="00644AB7"/>
    <w:rsid w:val="00645ECA"/>
    <w:rsid w:val="00653CC7"/>
    <w:rsid w:val="00660E12"/>
    <w:rsid w:val="00660E38"/>
    <w:rsid w:val="006634EA"/>
    <w:rsid w:val="00665380"/>
    <w:rsid w:val="006655D3"/>
    <w:rsid w:val="006672EB"/>
    <w:rsid w:val="0067459D"/>
    <w:rsid w:val="006755AB"/>
    <w:rsid w:val="00675DF9"/>
    <w:rsid w:val="00677923"/>
    <w:rsid w:val="00683891"/>
    <w:rsid w:val="00685BAC"/>
    <w:rsid w:val="00686594"/>
    <w:rsid w:val="006925DE"/>
    <w:rsid w:val="0069363D"/>
    <w:rsid w:val="006960AD"/>
    <w:rsid w:val="00696AC4"/>
    <w:rsid w:val="006A0122"/>
    <w:rsid w:val="006A0BBE"/>
    <w:rsid w:val="006A3EF9"/>
    <w:rsid w:val="006A40CF"/>
    <w:rsid w:val="006A4B44"/>
    <w:rsid w:val="006B41CD"/>
    <w:rsid w:val="006B4C5A"/>
    <w:rsid w:val="006B5582"/>
    <w:rsid w:val="006C175A"/>
    <w:rsid w:val="006C51C0"/>
    <w:rsid w:val="006C5E80"/>
    <w:rsid w:val="006D2384"/>
    <w:rsid w:val="006D6A06"/>
    <w:rsid w:val="006E1C84"/>
    <w:rsid w:val="006E2247"/>
    <w:rsid w:val="006E35A5"/>
    <w:rsid w:val="006E3E7D"/>
    <w:rsid w:val="006E4778"/>
    <w:rsid w:val="006E774B"/>
    <w:rsid w:val="006F2294"/>
    <w:rsid w:val="006F25E9"/>
    <w:rsid w:val="006F31B0"/>
    <w:rsid w:val="006F3F1E"/>
    <w:rsid w:val="006F7EB6"/>
    <w:rsid w:val="00700148"/>
    <w:rsid w:val="00704B46"/>
    <w:rsid w:val="0070507A"/>
    <w:rsid w:val="00705A16"/>
    <w:rsid w:val="00705C1E"/>
    <w:rsid w:val="00705E83"/>
    <w:rsid w:val="00707AF7"/>
    <w:rsid w:val="00711AE9"/>
    <w:rsid w:val="00711BE8"/>
    <w:rsid w:val="00713024"/>
    <w:rsid w:val="007144D8"/>
    <w:rsid w:val="00716B83"/>
    <w:rsid w:val="0072098D"/>
    <w:rsid w:val="00720F51"/>
    <w:rsid w:val="00721C92"/>
    <w:rsid w:val="0072232A"/>
    <w:rsid w:val="0072267E"/>
    <w:rsid w:val="0072473F"/>
    <w:rsid w:val="00725006"/>
    <w:rsid w:val="00725D7E"/>
    <w:rsid w:val="00731657"/>
    <w:rsid w:val="0073240E"/>
    <w:rsid w:val="007344EE"/>
    <w:rsid w:val="00735B9E"/>
    <w:rsid w:val="007377EB"/>
    <w:rsid w:val="0074037F"/>
    <w:rsid w:val="0074474D"/>
    <w:rsid w:val="00747EDE"/>
    <w:rsid w:val="007502C3"/>
    <w:rsid w:val="00750761"/>
    <w:rsid w:val="0075659C"/>
    <w:rsid w:val="007606FB"/>
    <w:rsid w:val="00765FEF"/>
    <w:rsid w:val="00770050"/>
    <w:rsid w:val="00770A7E"/>
    <w:rsid w:val="007719D8"/>
    <w:rsid w:val="007728B9"/>
    <w:rsid w:val="00772D4A"/>
    <w:rsid w:val="00773D76"/>
    <w:rsid w:val="0077609F"/>
    <w:rsid w:val="007815AD"/>
    <w:rsid w:val="007868B7"/>
    <w:rsid w:val="00791631"/>
    <w:rsid w:val="00795909"/>
    <w:rsid w:val="00796BD7"/>
    <w:rsid w:val="00797DBD"/>
    <w:rsid w:val="00797E14"/>
    <w:rsid w:val="007A0E58"/>
    <w:rsid w:val="007A70D2"/>
    <w:rsid w:val="007A7EB9"/>
    <w:rsid w:val="007B252B"/>
    <w:rsid w:val="007C1CF8"/>
    <w:rsid w:val="007C24FB"/>
    <w:rsid w:val="007C26CB"/>
    <w:rsid w:val="007C3280"/>
    <w:rsid w:val="007D1C61"/>
    <w:rsid w:val="007D3086"/>
    <w:rsid w:val="007D483A"/>
    <w:rsid w:val="007D5516"/>
    <w:rsid w:val="007D5E50"/>
    <w:rsid w:val="007D6C3B"/>
    <w:rsid w:val="007E3050"/>
    <w:rsid w:val="00800044"/>
    <w:rsid w:val="00802E6C"/>
    <w:rsid w:val="00803AE3"/>
    <w:rsid w:val="0080492D"/>
    <w:rsid w:val="008127C6"/>
    <w:rsid w:val="008128F2"/>
    <w:rsid w:val="00814D71"/>
    <w:rsid w:val="00815534"/>
    <w:rsid w:val="008163BC"/>
    <w:rsid w:val="008209CF"/>
    <w:rsid w:val="00824F3D"/>
    <w:rsid w:val="0083518E"/>
    <w:rsid w:val="00836B73"/>
    <w:rsid w:val="008371CC"/>
    <w:rsid w:val="00837C68"/>
    <w:rsid w:val="008403DE"/>
    <w:rsid w:val="00841F87"/>
    <w:rsid w:val="00850486"/>
    <w:rsid w:val="00850B3D"/>
    <w:rsid w:val="0085594C"/>
    <w:rsid w:val="00856A7D"/>
    <w:rsid w:val="00857796"/>
    <w:rsid w:val="0086077D"/>
    <w:rsid w:val="00861AD3"/>
    <w:rsid w:val="0086290E"/>
    <w:rsid w:val="008663B1"/>
    <w:rsid w:val="0086690E"/>
    <w:rsid w:val="00870876"/>
    <w:rsid w:val="008721A8"/>
    <w:rsid w:val="0087563C"/>
    <w:rsid w:val="00880AFA"/>
    <w:rsid w:val="00881BCF"/>
    <w:rsid w:val="00881D1E"/>
    <w:rsid w:val="008828F5"/>
    <w:rsid w:val="00882BD6"/>
    <w:rsid w:val="00883F3E"/>
    <w:rsid w:val="00885541"/>
    <w:rsid w:val="00890427"/>
    <w:rsid w:val="00892505"/>
    <w:rsid w:val="008926ED"/>
    <w:rsid w:val="00895426"/>
    <w:rsid w:val="008A7B8A"/>
    <w:rsid w:val="008B3E08"/>
    <w:rsid w:val="008B589A"/>
    <w:rsid w:val="008B7501"/>
    <w:rsid w:val="008C1545"/>
    <w:rsid w:val="008C1797"/>
    <w:rsid w:val="008C3D70"/>
    <w:rsid w:val="008C3E08"/>
    <w:rsid w:val="008C613E"/>
    <w:rsid w:val="008D0FCC"/>
    <w:rsid w:val="008D1A5A"/>
    <w:rsid w:val="008D4C93"/>
    <w:rsid w:val="008D5077"/>
    <w:rsid w:val="008E1523"/>
    <w:rsid w:val="008E5A4B"/>
    <w:rsid w:val="008E5A69"/>
    <w:rsid w:val="008E7CFD"/>
    <w:rsid w:val="008F1FFF"/>
    <w:rsid w:val="008F22F3"/>
    <w:rsid w:val="008F2CC4"/>
    <w:rsid w:val="008F60C9"/>
    <w:rsid w:val="008F65EC"/>
    <w:rsid w:val="008F7B8D"/>
    <w:rsid w:val="00907711"/>
    <w:rsid w:val="00907D97"/>
    <w:rsid w:val="009119E7"/>
    <w:rsid w:val="00913088"/>
    <w:rsid w:val="0091677A"/>
    <w:rsid w:val="00917401"/>
    <w:rsid w:val="00920A9D"/>
    <w:rsid w:val="00921FBB"/>
    <w:rsid w:val="00922E29"/>
    <w:rsid w:val="00922F4F"/>
    <w:rsid w:val="00923432"/>
    <w:rsid w:val="00925140"/>
    <w:rsid w:val="00931E62"/>
    <w:rsid w:val="00933006"/>
    <w:rsid w:val="0093584A"/>
    <w:rsid w:val="009363E0"/>
    <w:rsid w:val="00940766"/>
    <w:rsid w:val="00941B11"/>
    <w:rsid w:val="00943798"/>
    <w:rsid w:val="00944989"/>
    <w:rsid w:val="00945425"/>
    <w:rsid w:val="00946D3A"/>
    <w:rsid w:val="00947786"/>
    <w:rsid w:val="00953481"/>
    <w:rsid w:val="00954EC0"/>
    <w:rsid w:val="0095716B"/>
    <w:rsid w:val="00961637"/>
    <w:rsid w:val="00965A8A"/>
    <w:rsid w:val="00966249"/>
    <w:rsid w:val="00967604"/>
    <w:rsid w:val="00976041"/>
    <w:rsid w:val="0097729B"/>
    <w:rsid w:val="00984075"/>
    <w:rsid w:val="00985A4B"/>
    <w:rsid w:val="00985D15"/>
    <w:rsid w:val="009902A1"/>
    <w:rsid w:val="00990BE4"/>
    <w:rsid w:val="00993C69"/>
    <w:rsid w:val="00994D07"/>
    <w:rsid w:val="009955F1"/>
    <w:rsid w:val="009A56EF"/>
    <w:rsid w:val="009A638D"/>
    <w:rsid w:val="009A6550"/>
    <w:rsid w:val="009A6ED7"/>
    <w:rsid w:val="009B22EB"/>
    <w:rsid w:val="009B5011"/>
    <w:rsid w:val="009C1B78"/>
    <w:rsid w:val="009C2BDD"/>
    <w:rsid w:val="009E3613"/>
    <w:rsid w:val="009E3617"/>
    <w:rsid w:val="009E5282"/>
    <w:rsid w:val="009E731C"/>
    <w:rsid w:val="009F01CA"/>
    <w:rsid w:val="009F367B"/>
    <w:rsid w:val="009F3CD0"/>
    <w:rsid w:val="009F5F8F"/>
    <w:rsid w:val="009F6378"/>
    <w:rsid w:val="00A03A69"/>
    <w:rsid w:val="00A0659C"/>
    <w:rsid w:val="00A079CA"/>
    <w:rsid w:val="00A12F9E"/>
    <w:rsid w:val="00A14923"/>
    <w:rsid w:val="00A15806"/>
    <w:rsid w:val="00A1626C"/>
    <w:rsid w:val="00A174E4"/>
    <w:rsid w:val="00A21704"/>
    <w:rsid w:val="00A219AF"/>
    <w:rsid w:val="00A21C5E"/>
    <w:rsid w:val="00A22988"/>
    <w:rsid w:val="00A24FA2"/>
    <w:rsid w:val="00A3002A"/>
    <w:rsid w:val="00A3207E"/>
    <w:rsid w:val="00A3235D"/>
    <w:rsid w:val="00A33D2E"/>
    <w:rsid w:val="00A352C3"/>
    <w:rsid w:val="00A36042"/>
    <w:rsid w:val="00A364E7"/>
    <w:rsid w:val="00A43FBA"/>
    <w:rsid w:val="00A468D1"/>
    <w:rsid w:val="00A52D45"/>
    <w:rsid w:val="00A54313"/>
    <w:rsid w:val="00A54DC4"/>
    <w:rsid w:val="00A552E7"/>
    <w:rsid w:val="00A564A3"/>
    <w:rsid w:val="00A61472"/>
    <w:rsid w:val="00A63391"/>
    <w:rsid w:val="00A65ADD"/>
    <w:rsid w:val="00A70A76"/>
    <w:rsid w:val="00A70B53"/>
    <w:rsid w:val="00A76177"/>
    <w:rsid w:val="00A77A3C"/>
    <w:rsid w:val="00A8775E"/>
    <w:rsid w:val="00A87923"/>
    <w:rsid w:val="00A9158D"/>
    <w:rsid w:val="00A94C57"/>
    <w:rsid w:val="00A95804"/>
    <w:rsid w:val="00AA1919"/>
    <w:rsid w:val="00AA1AF6"/>
    <w:rsid w:val="00AA23A2"/>
    <w:rsid w:val="00AA29D7"/>
    <w:rsid w:val="00AA5848"/>
    <w:rsid w:val="00AB0F0D"/>
    <w:rsid w:val="00AB559C"/>
    <w:rsid w:val="00AB61E2"/>
    <w:rsid w:val="00AB65ED"/>
    <w:rsid w:val="00AB7F6F"/>
    <w:rsid w:val="00AC0DA4"/>
    <w:rsid w:val="00AC1374"/>
    <w:rsid w:val="00AC3FD0"/>
    <w:rsid w:val="00AC5754"/>
    <w:rsid w:val="00AD3F9E"/>
    <w:rsid w:val="00AD671D"/>
    <w:rsid w:val="00AD70AF"/>
    <w:rsid w:val="00AE109A"/>
    <w:rsid w:val="00AE28AB"/>
    <w:rsid w:val="00AE35BD"/>
    <w:rsid w:val="00AE75AB"/>
    <w:rsid w:val="00AE7E7D"/>
    <w:rsid w:val="00AF01CF"/>
    <w:rsid w:val="00AF0B0F"/>
    <w:rsid w:val="00AF184F"/>
    <w:rsid w:val="00AF1ABD"/>
    <w:rsid w:val="00AF3D40"/>
    <w:rsid w:val="00AF47D6"/>
    <w:rsid w:val="00AF71AC"/>
    <w:rsid w:val="00AF7978"/>
    <w:rsid w:val="00B006AC"/>
    <w:rsid w:val="00B0454B"/>
    <w:rsid w:val="00B0513D"/>
    <w:rsid w:val="00B160C1"/>
    <w:rsid w:val="00B168DE"/>
    <w:rsid w:val="00B16A17"/>
    <w:rsid w:val="00B17D28"/>
    <w:rsid w:val="00B17E38"/>
    <w:rsid w:val="00B21A89"/>
    <w:rsid w:val="00B22FAF"/>
    <w:rsid w:val="00B2474C"/>
    <w:rsid w:val="00B2515A"/>
    <w:rsid w:val="00B324B0"/>
    <w:rsid w:val="00B34993"/>
    <w:rsid w:val="00B34CBB"/>
    <w:rsid w:val="00B35D3A"/>
    <w:rsid w:val="00B41A0B"/>
    <w:rsid w:val="00B42C02"/>
    <w:rsid w:val="00B4608F"/>
    <w:rsid w:val="00B46502"/>
    <w:rsid w:val="00B467AE"/>
    <w:rsid w:val="00B470F0"/>
    <w:rsid w:val="00B50EB9"/>
    <w:rsid w:val="00B5129C"/>
    <w:rsid w:val="00B51D72"/>
    <w:rsid w:val="00B53786"/>
    <w:rsid w:val="00B56D89"/>
    <w:rsid w:val="00B6010D"/>
    <w:rsid w:val="00B617FD"/>
    <w:rsid w:val="00B620BA"/>
    <w:rsid w:val="00B6265E"/>
    <w:rsid w:val="00B64CE4"/>
    <w:rsid w:val="00B67DB5"/>
    <w:rsid w:val="00B75118"/>
    <w:rsid w:val="00B76B0A"/>
    <w:rsid w:val="00B813E1"/>
    <w:rsid w:val="00B81B26"/>
    <w:rsid w:val="00B81ED0"/>
    <w:rsid w:val="00B82C58"/>
    <w:rsid w:val="00B83EE5"/>
    <w:rsid w:val="00B87791"/>
    <w:rsid w:val="00B90A15"/>
    <w:rsid w:val="00B92104"/>
    <w:rsid w:val="00B93E59"/>
    <w:rsid w:val="00B9439A"/>
    <w:rsid w:val="00B959B2"/>
    <w:rsid w:val="00B97BA8"/>
    <w:rsid w:val="00BA280F"/>
    <w:rsid w:val="00BA3415"/>
    <w:rsid w:val="00BB02EB"/>
    <w:rsid w:val="00BB087E"/>
    <w:rsid w:val="00BB3220"/>
    <w:rsid w:val="00BB438D"/>
    <w:rsid w:val="00BB5846"/>
    <w:rsid w:val="00BB69DB"/>
    <w:rsid w:val="00BC0508"/>
    <w:rsid w:val="00BC1CFF"/>
    <w:rsid w:val="00BC28A8"/>
    <w:rsid w:val="00BC2DA4"/>
    <w:rsid w:val="00BC3BBF"/>
    <w:rsid w:val="00BC41BF"/>
    <w:rsid w:val="00BC58AE"/>
    <w:rsid w:val="00BD3819"/>
    <w:rsid w:val="00BD47A7"/>
    <w:rsid w:val="00BD7975"/>
    <w:rsid w:val="00BE374B"/>
    <w:rsid w:val="00BE4E0E"/>
    <w:rsid w:val="00BE5424"/>
    <w:rsid w:val="00BE5694"/>
    <w:rsid w:val="00BE5ADD"/>
    <w:rsid w:val="00BE747C"/>
    <w:rsid w:val="00C00066"/>
    <w:rsid w:val="00C01EF3"/>
    <w:rsid w:val="00C02A2B"/>
    <w:rsid w:val="00C02AAE"/>
    <w:rsid w:val="00C0440B"/>
    <w:rsid w:val="00C14353"/>
    <w:rsid w:val="00C23A6F"/>
    <w:rsid w:val="00C242AC"/>
    <w:rsid w:val="00C24847"/>
    <w:rsid w:val="00C270D3"/>
    <w:rsid w:val="00C30D3D"/>
    <w:rsid w:val="00C3123B"/>
    <w:rsid w:val="00C313E5"/>
    <w:rsid w:val="00C327F3"/>
    <w:rsid w:val="00C332A5"/>
    <w:rsid w:val="00C34936"/>
    <w:rsid w:val="00C35D1C"/>
    <w:rsid w:val="00C36307"/>
    <w:rsid w:val="00C43A48"/>
    <w:rsid w:val="00C47AE2"/>
    <w:rsid w:val="00C47FDE"/>
    <w:rsid w:val="00C51A4C"/>
    <w:rsid w:val="00C52E83"/>
    <w:rsid w:val="00C54866"/>
    <w:rsid w:val="00C54A69"/>
    <w:rsid w:val="00C565E8"/>
    <w:rsid w:val="00C57EF6"/>
    <w:rsid w:val="00C634B1"/>
    <w:rsid w:val="00C63A92"/>
    <w:rsid w:val="00C666E8"/>
    <w:rsid w:val="00C72E1F"/>
    <w:rsid w:val="00C73790"/>
    <w:rsid w:val="00C746F1"/>
    <w:rsid w:val="00C81BE2"/>
    <w:rsid w:val="00C82F5F"/>
    <w:rsid w:val="00C83F23"/>
    <w:rsid w:val="00C86225"/>
    <w:rsid w:val="00C906A2"/>
    <w:rsid w:val="00C909EF"/>
    <w:rsid w:val="00C91237"/>
    <w:rsid w:val="00C91513"/>
    <w:rsid w:val="00C91DA6"/>
    <w:rsid w:val="00CA0662"/>
    <w:rsid w:val="00CA0B20"/>
    <w:rsid w:val="00CA198D"/>
    <w:rsid w:val="00CA2765"/>
    <w:rsid w:val="00CA29E0"/>
    <w:rsid w:val="00CA56E7"/>
    <w:rsid w:val="00CA75DA"/>
    <w:rsid w:val="00CA79F8"/>
    <w:rsid w:val="00CA7F16"/>
    <w:rsid w:val="00CB7D42"/>
    <w:rsid w:val="00CC068D"/>
    <w:rsid w:val="00CC069A"/>
    <w:rsid w:val="00CC521E"/>
    <w:rsid w:val="00CC72E9"/>
    <w:rsid w:val="00CD419A"/>
    <w:rsid w:val="00CE65EF"/>
    <w:rsid w:val="00CE6F0C"/>
    <w:rsid w:val="00CF3D33"/>
    <w:rsid w:val="00CF4042"/>
    <w:rsid w:val="00CF56D3"/>
    <w:rsid w:val="00CF6856"/>
    <w:rsid w:val="00CF77D9"/>
    <w:rsid w:val="00D045C1"/>
    <w:rsid w:val="00D10F47"/>
    <w:rsid w:val="00D13031"/>
    <w:rsid w:val="00D14BFF"/>
    <w:rsid w:val="00D170D3"/>
    <w:rsid w:val="00D200A4"/>
    <w:rsid w:val="00D21EEC"/>
    <w:rsid w:val="00D2436F"/>
    <w:rsid w:val="00D30120"/>
    <w:rsid w:val="00D37BF0"/>
    <w:rsid w:val="00D42AE0"/>
    <w:rsid w:val="00D467CD"/>
    <w:rsid w:val="00D539A6"/>
    <w:rsid w:val="00D548AE"/>
    <w:rsid w:val="00D56C3A"/>
    <w:rsid w:val="00D57F80"/>
    <w:rsid w:val="00D601CE"/>
    <w:rsid w:val="00D60D2D"/>
    <w:rsid w:val="00D60E8C"/>
    <w:rsid w:val="00D63A9E"/>
    <w:rsid w:val="00D64A48"/>
    <w:rsid w:val="00D67D98"/>
    <w:rsid w:val="00D67F36"/>
    <w:rsid w:val="00D700C6"/>
    <w:rsid w:val="00D7188D"/>
    <w:rsid w:val="00D74368"/>
    <w:rsid w:val="00D76018"/>
    <w:rsid w:val="00D7641B"/>
    <w:rsid w:val="00D764A2"/>
    <w:rsid w:val="00D776B9"/>
    <w:rsid w:val="00D83B8A"/>
    <w:rsid w:val="00D878BB"/>
    <w:rsid w:val="00D9123F"/>
    <w:rsid w:val="00D93E74"/>
    <w:rsid w:val="00D9427F"/>
    <w:rsid w:val="00D94629"/>
    <w:rsid w:val="00DA2490"/>
    <w:rsid w:val="00DA2C71"/>
    <w:rsid w:val="00DA7E57"/>
    <w:rsid w:val="00DB0A57"/>
    <w:rsid w:val="00DB1C12"/>
    <w:rsid w:val="00DB21C4"/>
    <w:rsid w:val="00DB3EC4"/>
    <w:rsid w:val="00DB45C1"/>
    <w:rsid w:val="00DB4F89"/>
    <w:rsid w:val="00DB5034"/>
    <w:rsid w:val="00DB561D"/>
    <w:rsid w:val="00DB7505"/>
    <w:rsid w:val="00DC4B7F"/>
    <w:rsid w:val="00DC7955"/>
    <w:rsid w:val="00DC7F67"/>
    <w:rsid w:val="00DD2B5F"/>
    <w:rsid w:val="00DD6BC5"/>
    <w:rsid w:val="00DD6E11"/>
    <w:rsid w:val="00DE24D8"/>
    <w:rsid w:val="00DE2D59"/>
    <w:rsid w:val="00DE2FA9"/>
    <w:rsid w:val="00DE36C9"/>
    <w:rsid w:val="00DE5273"/>
    <w:rsid w:val="00DE6EC6"/>
    <w:rsid w:val="00DF6344"/>
    <w:rsid w:val="00E0153A"/>
    <w:rsid w:val="00E018BC"/>
    <w:rsid w:val="00E02FCC"/>
    <w:rsid w:val="00E02FE6"/>
    <w:rsid w:val="00E0395E"/>
    <w:rsid w:val="00E03C2C"/>
    <w:rsid w:val="00E042C6"/>
    <w:rsid w:val="00E07129"/>
    <w:rsid w:val="00E14A09"/>
    <w:rsid w:val="00E1555D"/>
    <w:rsid w:val="00E1637C"/>
    <w:rsid w:val="00E200E7"/>
    <w:rsid w:val="00E22E1A"/>
    <w:rsid w:val="00E243BE"/>
    <w:rsid w:val="00E250E3"/>
    <w:rsid w:val="00E271F9"/>
    <w:rsid w:val="00E27435"/>
    <w:rsid w:val="00E27AFC"/>
    <w:rsid w:val="00E30545"/>
    <w:rsid w:val="00E31576"/>
    <w:rsid w:val="00E3194D"/>
    <w:rsid w:val="00E31DC1"/>
    <w:rsid w:val="00E32EE2"/>
    <w:rsid w:val="00E379C8"/>
    <w:rsid w:val="00E37E72"/>
    <w:rsid w:val="00E466FD"/>
    <w:rsid w:val="00E508CF"/>
    <w:rsid w:val="00E5221C"/>
    <w:rsid w:val="00E53029"/>
    <w:rsid w:val="00E5659D"/>
    <w:rsid w:val="00E56C54"/>
    <w:rsid w:val="00E607AA"/>
    <w:rsid w:val="00E60B70"/>
    <w:rsid w:val="00E6101C"/>
    <w:rsid w:val="00E619EF"/>
    <w:rsid w:val="00E6305E"/>
    <w:rsid w:val="00E6512A"/>
    <w:rsid w:val="00E65ADC"/>
    <w:rsid w:val="00E66494"/>
    <w:rsid w:val="00E727AF"/>
    <w:rsid w:val="00E7424B"/>
    <w:rsid w:val="00E74C5E"/>
    <w:rsid w:val="00E804B8"/>
    <w:rsid w:val="00E82173"/>
    <w:rsid w:val="00E832B4"/>
    <w:rsid w:val="00E84BAA"/>
    <w:rsid w:val="00E85FDC"/>
    <w:rsid w:val="00E86B38"/>
    <w:rsid w:val="00E92F69"/>
    <w:rsid w:val="00E930E9"/>
    <w:rsid w:val="00E9533C"/>
    <w:rsid w:val="00E95DFE"/>
    <w:rsid w:val="00E95F13"/>
    <w:rsid w:val="00E96364"/>
    <w:rsid w:val="00E965C6"/>
    <w:rsid w:val="00EA01B0"/>
    <w:rsid w:val="00EA0562"/>
    <w:rsid w:val="00EA0A1E"/>
    <w:rsid w:val="00EA0C40"/>
    <w:rsid w:val="00EA1933"/>
    <w:rsid w:val="00EA2061"/>
    <w:rsid w:val="00EA3EFB"/>
    <w:rsid w:val="00EA61DD"/>
    <w:rsid w:val="00EB06FC"/>
    <w:rsid w:val="00EB2BAE"/>
    <w:rsid w:val="00EB45CF"/>
    <w:rsid w:val="00EB49E9"/>
    <w:rsid w:val="00EB4AA1"/>
    <w:rsid w:val="00EB5B2B"/>
    <w:rsid w:val="00EB67C6"/>
    <w:rsid w:val="00EC21D5"/>
    <w:rsid w:val="00EC27D6"/>
    <w:rsid w:val="00EC4017"/>
    <w:rsid w:val="00ED720D"/>
    <w:rsid w:val="00ED7A46"/>
    <w:rsid w:val="00EE07BA"/>
    <w:rsid w:val="00EE0AC7"/>
    <w:rsid w:val="00EE0FA6"/>
    <w:rsid w:val="00EE16AC"/>
    <w:rsid w:val="00EE2537"/>
    <w:rsid w:val="00EE26C5"/>
    <w:rsid w:val="00EE524E"/>
    <w:rsid w:val="00EE7C16"/>
    <w:rsid w:val="00EF098F"/>
    <w:rsid w:val="00EF66A3"/>
    <w:rsid w:val="00EF7D40"/>
    <w:rsid w:val="00F0167D"/>
    <w:rsid w:val="00F01EFA"/>
    <w:rsid w:val="00F03E73"/>
    <w:rsid w:val="00F1094B"/>
    <w:rsid w:val="00F10EEC"/>
    <w:rsid w:val="00F23501"/>
    <w:rsid w:val="00F25286"/>
    <w:rsid w:val="00F25E94"/>
    <w:rsid w:val="00F26401"/>
    <w:rsid w:val="00F27284"/>
    <w:rsid w:val="00F31E32"/>
    <w:rsid w:val="00F3536A"/>
    <w:rsid w:val="00F36BA0"/>
    <w:rsid w:val="00F471E4"/>
    <w:rsid w:val="00F51025"/>
    <w:rsid w:val="00F516A6"/>
    <w:rsid w:val="00F51986"/>
    <w:rsid w:val="00F6419C"/>
    <w:rsid w:val="00F77E3D"/>
    <w:rsid w:val="00F81293"/>
    <w:rsid w:val="00F83C20"/>
    <w:rsid w:val="00F83FAF"/>
    <w:rsid w:val="00F84240"/>
    <w:rsid w:val="00F86CD7"/>
    <w:rsid w:val="00F90E22"/>
    <w:rsid w:val="00F91942"/>
    <w:rsid w:val="00F93AC9"/>
    <w:rsid w:val="00F94D17"/>
    <w:rsid w:val="00F9617C"/>
    <w:rsid w:val="00FA60D5"/>
    <w:rsid w:val="00FA7D6C"/>
    <w:rsid w:val="00FB1142"/>
    <w:rsid w:val="00FB1C2D"/>
    <w:rsid w:val="00FB323B"/>
    <w:rsid w:val="00FB3E3E"/>
    <w:rsid w:val="00FC07FD"/>
    <w:rsid w:val="00FC282E"/>
    <w:rsid w:val="00FC2948"/>
    <w:rsid w:val="00FC43DC"/>
    <w:rsid w:val="00FC577D"/>
    <w:rsid w:val="00FD1C04"/>
    <w:rsid w:val="00FD48D6"/>
    <w:rsid w:val="00FE057C"/>
    <w:rsid w:val="00FE2091"/>
    <w:rsid w:val="00FE2284"/>
    <w:rsid w:val="00FE2BC7"/>
    <w:rsid w:val="00FE3F38"/>
    <w:rsid w:val="00FE407B"/>
    <w:rsid w:val="00FE6C78"/>
    <w:rsid w:val="00FF078E"/>
    <w:rsid w:val="00FF0B87"/>
    <w:rsid w:val="00FF16BD"/>
    <w:rsid w:val="00FF1A21"/>
    <w:rsid w:val="00FF2692"/>
    <w:rsid w:val="00FF4A3F"/>
    <w:rsid w:val="2BCFF02A"/>
    <w:rsid w:val="6EFFCE1F"/>
    <w:rsid w:val="7DAF51B9"/>
    <w:rsid w:val="BAF30455"/>
    <w:rsid w:val="DF47F927"/>
    <w:rsid w:val="EEF5E25F"/>
    <w:rsid w:val="EF4F379B"/>
    <w:rsid w:val="EF71BB50"/>
    <w:rsid w:val="EFED6A1E"/>
    <w:rsid w:val="FBFDBCA8"/>
    <w:rsid w:val="FDFF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 w:locked="1"/>
    <w:lsdException w:qFormat="1" w:uiPriority="9" w:semiHidden="0" w:name="heading 3" w:locked="1"/>
    <w:lsdException w:qFormat="1" w:uiPriority="9" w:semiHidden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99" w:semiHidden="0" w:name="index 1"/>
    <w:lsdException w:unhideWhenUsed="0" w:uiPriority="99" w:semiHidden="0" w:name="index 2"/>
    <w:lsdException w:unhideWhenUsed="0" w:uiPriority="99" w:semiHidden="0" w:name="index 3"/>
    <w:lsdException w:unhideWhenUsed="0" w:uiPriority="99" w:semiHidden="0" w:name="index 4"/>
    <w:lsdException w:unhideWhenUsed="0" w:uiPriority="99" w:semiHidden="0" w:name="index 5"/>
    <w:lsdException w:unhideWhenUsed="0" w:uiPriority="99" w:semiHidden="0" w:name="index 6"/>
    <w:lsdException w:unhideWhenUsed="0" w:uiPriority="99" w:semiHidden="0" w:name="index 7"/>
    <w:lsdException w:unhideWhenUsed="0" w:uiPriority="99" w:semiHidden="0" w:name="index 8"/>
    <w:lsdException w:unhideWhenUsed="0" w:uiPriority="99" w:semiHidden="0" w:name="index 9"/>
    <w:lsdException w:qFormat="1" w:unhideWhenUsed="0" w:uiPriority="39" w:semiHidden="0" w:name="toc 1" w:locked="1"/>
    <w:lsdException w:qFormat="1" w:unhideWhenUsed="0" w:uiPriority="39" w:semiHidden="0" w:name="toc 2" w:locked="1"/>
    <w:lsdException w:qFormat="1" w:unhideWhenUsed="0" w:uiPriority="39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99" w:semiHidden="0" w:name="Normal Indent"/>
    <w:lsdException w:unhideWhenUsed="0" w:uiPriority="99" w:semiHidden="0" w:name="footnote text"/>
    <w:lsdException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99" w:semiHidden="0" w:name="index heading"/>
    <w:lsdException w:qFormat="1" w:uiPriority="0" w:name="caption" w:locked="1"/>
    <w:lsdException w:unhideWhenUsed="0" w:uiPriority="99" w:semiHidden="0" w:name="table of figures"/>
    <w:lsdException w:unhideWhenUsed="0" w:uiPriority="99" w:semiHidden="0" w:name="envelope address"/>
    <w:lsdException w:unhideWhenUsed="0" w:uiPriority="99" w:semiHidden="0" w:name="envelope return"/>
    <w:lsdException w:unhideWhenUsed="0" w:uiPriority="99" w:semiHidden="0" w:name="footnote reference"/>
    <w:lsdException w:unhideWhenUsed="0" w:uiPriority="99" w:semiHidden="0" w:name="annotation reference"/>
    <w:lsdException w:unhideWhenUsed="0" w:uiPriority="99" w:semiHidden="0" w:name="line number"/>
    <w:lsdException w:qFormat="1" w:unhideWhenUsed="0" w:uiPriority="99" w:semiHidden="0" w:name="page number"/>
    <w:lsdException w:unhideWhenUsed="0" w:uiPriority="99" w:semiHidden="0" w:name="endnote reference"/>
    <w:lsdException w:unhideWhenUsed="0" w:uiPriority="99" w:semiHidden="0" w:name="endnote text"/>
    <w:lsdException w:unhideWhenUsed="0" w:uiPriority="99" w:semiHidden="0" w:name="table of authorities"/>
    <w:lsdException w:unhideWhenUsed="0" w:uiPriority="99" w:semiHidden="0" w:name="macro"/>
    <w:lsdException w:unhideWhenUsed="0" w:uiPriority="99" w:semiHidden="0" w:name="toa heading"/>
    <w:lsdException w:unhideWhenUsed="0" w:uiPriority="99" w:semiHidden="0" w:name="List"/>
    <w:lsdException w:unhideWhenUsed="0" w:uiPriority="99" w:semiHidden="0" w:name="List Bullet"/>
    <w:lsdException w:uiPriority="99" w:name="List Number"/>
    <w:lsdException w:unhideWhenUsed="0" w:uiPriority="99" w:semiHidden="0" w:name="List 2"/>
    <w:lsdException w:unhideWhenUsed="0" w:uiPriority="99" w:semiHidden="0" w:name="List 3"/>
    <w:lsdException w:uiPriority="99" w:name="List 4"/>
    <w:lsdException w:uiPriority="99" w:name="List 5"/>
    <w:lsdException w:unhideWhenUsed="0" w:uiPriority="99" w:semiHidden="0" w:name="List Bullet 2"/>
    <w:lsdException w:unhideWhenUsed="0" w:uiPriority="99" w:semiHidden="0" w:name="List Bullet 3"/>
    <w:lsdException w:unhideWhenUsed="0" w:uiPriority="99" w:semiHidden="0" w:name="List Bullet 4"/>
    <w:lsdException w:unhideWhenUsed="0" w:uiPriority="99" w:semiHidden="0" w:name="List Bullet 5"/>
    <w:lsdException w:unhideWhenUsed="0" w:uiPriority="99" w:semiHidden="0" w:name="List Number 2"/>
    <w:lsdException w:unhideWhenUsed="0" w:uiPriority="99" w:semiHidden="0" w:name="List Number 3"/>
    <w:lsdException w:unhideWhenUsed="0" w:uiPriority="99" w:semiHidden="0" w:name="List Number 4"/>
    <w:lsdException w:unhideWhenUsed="0" w:uiPriority="99" w:semiHidden="0" w:name="List Number 5"/>
    <w:lsdException w:qFormat="1" w:unhideWhenUsed="0" w:uiPriority="0" w:semiHidden="0" w:name="Title" w:locked="1"/>
    <w:lsdException w:unhideWhenUsed="0" w:uiPriority="99" w:semiHidden="0" w:name="Closing"/>
    <w:lsdException w:unhideWhenUsed="0" w:uiPriority="99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99" w:semiHidden="0" w:name="Body Text Indent"/>
    <w:lsdException w:unhideWhenUsed="0" w:uiPriority="99" w:semiHidden="0" w:name="List Continue"/>
    <w:lsdException w:unhideWhenUsed="0" w:uiPriority="99" w:semiHidden="0" w:name="List Continue 2"/>
    <w:lsdException w:unhideWhenUsed="0" w:uiPriority="99" w:semiHidden="0" w:name="List Continue 3"/>
    <w:lsdException w:unhideWhenUsed="0" w:uiPriority="99" w:semiHidden="0" w:name="List Continue 4"/>
    <w:lsdException w:unhideWhenUsed="0" w:uiPriority="99" w:semiHidden="0" w:name="List Continue 5"/>
    <w:lsdException w:unhideWhenUsed="0" w:uiPriority="99" w:semiHidden="0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nhideWhenUsed="0" w:uiPriority="99" w:semiHidden="0" w:name="Body Text First Indent 2"/>
    <w:lsdException w:unhideWhenUsed="0" w:uiPriority="99" w:semiHidden="0" w:name="Note Heading"/>
    <w:lsdException w:unhideWhenUsed="0" w:uiPriority="99" w:semiHidden="0" w:name="Body Text 2"/>
    <w:lsdException w:unhideWhenUsed="0" w:uiPriority="99" w:semiHidden="0" w:name="Body Text 3"/>
    <w:lsdException w:unhideWhenUsed="0" w:uiPriority="99" w:semiHidden="0" w:name="Body Text Indent 2"/>
    <w:lsdException w:unhideWhenUsed="0" w:uiPriority="99" w:semiHidden="0" w:name="Body Text Indent 3"/>
    <w:lsdException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99" w:semiHidden="0" w:name="Document Map"/>
    <w:lsdException w:unhideWhenUsed="0" w:uiPriority="99" w:semiHidden="0" w:name="Plain Text"/>
    <w:lsdException w:unhideWhenUsed="0" w:uiPriority="99" w:semiHidden="0" w:name="E-mail Signature"/>
    <w:lsdException w:unhideWhenUsed="0" w:uiPriority="99" w:semiHidden="0" w:name="Normal (Web)"/>
    <w:lsdException w:unhideWhenUsed="0" w:uiPriority="99" w:semiHidden="0" w:name="HTML Acronym"/>
    <w:lsdException w:unhideWhenUsed="0" w:uiPriority="99" w:semiHidden="0" w:name="HTML Address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nhideWhenUsed="0" w:uiPriority="99" w:semiHidden="0" w:name="HTML Keyboard"/>
    <w:lsdException w:unhideWhenUsed="0" w:uiPriority="99" w:semiHidden="0" w:name="HTML Preformatted"/>
    <w:lsdException w:unhideWhenUsed="0" w:uiPriority="99" w:semiHidden="0" w:name="HTML Sample"/>
    <w:lsdException w:unhideWhenUsed="0" w:uiPriority="99" w:semiHidden="0" w:name="HTML Typewriter"/>
    <w:lsdException w:unhideWhenUsed="0" w:uiPriority="99" w:semiHidden="0" w:name="HTML Variable"/>
    <w:lsdException w:qFormat="1" w:uiPriority="99" w:name="Normal Table"/>
    <w:lsdException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ind w:right="-1333"/>
      <w:outlineLvl w:val="0"/>
    </w:pPr>
    <w:rPr>
      <w:sz w:val="28"/>
    </w:rPr>
  </w:style>
  <w:style w:type="paragraph" w:styleId="3">
    <w:name w:val="heading 2"/>
    <w:basedOn w:val="1"/>
    <w:next w:val="1"/>
    <w:link w:val="20"/>
    <w:unhideWhenUsed/>
    <w:qFormat/>
    <w:locked/>
    <w:uiPriority w:val="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21"/>
    <w:unhideWhenUsed/>
    <w:qFormat/>
    <w:locked/>
    <w:uiPriority w:val="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4"/>
    <w:basedOn w:val="1"/>
    <w:next w:val="1"/>
    <w:link w:val="22"/>
    <w:unhideWhenUsed/>
    <w:qFormat/>
    <w:locked/>
    <w:uiPriority w:val="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6"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9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styleId="10">
    <w:name w:val="page number"/>
    <w:basedOn w:val="6"/>
    <w:qFormat/>
    <w:uiPriority w:val="99"/>
    <w:rPr>
      <w:rFonts w:cs="Times New Roman"/>
    </w:rPr>
  </w:style>
  <w:style w:type="paragraph" w:styleId="11">
    <w:name w:val="Balloon Text"/>
    <w:basedOn w:val="1"/>
    <w:link w:val="30"/>
    <w:semiHidden/>
    <w:qFormat/>
    <w:uiPriority w:val="99"/>
    <w:rPr>
      <w:rFonts w:ascii="Tahoma" w:hAnsi="Tahoma" w:cs="Tahoma"/>
      <w:sz w:val="16"/>
      <w:szCs w:val="16"/>
    </w:rPr>
  </w:style>
  <w:style w:type="paragraph" w:styleId="12">
    <w:name w:val="header"/>
    <w:basedOn w:val="1"/>
    <w:link w:val="23"/>
    <w:qFormat/>
    <w:uiPriority w:val="99"/>
    <w:pPr>
      <w:tabs>
        <w:tab w:val="center" w:pos="4677"/>
        <w:tab w:val="right" w:pos="9355"/>
      </w:tabs>
    </w:pPr>
  </w:style>
  <w:style w:type="paragraph" w:styleId="13">
    <w:name w:val="Body Text"/>
    <w:basedOn w:val="1"/>
    <w:link w:val="42"/>
    <w:qFormat/>
    <w:uiPriority w:val="1"/>
    <w:pPr>
      <w:widowControl w:val="0"/>
      <w:autoSpaceDE w:val="0"/>
      <w:autoSpaceDN w:val="0"/>
    </w:pPr>
    <w:rPr>
      <w:lang w:eastAsia="en-US"/>
    </w:rPr>
  </w:style>
  <w:style w:type="paragraph" w:styleId="14">
    <w:name w:val="toc 1"/>
    <w:basedOn w:val="1"/>
    <w:next w:val="1"/>
    <w:qFormat/>
    <w:locked/>
    <w:uiPriority w:val="39"/>
    <w:pPr>
      <w:tabs>
        <w:tab w:val="right" w:leader="dot" w:pos="9836"/>
      </w:tabs>
    </w:pPr>
  </w:style>
  <w:style w:type="paragraph" w:styleId="15">
    <w:name w:val="toc 3"/>
    <w:basedOn w:val="1"/>
    <w:next w:val="1"/>
    <w:qFormat/>
    <w:locked/>
    <w:uiPriority w:val="39"/>
    <w:pPr>
      <w:tabs>
        <w:tab w:val="right" w:leader="dot" w:pos="9836"/>
      </w:tabs>
      <w:ind w:left="480"/>
    </w:pPr>
  </w:style>
  <w:style w:type="paragraph" w:styleId="16">
    <w:name w:val="toc 2"/>
    <w:basedOn w:val="1"/>
    <w:next w:val="1"/>
    <w:qFormat/>
    <w:locked/>
    <w:uiPriority w:val="39"/>
    <w:pPr>
      <w:ind w:left="240"/>
    </w:pPr>
  </w:style>
  <w:style w:type="paragraph" w:styleId="17">
    <w:name w:val="footer"/>
    <w:basedOn w:val="1"/>
    <w:link w:val="28"/>
    <w:qFormat/>
    <w:uiPriority w:val="99"/>
    <w:pPr>
      <w:tabs>
        <w:tab w:val="center" w:pos="4677"/>
        <w:tab w:val="right" w:pos="9355"/>
      </w:tabs>
    </w:pPr>
  </w:style>
  <w:style w:type="table" w:styleId="18">
    <w:name w:val="Table Grid"/>
    <w:basedOn w:val="7"/>
    <w:qFormat/>
    <w:uiPriority w:val="39"/>
    <w:rPr>
      <w:rFonts w:ascii="Times New Roman" w:hAnsi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9">
    <w:name w:val="Заголовок 1 Знак"/>
    <w:basedOn w:val="6"/>
    <w:link w:val="2"/>
    <w:qFormat/>
    <w:locked/>
    <w:uiPriority w:val="99"/>
    <w:rPr>
      <w:rFonts w:ascii="Times New Roman" w:hAnsi="Times New Roman" w:cs="Times New Roman"/>
      <w:sz w:val="24"/>
      <w:lang w:val="zh-CN" w:eastAsia="ru-RU"/>
    </w:rPr>
  </w:style>
  <w:style w:type="character" w:customStyle="1" w:styleId="20">
    <w:name w:val="Заголовок 2 Знак"/>
    <w:basedOn w:val="6"/>
    <w:link w:val="3"/>
    <w:qFormat/>
    <w:locked/>
    <w:uiPriority w:val="9"/>
    <w:rPr>
      <w:rFonts w:ascii="Cambria" w:hAnsi="Cambria" w:cs="Times New Roman"/>
      <w:b/>
      <w:i/>
      <w:sz w:val="28"/>
    </w:rPr>
  </w:style>
  <w:style w:type="character" w:customStyle="1" w:styleId="21">
    <w:name w:val="Заголовок 3 Знак"/>
    <w:basedOn w:val="6"/>
    <w:link w:val="4"/>
    <w:qFormat/>
    <w:locked/>
    <w:uiPriority w:val="9"/>
    <w:rPr>
      <w:rFonts w:ascii="Cambria" w:hAnsi="Cambria" w:cs="Times New Roman"/>
      <w:b/>
      <w:sz w:val="26"/>
    </w:rPr>
  </w:style>
  <w:style w:type="character" w:customStyle="1" w:styleId="22">
    <w:name w:val="Заголовок 4 Знак"/>
    <w:basedOn w:val="6"/>
    <w:link w:val="5"/>
    <w:qFormat/>
    <w:locked/>
    <w:uiPriority w:val="9"/>
    <w:rPr>
      <w:rFonts w:ascii="Calibri" w:hAnsi="Calibri" w:cs="Times New Roman"/>
      <w:b/>
      <w:sz w:val="28"/>
    </w:rPr>
  </w:style>
  <w:style w:type="character" w:customStyle="1" w:styleId="23">
    <w:name w:val="Верхний колонтитул Знак"/>
    <w:basedOn w:val="6"/>
    <w:link w:val="12"/>
    <w:qFormat/>
    <w:locked/>
    <w:uiPriority w:val="99"/>
    <w:rPr>
      <w:rFonts w:ascii="Times New Roman" w:hAnsi="Times New Roman" w:cs="Times New Roman"/>
      <w:sz w:val="24"/>
      <w:lang w:val="zh-CN" w:eastAsia="ru-RU"/>
    </w:rPr>
  </w:style>
  <w:style w:type="paragraph" w:customStyle="1" w:styleId="24">
    <w:name w:val="ConsNonformat"/>
    <w:qFormat/>
    <w:uiPriority w:val="99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paragraph" w:customStyle="1" w:styleId="25">
    <w:name w:val="ConsTitle"/>
    <w:qFormat/>
    <w:uiPriority w:val="99"/>
    <w:pPr>
      <w:widowControl w:val="0"/>
      <w:autoSpaceDE w:val="0"/>
      <w:autoSpaceDN w:val="0"/>
      <w:adjustRightInd w:val="0"/>
    </w:pPr>
    <w:rPr>
      <w:rFonts w:ascii="Arial" w:hAnsi="Arial" w:eastAsia="Times New Roman" w:cs="Arial"/>
      <w:b/>
      <w:bCs/>
      <w:lang w:val="ru-RU" w:eastAsia="ru-RU" w:bidi="ar-SA"/>
    </w:rPr>
  </w:style>
  <w:style w:type="paragraph" w:customStyle="1" w:styleId="26">
    <w:name w:val="ConsNormal"/>
    <w:qFormat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paragraph" w:customStyle="1" w:styleId="27">
    <w:name w:val="ConsCell"/>
    <w:qFormat/>
    <w:uiPriority w:val="99"/>
    <w:pPr>
      <w:widowControl w:val="0"/>
      <w:autoSpaceDE w:val="0"/>
      <w:autoSpaceDN w:val="0"/>
      <w:adjustRightInd w:val="0"/>
    </w:pPr>
    <w:rPr>
      <w:rFonts w:ascii="Arial" w:hAnsi="Arial" w:eastAsia="Times New Roman" w:cs="Arial"/>
      <w:lang w:val="ru-RU" w:eastAsia="ru-RU" w:bidi="ar-SA"/>
    </w:rPr>
  </w:style>
  <w:style w:type="character" w:customStyle="1" w:styleId="28">
    <w:name w:val="Нижний колонтитул Знак"/>
    <w:basedOn w:val="6"/>
    <w:link w:val="17"/>
    <w:qFormat/>
    <w:locked/>
    <w:uiPriority w:val="99"/>
    <w:rPr>
      <w:rFonts w:ascii="Times New Roman" w:hAnsi="Times New Roman" w:cs="Times New Roman"/>
      <w:sz w:val="24"/>
      <w:lang w:val="zh-CN" w:eastAsia="ru-RU"/>
    </w:rPr>
  </w:style>
  <w:style w:type="paragraph" w:customStyle="1" w:styleId="29">
    <w:name w:val="ConsPlusNormal"/>
    <w:qFormat/>
    <w:uiPriority w:val="0"/>
    <w:pPr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character" w:customStyle="1" w:styleId="30">
    <w:name w:val="Текст выноски Знак"/>
    <w:basedOn w:val="6"/>
    <w:link w:val="11"/>
    <w:semiHidden/>
    <w:qFormat/>
    <w:locked/>
    <w:uiPriority w:val="99"/>
    <w:rPr>
      <w:rFonts w:ascii="Tahoma" w:hAnsi="Tahoma" w:cs="Times New Roman"/>
      <w:sz w:val="16"/>
      <w:lang w:val="zh-CN" w:eastAsia="ru-RU"/>
    </w:rPr>
  </w:style>
  <w:style w:type="paragraph" w:customStyle="1" w:styleId="31">
    <w:name w:val="ConsPlusNonformat"/>
    <w:qFormat/>
    <w:uiPriority w:val="0"/>
    <w:pPr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paragraph" w:customStyle="1" w:styleId="32">
    <w:name w:val="ConsPlusTitle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Times New Roman" w:cs="Arial"/>
      <w:b/>
      <w:bCs/>
      <w:lang w:val="ru-RU" w:eastAsia="ru-RU" w:bidi="ar-SA"/>
    </w:rPr>
  </w:style>
  <w:style w:type="paragraph" w:customStyle="1" w:styleId="33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customStyle="1" w:styleId="34">
    <w:name w:val="Заголовок оглавления1"/>
    <w:basedOn w:val="2"/>
    <w:next w:val="1"/>
    <w:unhideWhenUsed/>
    <w:qFormat/>
    <w:uiPriority w:val="39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</w:rPr>
  </w:style>
  <w:style w:type="character" w:customStyle="1" w:styleId="35">
    <w:name w:val="Название книги1"/>
    <w:basedOn w:val="6"/>
    <w:qFormat/>
    <w:uiPriority w:val="33"/>
    <w:rPr>
      <w:rFonts w:cs="Times New Roman"/>
      <w:b/>
      <w:smallCaps/>
      <w:spacing w:val="5"/>
    </w:rPr>
  </w:style>
  <w:style w:type="table" w:customStyle="1" w:styleId="36">
    <w:name w:val="Сетка таблицы1"/>
    <w:basedOn w:val="7"/>
    <w:qFormat/>
    <w:uiPriority w:val="99"/>
    <w:rPr>
      <w:rFonts w:ascii="Times New Roman" w:hAnsi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37">
    <w:name w:val="Стиль1"/>
    <w:basedOn w:val="2"/>
    <w:link w:val="38"/>
    <w:qFormat/>
    <w:uiPriority w:val="0"/>
    <w:pPr>
      <w:tabs>
        <w:tab w:val="left" w:pos="9923"/>
      </w:tabs>
      <w:spacing w:line="360" w:lineRule="auto"/>
      <w:ind w:right="-77"/>
      <w:jc w:val="center"/>
    </w:pPr>
    <w:rPr>
      <w:b/>
      <w:sz w:val="24"/>
      <w:lang w:val="en-US"/>
    </w:rPr>
  </w:style>
  <w:style w:type="character" w:customStyle="1" w:styleId="38">
    <w:name w:val="Стиль1 Знак"/>
    <w:link w:val="37"/>
    <w:qFormat/>
    <w:locked/>
    <w:uiPriority w:val="0"/>
    <w:rPr>
      <w:rFonts w:ascii="Times New Roman" w:hAnsi="Times New Roman"/>
      <w:b/>
      <w:sz w:val="24"/>
      <w:lang w:val="en-US" w:eastAsia="ru-RU"/>
    </w:rPr>
  </w:style>
  <w:style w:type="table" w:customStyle="1" w:styleId="39">
    <w:name w:val="Сетка таблицы2"/>
    <w:basedOn w:val="7"/>
    <w:qFormat/>
    <w:uiPriority w:val="39"/>
    <w:rPr>
      <w:rFonts w:cs="Times New Roman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40">
    <w:name w:val="Font Style13"/>
    <w:qFormat/>
    <w:uiPriority w:val="99"/>
    <w:rPr>
      <w:rFonts w:ascii="Times New Roman" w:hAnsi="Times New Roman"/>
      <w:sz w:val="20"/>
    </w:rPr>
  </w:style>
  <w:style w:type="table" w:customStyle="1" w:styleId="41">
    <w:name w:val="Table Normal"/>
    <w:semiHidden/>
    <w:unhideWhenUsed/>
    <w:qFormat/>
    <w:uiPriority w:val="2"/>
    <w:pPr>
      <w:widowControl w:val="0"/>
      <w:autoSpaceDE w:val="0"/>
      <w:autoSpaceDN w:val="0"/>
    </w:pPr>
    <w:rPr>
      <w:rFonts w:asciiTheme="minorHAnsi" w:hAnsiTheme="minorHAnsi" w:eastAsia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2">
    <w:name w:val="Основной текст Знак"/>
    <w:basedOn w:val="6"/>
    <w:link w:val="13"/>
    <w:qFormat/>
    <w:uiPriority w:val="1"/>
    <w:rPr>
      <w:rFonts w:ascii="Times New Roman" w:hAnsi="Times New Roman" w:cs="Times New Roman"/>
      <w:sz w:val="24"/>
      <w:szCs w:val="24"/>
      <w:lang w:eastAsia="en-US"/>
    </w:rPr>
  </w:style>
  <w:style w:type="paragraph" w:styleId="43">
    <w:name w:val="List Paragraph"/>
    <w:basedOn w:val="1"/>
    <w:qFormat/>
    <w:uiPriority w:val="1"/>
    <w:pPr>
      <w:widowControl w:val="0"/>
      <w:autoSpaceDE w:val="0"/>
      <w:autoSpaceDN w:val="0"/>
      <w:ind w:left="541" w:firstLine="709"/>
      <w:jc w:val="both"/>
    </w:pPr>
    <w:rPr>
      <w:sz w:val="22"/>
      <w:szCs w:val="22"/>
      <w:lang w:eastAsia="en-US"/>
    </w:rPr>
  </w:style>
  <w:style w:type="paragraph" w:customStyle="1" w:styleId="44">
    <w:name w:val="Table Paragraph"/>
    <w:basedOn w:val="1"/>
    <w:qFormat/>
    <w:uiPriority w:val="1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45">
    <w:name w:val="Нормальный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2757</Words>
  <Characters>20852</Characters>
  <Lines>173</Lines>
  <Paragraphs>47</Paragraphs>
  <TotalTime>3</TotalTime>
  <ScaleCrop>false</ScaleCrop>
  <LinksUpToDate>false</LinksUpToDate>
  <CharactersWithSpaces>23562</CharactersWithSpaces>
  <Application>WPS Office_11.1.0.11704_F1E327BC-269C-435d-A152-05C5408002CA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2023-07-02T01:11:00Z</dcterms:created>
  <dc:creator>Захарова</dc:creator>
  <cp:lastModifiedBy>adamov_nv</cp:lastModifiedBy>
  <cp:lastPrinted>2023-07-02T04:09:00Z</cp:lastPrinted>
  <dcterms:modified xsi:type="dcterms:W3CDTF">2024-06-19T17:16:23Z</dcterms:modified>
  <dc:title>МИНИСТЕРСТВО ЖКХ и энергетики РС(Я)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1049-11.1.0.11704</vt:lpwstr>
  </property>
</Properties>
</file>