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>
      <w:pPr>
        <w:pBdr>
          <w:bottom w:val="double" w:color="auto" w:sz="6" w:space="0"/>
        </w:pBd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"http://www.sakha.gov.ru/minjkh" </w:instrText>
      </w:r>
      <w:r>
        <w:fldChar w:fldCharType="separate"/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minjkh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"mailto:mingkx@sakha.gov.ru" </w:instrText>
      </w:r>
      <w:r>
        <w:fldChar w:fldCharType="separate"/>
      </w:r>
      <w:r>
        <w:rPr>
          <w:sz w:val="20"/>
          <w:szCs w:val="20"/>
          <w:lang w:val="en-US"/>
        </w:rPr>
        <w:t>mingkx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</w:p>
    <w:p>
      <w:pPr>
        <w:rPr>
          <w:b/>
          <w:i/>
          <w:szCs w:val="20"/>
        </w:rPr>
      </w:pPr>
    </w:p>
    <w:p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>
      <w:pPr>
        <w:spacing w:line="300" w:lineRule="auto"/>
        <w:rPr>
          <w:szCs w:val="20"/>
        </w:rPr>
      </w:pPr>
      <w:r>
        <w:rPr>
          <w:szCs w:val="20"/>
        </w:rPr>
        <w:t xml:space="preserve">на </w:t>
      </w:r>
      <w:r>
        <w:rPr>
          <w:szCs w:val="20"/>
          <w:u w:val="single"/>
        </w:rPr>
        <w:t xml:space="preserve">                                      </w:t>
      </w:r>
      <w:r>
        <w:rPr>
          <w:szCs w:val="20"/>
        </w:rPr>
        <w:t xml:space="preserve">   от_______________</w:t>
      </w:r>
    </w:p>
    <w:p/>
    <w:p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>
      <w:pPr>
        <w:jc w:val="center"/>
        <w:rPr>
          <w:b/>
          <w:bCs/>
        </w:rPr>
      </w:pPr>
      <w:r>
        <w:rPr>
          <w:b/>
          <w:bCs/>
        </w:rPr>
        <w:t>о проведени</w:t>
      </w:r>
      <w:r>
        <w:rPr>
          <w:b/>
          <w:bCs/>
          <w:lang w:val="ru-RU"/>
        </w:rPr>
        <w:t>и</w:t>
      </w:r>
      <w:r>
        <w:rPr>
          <w:b/>
          <w:bCs/>
        </w:rPr>
        <w:t xml:space="preserve"> оценки регулирующего воздействия проекта нормативного правового акта</w:t>
      </w:r>
    </w:p>
    <w:p/>
    <w:p>
      <w:pPr>
        <w:pStyle w:val="4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Орган-разработчик: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Министерство жилищно-коммунального хозяйства и энергетики Республики Саха (Якутия).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Вид и наименование проекта нормативного правового акта: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Проект </w:t>
      </w:r>
      <w:r>
        <w:rPr>
          <w:rFonts w:hint="default" w:cs="Times New Roman"/>
          <w:sz w:val="24"/>
          <w:szCs w:val="24"/>
          <w:lang w:val="ru-RU"/>
        </w:rPr>
        <w:t>постановления Правительства Республики Саха (Якутия)</w:t>
      </w:r>
      <w:r>
        <w:rPr>
          <w:rFonts w:hint="default"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отходами».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соответствии с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пунктом 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№1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782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 xml:space="preserve">В настоящим момент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поряд</w:t>
      </w:r>
      <w:r>
        <w:rPr>
          <w:rFonts w:hint="default" w:cs="Times New Roman"/>
          <w:sz w:val="24"/>
          <w:szCs w:val="24"/>
          <w:lang w:val="ru-RU"/>
        </w:rPr>
        <w:t>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</w:t>
      </w:r>
      <w:r>
        <w:rPr>
          <w:rFonts w:hint="default" w:cs="Times New Roman"/>
          <w:sz w:val="24"/>
          <w:szCs w:val="24"/>
          <w:lang w:val="ru-RU"/>
        </w:rPr>
        <w:t>, утверждена п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риказ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Министерства жилищно-коммунального хозяйства и энергетики Республики Саха (Якутия) от 29</w:t>
      </w:r>
      <w:r>
        <w:rPr>
          <w:rFonts w:hint="default" w:cs="Times New Roman"/>
          <w:sz w:val="24"/>
          <w:szCs w:val="24"/>
          <w:lang w:val="ru-RU"/>
        </w:rPr>
        <w:t>.04.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2021 </w:t>
      </w:r>
      <w:r>
        <w:rPr>
          <w:rFonts w:hint="default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181-ОД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>
      <w:pPr>
        <w:pStyle w:val="4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привидения в соответствие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  <w:r>
        <w:rPr>
          <w:rFonts w:ascii="Times New Roman" w:hAnsi="Times New Roman" w:cs="Times New Roman"/>
          <w:sz w:val="24"/>
          <w:szCs w:val="24"/>
        </w:rPr>
        <w:t>Субсидия предоставляется в рамках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утвержденной постановлением Правительства, Республики Саха (Якутия) от 18.07.2022 № 443.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Проект приводит в соответствие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порядка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</w:t>
      </w:r>
    </w:p>
    <w:p>
      <w:pPr>
        <w:pStyle w:val="43"/>
        <w:numPr>
          <w:ilvl w:val="0"/>
          <w:numId w:val="0"/>
        </w:numPr>
        <w:spacing w:line="276" w:lineRule="auto"/>
        <w:ind w:left="567" w:left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Контактная информация исполнителя в органе-разработчике:</w:t>
      </w:r>
    </w:p>
    <w:p>
      <w:pPr>
        <w:spacing w:line="276" w:lineRule="auto"/>
        <w:ind w:firstLine="567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Ф.И.О.: </w:t>
      </w:r>
      <w:r>
        <w:rPr>
          <w:rFonts w:hint="default" w:cs="Times New Roman"/>
          <w:sz w:val="24"/>
          <w:szCs w:val="24"/>
          <w:highlight w:val="none"/>
          <w:lang w:val="ru-RU"/>
        </w:rPr>
        <w:t>Кюндяйцев Айаал Вениаминович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Должность: </w:t>
      </w:r>
      <w:r>
        <w:rPr>
          <w:rFonts w:hint="default" w:cs="Times New Roman"/>
          <w:sz w:val="24"/>
          <w:szCs w:val="24"/>
          <w:highlight w:val="none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директора ГАУ РС(Я) «Центр развития жилищно-коммунального хозяйства и повышения энергоэффективности»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Телефон (4112) 50</w:t>
      </w:r>
      <w:r>
        <w:rPr>
          <w:rFonts w:hint="default" w:cs="Times New Roman"/>
          <w:sz w:val="24"/>
          <w:szCs w:val="24"/>
          <w:highlight w:val="none"/>
          <w:lang w:val="ru-RU"/>
        </w:rPr>
        <w:t>9861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Адрес электронной почты: </w: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begin"/>
      </w:r>
      <w:r>
        <w:rPr>
          <w:rFonts w:hint="default" w:cs="Times New Roman"/>
          <w:sz w:val="24"/>
          <w:szCs w:val="24"/>
          <w:highlight w:val="none"/>
          <w:lang w:val="ru-RU"/>
        </w:rPr>
        <w:instrText xml:space="preserve"> HYPERLINK "mailto:omim@centerjkh.ru" </w:instrTex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separate"/>
      </w:r>
      <w:r>
        <w:rPr>
          <w:rStyle w:val="9"/>
          <w:rFonts w:hint="default" w:cs="Times New Roman"/>
          <w:sz w:val="24"/>
          <w:szCs w:val="24"/>
          <w:highlight w:val="none"/>
          <w:lang w:val="ru-RU"/>
        </w:rPr>
        <w:t>omim@centerjkh.ru</w: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end"/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Низкая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spacing w:line="276" w:lineRule="auto"/>
        <w:ind w:firstLine="567"/>
        <w:jc w:val="both"/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роект 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постановления Правительства РС(Я)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содержит положений, предусмотренных абзацами вторым, третьим пункта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1.12 Указ Главы Республики Саха (Якутия) от 19.07.2023 № 2911«Об утверждении Положения об оценке регулирующего воздействия проектов нормативных правовых актов Республики Саха (Якутия), мониторинге фактического воздействия нормативных правовых актов Республики Саха (Якутия) и экспертизе нормативных правовых актов Республики Саха (Якутия)» и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направлен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на повышение устойчивости экономики Республики Саха (Якутия) в условиях санкций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обеспечени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санитарно-эпидемиологического благополучия населения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Таким образом, проект нормативного правового акта относиться к 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низкой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степени регулирующего воздействия.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Формулировка проблемы: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В соответствии с пунктом 8 постановления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 xml:space="preserve">В настоящим момент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поряд</w:t>
      </w:r>
      <w:r>
        <w:rPr>
          <w:rFonts w:hint="default" w:cs="Times New Roman"/>
          <w:sz w:val="24"/>
          <w:szCs w:val="24"/>
          <w:lang w:val="ru-RU"/>
        </w:rPr>
        <w:t>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</w:t>
      </w:r>
      <w:r>
        <w:rPr>
          <w:rFonts w:hint="default" w:cs="Times New Roman"/>
          <w:sz w:val="24"/>
          <w:szCs w:val="24"/>
          <w:lang w:val="ru-RU"/>
        </w:rPr>
        <w:t>, утверждена п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риказ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Министерства жилищно-коммунального хозяйства и энергетики Республики Саха (Якутия) от 29</w:t>
      </w:r>
      <w:r>
        <w:rPr>
          <w:rFonts w:hint="default" w:cs="Times New Roman"/>
          <w:sz w:val="24"/>
          <w:szCs w:val="24"/>
          <w:lang w:val="ru-RU"/>
        </w:rPr>
        <w:t>.04.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2021 </w:t>
      </w:r>
      <w:r>
        <w:rPr>
          <w:rFonts w:hint="default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181-ОД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ind w:firstLine="567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Отсутствует.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(Якутия)»;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hint="default" w:cs="Times New Roman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.0</w:t>
      </w:r>
      <w:r>
        <w:rPr>
          <w:rFonts w:hint="default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.2024 в Республике Саха (Якутия) 12 региональных операторов.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>
      <w:pPr>
        <w:pStyle w:val="43"/>
        <w:numPr>
          <w:ilvl w:val="0"/>
          <w:numId w:val="0"/>
        </w:numPr>
        <w:spacing w:line="276" w:lineRule="auto"/>
        <w:ind w:left="0" w:leftChars="0" w:firstLine="480" w:firstLineChars="20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Невозможность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редоставления субсидии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орядок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(Якутия), утвержден</w:t>
      </w:r>
      <w:r>
        <w:rPr>
          <w:rFonts w:hint="default" w:cs="Times New Roman"/>
          <w:sz w:val="24"/>
          <w:szCs w:val="24"/>
          <w:lang w:val="ru-RU"/>
        </w:rPr>
        <w:t>ная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приказом Министерства жилищно-коммунального хозяйства и энергетики Республики Саха (Якутия) от 29.04.2021 № 181-ОД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 соответствует </w:t>
      </w:r>
      <w:r>
        <w:rPr>
          <w:rFonts w:hint="default" w:ascii="Times New Roman" w:hAnsi="Times New Roman" w:cs="Times New Roman"/>
          <w:sz w:val="24"/>
          <w:szCs w:val="24"/>
        </w:rPr>
        <w:t>постановлени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Иная информация о проблеме: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9"/>
        <w:gridCol w:w="2817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4269" w:type="dxa"/>
          </w:tcPr>
          <w:p>
            <w:pPr>
              <w:pStyle w:val="43"/>
              <w:numPr>
                <w:ilvl w:val="1"/>
                <w:numId w:val="1"/>
              </w:numPr>
              <w:ind w:left="296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817" w:type="dxa"/>
          </w:tcPr>
          <w:p>
            <w:pPr>
              <w:pStyle w:val="43"/>
              <w:numPr>
                <w:ilvl w:val="1"/>
                <w:numId w:val="1"/>
              </w:numPr>
              <w:ind w:left="147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Сроки достижения целей предлагаемого</w:t>
            </w:r>
          </w:p>
          <w:p>
            <w:pPr>
              <w:widowControl w:val="0"/>
              <w:autoSpaceDE w:val="0"/>
              <w:autoSpaceDN w:val="0"/>
              <w:ind w:left="147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правового регулирования</w:t>
            </w:r>
          </w:p>
        </w:tc>
        <w:tc>
          <w:tcPr>
            <w:tcW w:w="2412" w:type="dxa"/>
          </w:tcPr>
          <w:p>
            <w:pPr>
              <w:pStyle w:val="43"/>
              <w:numPr>
                <w:ilvl w:val="1"/>
                <w:numId w:val="1"/>
              </w:numPr>
              <w:ind w:left="16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Периодичность мониторинга</w:t>
            </w:r>
          </w:p>
          <w:p>
            <w:pPr>
              <w:widowControl w:val="0"/>
              <w:autoSpaceDE w:val="0"/>
              <w:autoSpaceDN w:val="0"/>
              <w:ind w:left="16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достижения целей предлагаемого правового регулирования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26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Обеспечение своевременного и обоснованного предоставления субсидий.</w:t>
            </w:r>
          </w:p>
        </w:tc>
        <w:tc>
          <w:tcPr>
            <w:tcW w:w="2817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Со дня вступления нормативного правового акта в законную силу</w:t>
            </w:r>
          </w:p>
        </w:tc>
        <w:tc>
          <w:tcPr>
            <w:tcW w:w="241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Ежегодно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Статья 78 Бюджетного кодекса Российской Федерации;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Постановление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2381"/>
        <w:gridCol w:w="170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839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Индикаторы достижения целей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Единица измерения индикаторов</w:t>
            </w:r>
          </w:p>
        </w:tc>
        <w:tc>
          <w:tcPr>
            <w:tcW w:w="1859" w:type="dxa"/>
          </w:tcPr>
          <w:p>
            <w:pPr>
              <w:pStyle w:val="43"/>
              <w:numPr>
                <w:ilvl w:val="1"/>
                <w:numId w:val="1"/>
              </w:numPr>
              <w:ind w:left="142" w:right="140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Целевые начения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индикаторов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83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Обеспечение своевременного и обоснованного предоставления субсидий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Ед.</w:t>
            </w:r>
          </w:p>
        </w:tc>
        <w:tc>
          <w:tcPr>
            <w:tcW w:w="185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0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информации для расчета индикаторов:</w:t>
      </w:r>
    </w:p>
    <w:p>
      <w:pPr>
        <w:tabs>
          <w:tab w:val="left" w:pos="426"/>
        </w:tabs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086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Группы потенциальных адресатов предлагаемого правового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Количество участников группы</w:t>
            </w:r>
          </w:p>
        </w:tc>
        <w:tc>
          <w:tcPr>
            <w:tcW w:w="20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 xml:space="preserve">Источникиданных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86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</w:t>
            </w:r>
          </w:p>
        </w:tc>
        <w:tc>
          <w:tcPr>
            <w:tcW w:w="255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Более 1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Ведомственная информация уполномоченного органа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требуется.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highlight w:val="yellow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9"/>
        <w:gridCol w:w="1701"/>
        <w:gridCol w:w="1701"/>
        <w:gridCol w:w="1757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329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1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04" w:right="199" w:hanging="50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Предпологае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7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" w:right="133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изменен я потребностей в других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29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9" w:type="dxa"/>
            <w:gridSpan w:val="5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Наименование органа государственной власти: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32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</w:tbl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39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26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79" w:right="398" w:hanging="425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(полномочия, обязанности или права)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(в соответствии с подпунктом 5.1)</w:t>
            </w:r>
          </w:p>
        </w:tc>
        <w:tc>
          <w:tcPr>
            <w:tcW w:w="439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97" w:hanging="79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Виды расходов (возможных поступлений) государственного бюджета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297" w:hanging="79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Количественная оценка расходов и возможных поступлений,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39" w:type="dxa"/>
            <w:gridSpan w:val="3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Наименование органа государственной власти (органа местного самоуправления) (от 1 до K):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или право) 1.1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Периодические расходы (от 1 до N)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или право) 1.N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Периодические расходы (от 1 до N)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единовременные расходы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периодические расходы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возможные доходы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потребуется.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Ведомственная информация уполномоченного органа.</w:t>
      </w:r>
    </w:p>
    <w:p>
      <w:pPr>
        <w:spacing w:line="276" w:lineRule="auto"/>
        <w:ind w:firstLine="284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41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2552"/>
        <w:gridCol w:w="1701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96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Группы потенциальных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3" w:right="300" w:hanging="29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Новые обязанности и ограничения, изменения существующих обязанностей 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" w:right="30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-136" w:right="155" w:firstLine="136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Описание расходов и возможных доходов,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26" w:right="155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right="151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Количественная оценка,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 w:hRule="atLeast"/>
        </w:trPr>
        <w:tc>
          <w:tcPr>
            <w:tcW w:w="3964" w:type="dxa"/>
          </w:tcPr>
          <w:p>
            <w:pPr>
              <w:widowControl w:val="0"/>
              <w:autoSpaceDE w:val="0"/>
              <w:autoSpaceDN w:val="0"/>
              <w:ind w:right="131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(Якутия)»; 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Расходы не предполагаются</w:t>
            </w:r>
          </w:p>
        </w:tc>
        <w:tc>
          <w:tcPr>
            <w:tcW w:w="1896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-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81"/>
        <w:gridCol w:w="241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242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Виды рисков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34" w:firstLine="14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вероятности наступления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34" w:firstLine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неблагоприятных последствий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7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Методы контроля рисков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13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Степень контроля рисков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(полный/частичный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/отсутствует)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2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Риск 1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</w:tbl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Сравнение возможных вариантов решения проблемы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924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977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ind w:left="144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Вариант 1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Вариант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Содержание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варианта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решения проблемы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Принятие настоящего проекта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</w:t>
            </w:r>
            <w:r>
              <w:rPr>
                <w:rFonts w:hint="default" w:cs="Times New Roman" w:eastAsiaTheme="minorHAnsi"/>
                <w:sz w:val="24"/>
                <w:szCs w:val="24"/>
                <w:lang w:val="ru-RU" w:eastAsia="en-US"/>
              </w:rPr>
              <w:t xml:space="preserve"> принятие настоящего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cs="Times New Roman" w:eastAsiaTheme="minorHAnsi"/>
                <w:sz w:val="24"/>
                <w:szCs w:val="24"/>
                <w:lang w:val="ru-RU" w:eastAsia="en-US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Своевременное и обоснованное предоставление субсидий.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Увеличение убытков организаций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год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эффективно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 эффективно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Качественное и своевременное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предоставление услуги по обращению с ТКО на территории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Республики Саха (Якутия)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Не к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ачественное и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не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своевременное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предоставление услуги по обращению с ТКО на территории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Республики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Саха(Якутия)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и иные мероприятия, общий объем затрат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Первый вариант предпочтительнее в целях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ачественно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го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и своевременно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го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предоставления услуги по обращению с ТКО на территории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Республики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>
      <w:pPr>
        <w:spacing w:line="276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>
      <w:pPr>
        <w:pStyle w:val="43"/>
        <w:numPr>
          <w:ilvl w:val="0"/>
          <w:numId w:val="0"/>
        </w:numPr>
        <w:spacing w:line="276" w:lineRule="auto"/>
        <w:ind w:left="567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31 июля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срок переходного периода: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требуется.</w:t>
      </w:r>
    </w:p>
    <w:p>
      <w:pPr>
        <w:pStyle w:val="43"/>
        <w:numPr>
          <w:ilvl w:val="2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Период распространения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требуется.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hint="default" w:ascii="Times New Roman" w:hAnsi="Times New Roman" w:cs="Times New Roman"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spacing w:line="276" w:lineRule="auto"/>
        <w:ind w:firstLine="567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Всего замечаний и предложений: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</w:tcPr>
          <w:p>
            <w:pPr>
              <w:spacing w:after="160" w:line="259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Министр ЖКХ и энергетики РС(Я)</w:t>
            </w:r>
          </w:p>
        </w:tc>
        <w:tc>
          <w:tcPr>
            <w:tcW w:w="4329" w:type="dxa"/>
          </w:tcPr>
          <w:p>
            <w:pPr>
              <w:spacing w:after="160" w:line="259" w:lineRule="auto"/>
            </w:pPr>
            <w:bookmarkStart w:id="1" w:name="SIGNERSTAMP1"/>
            <w:bookmarkEnd w:id="1"/>
          </w:p>
        </w:tc>
        <w:tc>
          <w:tcPr>
            <w:tcW w:w="2836" w:type="dxa"/>
          </w:tcPr>
          <w:p>
            <w:pPr>
              <w:spacing w:after="160" w:line="259" w:lineRule="auto"/>
              <w:jc w:val="center"/>
            </w:pPr>
            <w:bookmarkStart w:id="2" w:name="SIGNERNAME1"/>
            <w:r>
              <w:t xml:space="preserve">      ФИО</w:t>
            </w:r>
            <w:bookmarkEnd w:id="2"/>
          </w:p>
        </w:tc>
      </w:tr>
    </w:tbl>
    <w:p>
      <w:pPr>
        <w:jc w:val="both"/>
      </w:pPr>
    </w:p>
    <w:sectPr>
      <w:footerReference r:id="rId5" w:type="first"/>
      <w:headerReference r:id="rId3" w:type="even"/>
      <w:footerReference r:id="rId4" w:type="even"/>
      <w:pgSz w:w="11906" w:h="16838"/>
      <w:pgMar w:top="851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57</w:t>
    </w:r>
    <w:r>
      <w:rPr>
        <w:rStyle w:val="1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060A6"/>
    <w:multiLevelType w:val="multilevel"/>
    <w:tmpl w:val="3C6060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2BCFF02A"/>
    <w:rsid w:val="6EFFCE1F"/>
    <w:rsid w:val="7DAF51B9"/>
    <w:rsid w:val="BAF30455"/>
    <w:rsid w:val="DF47F927"/>
    <w:rsid w:val="EEF5E25F"/>
    <w:rsid w:val="EF4F379B"/>
    <w:rsid w:val="EF71BB50"/>
    <w:rsid w:val="FBFDBCA8"/>
    <w:rsid w:val="FD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ind w:right="-1333"/>
      <w:outlineLvl w:val="0"/>
    </w:pPr>
    <w:rPr>
      <w:sz w:val="28"/>
    </w:rPr>
  </w:style>
  <w:style w:type="paragraph" w:styleId="3">
    <w:name w:val="heading 2"/>
    <w:basedOn w:val="1"/>
    <w:next w:val="1"/>
    <w:link w:val="20"/>
    <w:unhideWhenUsed/>
    <w:qFormat/>
    <w:locked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locked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locked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6"/>
    <w:qFormat/>
    <w:uiPriority w:val="99"/>
    <w:rPr>
      <w:rFonts w:cs="Times New Roman"/>
    </w:rPr>
  </w:style>
  <w:style w:type="paragraph" w:styleId="11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2"/>
    <w:qFormat/>
    <w:uiPriority w:val="1"/>
    <w:pPr>
      <w:widowControl w:val="0"/>
      <w:autoSpaceDE w:val="0"/>
      <w:autoSpaceDN w:val="0"/>
    </w:pPr>
    <w:rPr>
      <w:lang w:eastAsia="en-US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9836"/>
      </w:tabs>
    </w:pPr>
  </w:style>
  <w:style w:type="paragraph" w:styleId="15">
    <w:name w:val="toc 3"/>
    <w:basedOn w:val="1"/>
    <w:next w:val="1"/>
    <w:qFormat/>
    <w:locked/>
    <w:uiPriority w:val="39"/>
    <w:pPr>
      <w:tabs>
        <w:tab w:val="right" w:leader="dot" w:pos="9836"/>
      </w:tabs>
      <w:ind w:left="480"/>
    </w:pPr>
  </w:style>
  <w:style w:type="paragraph" w:styleId="16">
    <w:name w:val="toc 2"/>
    <w:basedOn w:val="1"/>
    <w:next w:val="1"/>
    <w:qFormat/>
    <w:locked/>
    <w:uiPriority w:val="39"/>
    <w:pPr>
      <w:ind w:left="240"/>
    </w:pPr>
  </w:style>
  <w:style w:type="paragraph" w:styleId="17">
    <w:name w:val="foot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table" w:styleId="18">
    <w:name w:val="Table Grid"/>
    <w:basedOn w:val="7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6"/>
    <w:link w:val="3"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Заголовок 3 Знак"/>
    <w:basedOn w:val="6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Заголовок 4 Знак"/>
    <w:basedOn w:val="6"/>
    <w:link w:val="5"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Верхний колонтитул Знак"/>
    <w:basedOn w:val="6"/>
    <w:link w:val="1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4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6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Con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Нижний колонтитул Знак"/>
    <w:basedOn w:val="6"/>
    <w:link w:val="17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Текст выноски Знак"/>
    <w:basedOn w:val="6"/>
    <w:link w:val="11"/>
    <w:semiHidden/>
    <w:qFormat/>
    <w:locked/>
    <w:uiPriority w:val="99"/>
    <w:rPr>
      <w:rFonts w:ascii="Tahoma" w:hAnsi="Tahoma" w:cs="Times New Roman"/>
      <w:sz w:val="16"/>
      <w:lang w:val="zh-CN" w:eastAsia="ru-RU"/>
    </w:rPr>
  </w:style>
  <w:style w:type="paragraph" w:customStyle="1" w:styleId="31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34">
    <w:name w:val="Заголовок оглавления1"/>
    <w:basedOn w:val="2"/>
    <w:next w:val="1"/>
    <w:unhideWhenUsed/>
    <w:qFormat/>
    <w:uiPriority w:val="39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5">
    <w:name w:val="Название книги1"/>
    <w:basedOn w:val="6"/>
    <w:qFormat/>
    <w:uiPriority w:val="33"/>
    <w:rPr>
      <w:rFonts w:cs="Times New Roman"/>
      <w:b/>
      <w:smallCaps/>
      <w:spacing w:val="5"/>
    </w:rPr>
  </w:style>
  <w:style w:type="table" w:customStyle="1" w:styleId="36">
    <w:name w:val="Сетка таблицы1"/>
    <w:basedOn w:val="7"/>
    <w:qFormat/>
    <w:uiPriority w:val="9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Стиль1"/>
    <w:basedOn w:val="2"/>
    <w:link w:val="38"/>
    <w:qFormat/>
    <w:uiPriority w:val="0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38">
    <w:name w:val="Стиль1 Знак"/>
    <w:link w:val="37"/>
    <w:qFormat/>
    <w:locked/>
    <w:uiPriority w:val="0"/>
    <w:rPr>
      <w:rFonts w:ascii="Times New Roman" w:hAnsi="Times New Roman"/>
      <w:b/>
      <w:sz w:val="24"/>
      <w:lang w:val="en-US" w:eastAsia="ru-RU"/>
    </w:rPr>
  </w:style>
  <w:style w:type="table" w:customStyle="1" w:styleId="39">
    <w:name w:val="Сетка таблицы2"/>
    <w:basedOn w:val="7"/>
    <w:qFormat/>
    <w:uiPriority w:val="39"/>
    <w:rPr>
      <w:rFonts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Font Style13"/>
    <w:qFormat/>
    <w:uiPriority w:val="99"/>
    <w:rPr>
      <w:rFonts w:ascii="Times New Roman" w:hAnsi="Times New Roman"/>
      <w:sz w:val="20"/>
    </w:rPr>
  </w:style>
  <w:style w:type="table" w:customStyle="1" w:styleId="4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Основной текст Знак"/>
    <w:basedOn w:val="6"/>
    <w:link w:val="13"/>
    <w:qFormat/>
    <w:uiPriority w:val="1"/>
    <w:rPr>
      <w:rFonts w:ascii="Times New Roman" w:hAnsi="Times New Roman" w:cs="Times New Roman"/>
      <w:sz w:val="24"/>
      <w:szCs w:val="24"/>
      <w:lang w:eastAsia="en-US"/>
    </w:rPr>
  </w:style>
  <w:style w:type="paragraph" w:styleId="43">
    <w:name w:val="List Paragraph"/>
    <w:basedOn w:val="1"/>
    <w:qFormat/>
    <w:uiPriority w:val="1"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45">
    <w:name w:val="Нормальный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2757</Words>
  <Characters>20852</Characters>
  <Lines>173</Lines>
  <Paragraphs>47</Paragraphs>
  <TotalTime>13</TotalTime>
  <ScaleCrop>false</ScaleCrop>
  <LinksUpToDate>false</LinksUpToDate>
  <CharactersWithSpaces>23562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2023-07-01T16:11:00Z</dcterms:created>
  <dc:creator>Захарова</dc:creator>
  <cp:lastModifiedBy>adamov_nv</cp:lastModifiedBy>
  <cp:lastPrinted>2023-07-01T19:09:00Z</cp:lastPrinted>
  <dcterms:modified xsi:type="dcterms:W3CDTF">2024-06-19T16:25:47Z</dcterms:modified>
  <dc:title>МИНИСТЕРСТВО ЖКХ и энергетики РС(Я)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