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spacing w:after="0" w:line="360" w:lineRule="exact"/>
        <w:ind w:firstLine="0" w:left="-567" w:right="-285"/>
        <w:jc w:val="center"/>
        <w:rPr>
          <w:rFonts w:ascii="Times New Roman" w:hAnsi="Times New Roman"/>
          <w:b w:val="1"/>
          <w:sz w:val="28"/>
        </w:rPr>
      </w:pPr>
      <w:bookmarkStart w:id="1" w:name="_GoBack"/>
      <w:bookmarkEnd w:id="1"/>
      <w:r>
        <w:rPr>
          <w:rFonts w:ascii="Times New Roman" w:hAnsi="Times New Roman"/>
          <w:b w:val="1"/>
          <w:sz w:val="28"/>
        </w:rPr>
        <w:t>СВОДНЫЙ ОТЧЕТ</w:t>
      </w:r>
    </w:p>
    <w:p w14:paraId="08000000">
      <w:pPr>
        <w:spacing w:after="0" w:line="360" w:lineRule="exact"/>
        <w:ind w:firstLine="0" w:left="-567" w:right="-28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результатах проведения оценки регулирующего воздействия</w:t>
      </w:r>
    </w:p>
    <w:p w14:paraId="09000000">
      <w:pPr>
        <w:pStyle w:val="Style_2"/>
        <w:spacing w:line="360" w:lineRule="exact"/>
        <w:ind w:firstLine="0" w:left="-567" w:right="-28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проекта постановления Правительства Республики Саха (Якутия) «</w:t>
      </w: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 xml:space="preserve">б утверждении </w:t>
      </w:r>
      <w:r>
        <w:rPr>
          <w:rFonts w:ascii="Times New Roman" w:hAnsi="Times New Roman"/>
          <w:b w:val="1"/>
          <w:sz w:val="28"/>
        </w:rPr>
        <w:t xml:space="preserve">Порядка </w:t>
      </w:r>
      <w:r>
        <w:rPr>
          <w:rStyle w:val="Style_3_ch"/>
          <w:rFonts w:ascii="Times New Roman" w:hAnsi="Times New Roman"/>
          <w:b w:val="1"/>
          <w:sz w:val="28"/>
        </w:rPr>
        <w:t xml:space="preserve">предоставления субсидии из государственного бюджета Республики Саха (Якутия) на </w:t>
      </w:r>
      <w:r>
        <w:rPr>
          <w:rStyle w:val="Style_3_ch"/>
          <w:rFonts w:ascii="Times New Roman" w:hAnsi="Times New Roman"/>
          <w:b w:val="1"/>
          <w:sz w:val="28"/>
        </w:rPr>
        <w:t xml:space="preserve">возмещение </w:t>
      </w:r>
      <w:r>
        <w:rPr>
          <w:rStyle w:val="Style_3_ch"/>
          <w:rFonts w:ascii="Times New Roman" w:hAnsi="Times New Roman"/>
          <w:b w:val="1"/>
          <w:sz w:val="28"/>
        </w:rPr>
        <w:t>затрат хозяйствующим субъектам на уплату ими лизинговых платежей, возникающи</w:t>
      </w:r>
      <w:r>
        <w:rPr>
          <w:rFonts w:ascii="Times New Roman" w:hAnsi="Times New Roman"/>
          <w:b w:val="1"/>
          <w:sz w:val="28"/>
        </w:rPr>
        <w:t xml:space="preserve">х при приобретении комплексных модульных очистных сооружений (КОС) и проведение отбора получателей </w:t>
      </w:r>
    </w:p>
    <w:p w14:paraId="0A000000">
      <w:pPr>
        <w:pStyle w:val="Style_2"/>
        <w:spacing w:line="360" w:lineRule="exact"/>
        <w:ind w:firstLine="0" w:left="-567" w:right="-28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указанных субсидий»</w:t>
      </w:r>
    </w:p>
    <w:p w14:paraId="0B000000">
      <w:pPr>
        <w:pStyle w:val="Style_2"/>
        <w:spacing w:line="360" w:lineRule="exact"/>
        <w:ind w:firstLine="0" w:left="-567" w:right="-285"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1. Общая информация</w:t>
      </w:r>
    </w:p>
    <w:p w14:paraId="0D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1.1. Орган-разработчик:</w:t>
      </w:r>
    </w:p>
    <w:p w14:paraId="0E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Министерство жилищно-коммунального хозяйства и энергетики Республики Саха (Якутия), (МинЖКХиЭ РС(Я)).</w:t>
      </w:r>
    </w:p>
    <w:p w14:paraId="0F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1.2. Вид и наименование проекта нормативного правового акта:</w:t>
      </w:r>
    </w:p>
    <w:p w14:paraId="10000000">
      <w:pPr>
        <w:pStyle w:val="Style_2"/>
        <w:spacing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проект постановления Правительства Республики Саха (Якутия) «</w:t>
      </w:r>
      <w:r>
        <w:rPr>
          <w:rStyle w:val="Style_2_ch"/>
          <w:rFonts w:ascii="Times New Roman" w:hAnsi="Times New Roman"/>
          <w:sz w:val="28"/>
        </w:rPr>
        <w:t>О</w:t>
      </w:r>
      <w:r>
        <w:rPr>
          <w:rStyle w:val="Style_2_ch"/>
          <w:rFonts w:ascii="Times New Roman" w:hAnsi="Times New Roman"/>
          <w:sz w:val="28"/>
        </w:rPr>
        <w:t xml:space="preserve">б утверждении </w:t>
      </w:r>
      <w:r>
        <w:rPr>
          <w:rStyle w:val="Style_2_ch"/>
          <w:rFonts w:ascii="Times New Roman" w:hAnsi="Times New Roman"/>
          <w:sz w:val="28"/>
        </w:rPr>
        <w:t xml:space="preserve">Порядка </w:t>
      </w:r>
      <w:r>
        <w:rPr>
          <w:rStyle w:val="Style_2_ch"/>
          <w:rFonts w:ascii="Times New Roman" w:hAnsi="Times New Roman"/>
          <w:sz w:val="28"/>
        </w:rPr>
        <w:t xml:space="preserve">предоставления субсидии из государственного бюджета Республики Саха (Якутия) на </w:t>
      </w:r>
      <w:r>
        <w:rPr>
          <w:rStyle w:val="Style_2_ch"/>
          <w:rFonts w:ascii="Times New Roman" w:hAnsi="Times New Roman"/>
          <w:sz w:val="28"/>
        </w:rPr>
        <w:t xml:space="preserve">возмещение </w:t>
      </w:r>
      <w:r>
        <w:rPr>
          <w:rStyle w:val="Style_2_ch"/>
          <w:rFonts w:ascii="Times New Roman" w:hAnsi="Times New Roman"/>
          <w:sz w:val="28"/>
        </w:rPr>
        <w:t>затрат хозяйствующим субъектам на уплату ими лизинговых платежей, возникающи</w:t>
      </w:r>
      <w:r>
        <w:rPr>
          <w:rStyle w:val="Style_2_ch"/>
          <w:rFonts w:ascii="Times New Roman" w:hAnsi="Times New Roman"/>
          <w:sz w:val="28"/>
        </w:rPr>
        <w:t xml:space="preserve">х при приобретении комплексных модульных очистных сооружений (КОС) и проведение отбора получателей </w:t>
      </w:r>
      <w:r>
        <w:rPr>
          <w:rStyle w:val="Style_2_ch"/>
          <w:rFonts w:ascii="Times New Roman" w:hAnsi="Times New Roman"/>
          <w:sz w:val="28"/>
        </w:rPr>
        <w:t>указанных субсидий»</w:t>
      </w:r>
      <w:r>
        <w:rPr>
          <w:rFonts w:ascii="Times New Roman" w:hAnsi="Times New Roman"/>
          <w:color w:val="000000"/>
          <w:sz w:val="28"/>
          <w:u w:val="none"/>
        </w:rPr>
        <w:t xml:space="preserve"> (далее – проект постановления). </w:t>
      </w:r>
    </w:p>
    <w:p w14:paraId="11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1.3. Краткое описание проблемы, на решение которой направлено предлагаемое правовое регулирование:</w:t>
      </w:r>
    </w:p>
    <w:p w14:paraId="12000000">
      <w:pPr>
        <w:pStyle w:val="Style_2"/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реализации Соглашения о сотрудничестве между Республикой Саха (Якутия) и Акционерным обществом «Сбербанк Лизинг», рассмотрен и проанализирован механизм лизингового приобретения комплексных модульных очистных сооружений (КОС).</w:t>
      </w:r>
    </w:p>
    <w:p w14:paraId="13000000">
      <w:pPr>
        <w:pStyle w:val="Style_2"/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1.4. Краткое описание целей предлагаемого правового регулирования:</w:t>
      </w:r>
    </w:p>
    <w:p w14:paraId="14000000">
      <w:pPr>
        <w:tabs>
          <w:tab w:leader="none" w:pos="0" w:val="left"/>
        </w:tabs>
        <w:spacing w:after="0" w:line="360" w:lineRule="exact"/>
        <w:ind w:firstLine="709" w:left="0" w:righ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абзацем шесть подпункта в) пункта 2 Указа </w:t>
      </w:r>
      <w:r>
        <w:rPr>
          <w:rFonts w:ascii="Times New Roman" w:hAnsi="Times New Roman"/>
          <w:sz w:val="28"/>
        </w:rPr>
        <w:t>Главы Республики Саха (Якутия) от 27 сентября 2018 года № 2 «Об экологическом благополучии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Республики Саха (Якутия)»,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Правительству Республики Саха (Якутия) в срок до 1 января 2019 года разработать план мероприятий для достижения приоритетных целей, обозначенных в пункте 1 настоящего Указа, с привлечением механизмов государственно-частного партнерства и внебюджетных источников, с включением основных мероприятий, в том числе мероприятия «Строительство и реконструкция канализационно-очистных сооружений не менее чем в 15 населенных пунктах на территории Республики Саха (Якутия)».</w:t>
      </w:r>
    </w:p>
    <w:p w14:paraId="15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 </w:t>
      </w:r>
      <w:r>
        <w:rPr>
          <w:rFonts w:ascii="Times New Roman" w:hAnsi="Times New Roman"/>
          <w:sz w:val="28"/>
          <w:u w:val="single"/>
        </w:rPr>
        <w:t>Краткое описание содержания предлагаемого правового регулирования:</w:t>
      </w:r>
    </w:p>
    <w:p w14:paraId="16000000">
      <w:pPr>
        <w:numPr>
          <w:numId w:val="1"/>
        </w:num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постан</w:t>
      </w:r>
      <w:r>
        <w:rPr>
          <w:rFonts w:ascii="Times New Roman" w:hAnsi="Times New Roman"/>
          <w:sz w:val="28"/>
        </w:rPr>
        <w:t xml:space="preserve">овления разработан в целях возмещения затрат хозяйствующим субъектам на уплату ими лизинговых платежей, возникших при приобретении комплекса модульных очистных сооружений (КОС) в рамках реализации ведомственного проекта № 6 «Модернизация объектов водоснабжения, водоотведения и очистки сточных вод» Государственной программы Республики Саха (Якутия) «Обеспечение качественными жилищно-коммунальными услугами и развитие энергетики Республики Саха (Якутия)», утвержденной постановлением Правительства Республики Саха (Якутия) от 18 июля 2022 г. № 443. </w:t>
      </w:r>
    </w:p>
    <w:p w14:paraId="17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1.6. Контактная информация исполнителя в органе-разработчике:</w:t>
      </w:r>
    </w:p>
    <w:p w14:paraId="18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Ф.И.О.:</w:t>
      </w:r>
    </w:p>
    <w:p w14:paraId="19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Птицына Алена Иннокентьевна</w:t>
      </w:r>
      <w:r>
        <w:rPr>
          <w:rFonts w:ascii="Times New Roman" w:hAnsi="Times New Roman"/>
          <w:sz w:val="28"/>
        </w:rPr>
        <w:t>___</w:t>
      </w:r>
    </w:p>
    <w:p w14:paraId="1A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Должность:</w:t>
      </w:r>
    </w:p>
    <w:p w14:paraId="1B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главный специалист Департамента коммунального комплекса, энергоэффективности и административной работы Министерства жилищно-коммунального хозяйства и энергетики Республики Саха (Якутия)_____________</w:t>
      </w:r>
      <w:r>
        <w:rPr>
          <w:rFonts w:ascii="Times New Roman" w:hAnsi="Times New Roman"/>
          <w:sz w:val="28"/>
        </w:rPr>
        <w:t>____________</w:t>
      </w:r>
    </w:p>
    <w:p w14:paraId="1C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Тел: </w:t>
      </w:r>
      <w:r>
        <w:rPr>
          <w:rFonts w:ascii="Times New Roman" w:hAnsi="Times New Roman"/>
          <w:sz w:val="28"/>
          <w:u w:val="single"/>
        </w:rPr>
        <w:t>8(4112) 50-68-82, ip 61042</w:t>
      </w:r>
    </w:p>
    <w:p w14:paraId="1D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Адрес электронной почты: mingkx@sakha.gov.ru</w:t>
      </w:r>
    </w:p>
    <w:p w14:paraId="1E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1.7. Степень регулирующего воздействия проекта нормативного правового акта:</w:t>
      </w:r>
    </w:p>
    <w:p w14:paraId="1F000000">
      <w:pPr>
        <w:spacing w:after="0" w:before="0" w:line="360" w:lineRule="exact"/>
        <w:ind w:firstLine="709" w:left="0" w:righ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b w:val="1"/>
          <w:sz w:val="28"/>
          <w:u w:val="none"/>
        </w:rPr>
        <w:t xml:space="preserve">Средняя степень </w:t>
      </w:r>
      <w:r>
        <w:rPr>
          <w:rFonts w:ascii="Times New Roman" w:hAnsi="Times New Roman"/>
          <w:sz w:val="28"/>
          <w:u w:val="none"/>
        </w:rPr>
        <w:t>регулирующего воздействия.</w:t>
      </w:r>
    </w:p>
    <w:p w14:paraId="20000000">
      <w:pPr>
        <w:spacing w:after="0" w:before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1.8. Обоснование отнесения проекта нормативного правового акта к определенной степени регулирующего воздействия:</w:t>
      </w:r>
    </w:p>
    <w:p w14:paraId="21000000">
      <w:pPr>
        <w:spacing w:after="0" w:before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постановления содержит положения,</w:t>
      </w:r>
      <w:r>
        <w:rPr>
          <w:rStyle w:val="Style_3_ch"/>
          <w:rFonts w:ascii="Times New Roman" w:hAnsi="Times New Roman"/>
          <w:sz w:val="28"/>
        </w:rPr>
        <w:t xml:space="preserve"> положения, изменяющие ранее установленные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экспертиз, изменяющие ранее предусмотренные обязанности и запреты для субъектов предпринимательской, инвестиционной и иной экономической деятельности, а также изменяющие ранее установленную ответственность за нарушение нормативного правового акта, затрагивающие вопросы осуществления предпринимательской, инвестиционной и иной экономической деятельности</w:t>
      </w:r>
    </w:p>
    <w:p w14:paraId="22000000">
      <w:pPr>
        <w:spacing w:after="0" w:before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1.9. Наличие или отсутствие в проекте нормативного правового акта обязательных требований:</w:t>
      </w:r>
    </w:p>
    <w:p w14:paraId="23000000">
      <w:p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 участникам отбора на 1-е число месяца, в котором участник отбора направляет заявку:</w:t>
      </w:r>
    </w:p>
    <w:p w14:paraId="24000000">
      <w:pPr>
        <w:numPr>
          <w:numId w:val="2"/>
        </w:num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"https://login.consultant.ru/link/?req=doc&amp;base=LAW&amp;n=420230&amp;dst=100010&amp;field=134&amp;date=27.03.2024"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перечень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25000000">
      <w:pPr>
        <w:numPr>
          <w:numId w:val="2"/>
        </w:num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26000000">
      <w:pPr>
        <w:numPr>
          <w:numId w:val="2"/>
        </w:num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получатель субсидии (участник отбора) не находится в составляемых в рамках реализации полномочий, предусмотренных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"https://login.consultant.ru/link/?req=doc&amp;base=LAW&amp;n=121087&amp;dst=100142&amp;field=134&amp;date=27.03.2024"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главой VII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27000000">
      <w:pPr>
        <w:numPr>
          <w:numId w:val="2"/>
        </w:num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получатель субсидии (участник отбора) не является иностранным агентом в соответствии с Федеральным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"https://login.consultant.ru/link/?req=doc&amp;base=LAW&amp;n=471842&amp;date=27.03.2024"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законом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 xml:space="preserve"> «</w:t>
      </w:r>
      <w:r>
        <w:rPr>
          <w:rStyle w:val="Style_3_ch"/>
          <w:rFonts w:ascii="Times New Roman" w:hAnsi="Times New Roman"/>
          <w:sz w:val="28"/>
        </w:rPr>
        <w:t>О контроле за деятельностью лиц, находящихся под иностранным влиянием».</w:t>
      </w:r>
    </w:p>
    <w:p w14:paraId="28000000">
      <w:pPr>
        <w:spacing w:after="0" w:before="0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Соответствие участника отбора требованию, указанному в настоящем подпункте, подтверждается сведениями из реестра иностранных агентов, размещенными на сайте Министерства юстиции Российской Федерации в разделе «Деятельность в сфере иностранных агентов» по адресу: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"https://minjust.gov.ru/"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https:/minjust.gov.ru/ru/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>;</w:t>
      </w:r>
    </w:p>
    <w:p w14:paraId="29000000">
      <w:pPr>
        <w:numPr>
          <w:numId w:val="2"/>
        </w:num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у получателя субсидии (участника отбора) на едином налоговом счете отсутствует или не превышает размер, определенный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"https://login.consultant.ru/link/?req=doc&amp;base=LAW&amp;n=470746&amp;dst=5769&amp;field=134&amp;date=27.03.2024"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пунктом 3 статьи 47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 w14:paraId="2A000000">
      <w:pPr>
        <w:spacing w:after="0" w:before="0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Соответствие участника отбора требованию, указанному в настоящем подпункте, подтверждается в порядке межведомственного информационного взаимодействия с уполномоченными государственными органами;</w:t>
      </w:r>
    </w:p>
    <w:p w14:paraId="2B000000">
      <w:pPr>
        <w:numPr>
          <w:numId w:val="2"/>
        </w:num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участники отбора не должны получать средства из государственного бюджета Республики Саха (Якутия), из которого планируется предоставление субсидии в соответствии с правовым актом, на основании иных нормативных правовых актов Республики Саха (Якутия) на цели, установленные настоящим Порядком.</w:t>
      </w:r>
    </w:p>
    <w:p w14:paraId="2C000000">
      <w:pPr>
        <w:spacing w:after="0" w:before="0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Данное требование подтверждается путем направления запросов в исполнительные органы государственной власти Республики Саха (Якутия) в порядке межведомственного информационного взаимодействия через единую систему электронного документооборота;</w:t>
      </w:r>
    </w:p>
    <w:p w14:paraId="2D000000">
      <w:pPr>
        <w:numPr>
          <w:numId w:val="2"/>
        </w:num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у</w:t>
      </w:r>
      <w:r>
        <w:rPr>
          <w:rStyle w:val="Style_3_ch"/>
          <w:rFonts w:ascii="Times New Roman" w:hAnsi="Times New Roman"/>
          <w:sz w:val="28"/>
        </w:rPr>
        <w:t>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заявители - индивидуальные предприниматели не должны прекратить деятельность в качестве индивидуального предпринимателя;</w:t>
      </w:r>
    </w:p>
    <w:p w14:paraId="2E000000">
      <w:pPr>
        <w:numPr>
          <w:numId w:val="2"/>
        </w:numPr>
        <w:tabs>
          <w:tab w:leader="none" w:pos="360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- производителем товаров, работ, услуг, являющегося участником отбора.</w:t>
      </w:r>
    </w:p>
    <w:p w14:paraId="2F000000">
      <w:pPr>
        <w:spacing w:after="0" w:before="0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Соответствие участника отбора требованию, указанному в настоящем подпункте, подтверждается сведениями из реестра дисквалифицированных лиц, размещенными в информационно-телекоммуникационной сети Интернет по адресу: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"https://service.nalog.ru/disqualified.do"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https://service.nalog.ru/disqualified.do.</w:t>
      </w:r>
      <w:r>
        <w:rPr>
          <w:rStyle w:val="Style_3_ch"/>
          <w:rFonts w:ascii="Times New Roman" w:hAnsi="Times New Roman"/>
          <w:sz w:val="28"/>
        </w:rPr>
        <w:fldChar w:fldCharType="end"/>
      </w:r>
    </w:p>
    <w:p w14:paraId="30000000">
      <w:pPr>
        <w:spacing w:after="0" w:before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2. Описание проблемы, на решение которой направлено предлагаемое правовое регулирование.</w:t>
      </w:r>
    </w:p>
    <w:p w14:paraId="31000000">
      <w:pPr>
        <w:spacing w:after="0" w:before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2.1. Формулировка проблемы:</w:t>
      </w:r>
    </w:p>
    <w:p w14:paraId="32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сегодняшний день наиболее остро стоит вопрос обновления объектов водоотведения на территории Республики Саха (Якутия). </w:t>
      </w:r>
    </w:p>
    <w:p w14:paraId="33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Более 80% канализационно-очистных сооружений региона работают с износом, так как введены в эксплуатацию в 1970-80-х гг. В большей половине населенных пунктов канализационно-очистные сооружения отсутствуют. </w:t>
      </w:r>
    </w:p>
    <w:p w14:paraId="34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>
        <w:rPr>
          <w:rFonts w:ascii="Times New Roman" w:hAnsi="Times New Roman"/>
          <w:sz w:val="28"/>
        </w:rPr>
        <w:t xml:space="preserve"> </w:t>
      </w:r>
    </w:p>
    <w:p w14:paraId="3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Для сравнения средняя стоимость выполнения проектно-изыскательских работ по проекту КОС составляет порядка 15 млн рублей, срок разработки и получения положительного заключения госэкспертизы до 1,5 лет, в среднем затраты на строительство аналогичных КОС составляют 500 млн рублей.</w:t>
      </w:r>
    </w:p>
    <w:p w14:paraId="36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В настоящее время принято решение реализовать пилотный проект по строительству объекта «Строительство КОС п. Чокурдах Аллаиховского улуса Республики Саха (Якутия)» </w:t>
      </w:r>
      <w:r>
        <w:rPr>
          <w:rStyle w:val="Style_3_ch"/>
          <w:rFonts w:ascii="Times New Roman" w:hAnsi="Times New Roman"/>
          <w:sz w:val="28"/>
        </w:rPr>
        <w:t>производительно</w:t>
      </w:r>
      <w:r>
        <w:rPr>
          <w:rStyle w:val="Style_3_ch"/>
          <w:rFonts w:ascii="Times New Roman" w:hAnsi="Times New Roman"/>
          <w:sz w:val="28"/>
        </w:rPr>
        <w:t>стью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400 м3/сутки,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срок поставки оборудования составляет 8 месяцев, стоимость проекта – 227 млн рублей, срок оплаты лизинговых платежей до 36 месяцев, годовая  субсидирование 74,33 млн рублей. На сегодня </w:t>
      </w:r>
      <w:r>
        <w:rPr>
          <w:rStyle w:val="Style_3_ch"/>
          <w:rFonts w:ascii="Times New Roman" w:hAnsi="Times New Roman"/>
          <w:sz w:val="28"/>
        </w:rPr>
        <w:t>п</w:t>
      </w:r>
      <w:r>
        <w:rPr>
          <w:rStyle w:val="Style_3_ch"/>
          <w:rFonts w:ascii="Times New Roman" w:hAnsi="Times New Roman"/>
          <w:sz w:val="28"/>
        </w:rPr>
        <w:t>одписан договор лизинга</w:t>
      </w:r>
      <w:r>
        <w:rPr>
          <w:rStyle w:val="Style_3_ch"/>
          <w:rFonts w:ascii="Times New Roman" w:hAnsi="Times New Roman"/>
          <w:sz w:val="28"/>
        </w:rPr>
        <w:t xml:space="preserve"> между АО «Сбербанк Лизинг» и ГУП «ЖКХ РС(Я)» от 27.09.2023 № </w:t>
      </w:r>
      <w:r>
        <w:rPr>
          <w:rStyle w:val="Style_3_ch"/>
          <w:rFonts w:ascii="Times New Roman" w:hAnsi="Times New Roman"/>
          <w:sz w:val="28"/>
        </w:rPr>
        <w:t>ОВ/К-3445-21-01,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дополнительное соглашение от 18.01.2024 № 1.</w:t>
      </w:r>
    </w:p>
    <w:p w14:paraId="37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Фактически реализация проекта начата, 22.11.2023 в рамках сотрудничества по лизингу, в</w:t>
      </w:r>
      <w:r>
        <w:rPr>
          <w:rStyle w:val="Style_3_ch"/>
          <w:rFonts w:ascii="Times New Roman" w:hAnsi="Times New Roman"/>
          <w:sz w:val="28"/>
        </w:rPr>
        <w:t xml:space="preserve"> настоящее время проведены следующие работы:</w:t>
      </w:r>
    </w:p>
    <w:p w14:paraId="38000000">
      <w:pPr>
        <w:numPr>
          <w:numId w:val="3"/>
        </w:numPr>
        <w:tabs>
          <w:tab w:leader="none" w:pos="993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в ноябре 2023 представители ГУП «ЖКХ Р</w:t>
      </w:r>
      <w:r>
        <w:rPr>
          <w:rStyle w:val="Style_3_ch"/>
          <w:rFonts w:ascii="Times New Roman" w:hAnsi="Times New Roman"/>
          <w:sz w:val="28"/>
        </w:rPr>
        <w:t>С(</w:t>
      </w:r>
      <w:r>
        <w:rPr>
          <w:rStyle w:val="Style_3_ch"/>
          <w:rFonts w:ascii="Times New Roman" w:hAnsi="Times New Roman"/>
          <w:sz w:val="28"/>
        </w:rPr>
        <w:t xml:space="preserve">Я)» совместно с поставщиком оборудования осуществлен выезд в </w:t>
      </w:r>
      <w:r>
        <w:rPr>
          <w:rStyle w:val="Style_3_ch"/>
          <w:rFonts w:ascii="Times New Roman" w:hAnsi="Times New Roman"/>
          <w:sz w:val="28"/>
        </w:rPr>
        <w:t xml:space="preserve">п. </w:t>
      </w:r>
      <w:r>
        <w:rPr>
          <w:rStyle w:val="Style_3_ch"/>
          <w:rFonts w:ascii="Times New Roman" w:hAnsi="Times New Roman"/>
          <w:sz w:val="28"/>
        </w:rPr>
        <w:t>Чокурдах</w:t>
      </w:r>
      <w:r>
        <w:rPr>
          <w:rStyle w:val="Style_3_ch"/>
          <w:rFonts w:ascii="Times New Roman" w:hAnsi="Times New Roman"/>
          <w:sz w:val="28"/>
        </w:rPr>
        <w:t xml:space="preserve"> для осмотра местности и изучения исходных данных; </w:t>
      </w:r>
    </w:p>
    <w:p w14:paraId="39000000">
      <w:pPr>
        <w:numPr>
          <w:numId w:val="4"/>
        </w:numPr>
        <w:tabs>
          <w:tab w:leader="none" w:pos="993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в декабре 2023 поставщиком оборудования заказаны работы по инженерным изысканиям </w:t>
      </w:r>
      <w:r>
        <w:rPr>
          <w:rStyle w:val="Style_3_ch"/>
          <w:rFonts w:ascii="Times New Roman" w:hAnsi="Times New Roman"/>
          <w:sz w:val="28"/>
        </w:rPr>
        <w:t>и рассмотрен исходный вариант по посадке оборудования;</w:t>
      </w:r>
    </w:p>
    <w:p w14:paraId="3A000000">
      <w:pPr>
        <w:numPr>
          <w:numId w:val="5"/>
        </w:numPr>
        <w:tabs>
          <w:tab w:leader="none" w:pos="993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в январе 2024 поставщиком оборудования в целях подготовки проектной документации направлены запросы в надзорные органы;</w:t>
      </w:r>
    </w:p>
    <w:p w14:paraId="3B000000">
      <w:pPr>
        <w:numPr>
          <w:numId w:val="5"/>
        </w:numPr>
        <w:tabs>
          <w:tab w:leader="none" w:pos="993" w:val="left"/>
        </w:tabs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в феврале 2024 поставщиком оборудования совместно с ГУП «ЖКХ Р</w:t>
      </w:r>
      <w:r>
        <w:rPr>
          <w:rStyle w:val="Style_3_ch"/>
          <w:rFonts w:ascii="Times New Roman" w:hAnsi="Times New Roman"/>
          <w:sz w:val="28"/>
        </w:rPr>
        <w:t>С(</w:t>
      </w:r>
      <w:r>
        <w:rPr>
          <w:rStyle w:val="Style_3_ch"/>
          <w:rFonts w:ascii="Times New Roman" w:hAnsi="Times New Roman"/>
          <w:sz w:val="28"/>
        </w:rPr>
        <w:t>Я)» определены ориентировочные объемы инертных материалов для строительства фундамента под КОС.</w:t>
      </w:r>
      <w:r>
        <w:rPr>
          <w:rStyle w:val="Style_3_ch"/>
          <w:rFonts w:ascii="Times New Roman" w:hAnsi="Times New Roman"/>
          <w:sz w:val="28"/>
        </w:rPr>
        <w:t xml:space="preserve"> </w:t>
      </w:r>
    </w:p>
    <w:p w14:paraId="3C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В марте 2024 от поставщика получены </w:t>
      </w:r>
      <w:r>
        <w:rPr>
          <w:rStyle w:val="Style_3_ch"/>
          <w:rFonts w:ascii="Times New Roman" w:hAnsi="Times New Roman"/>
          <w:sz w:val="28"/>
        </w:rPr>
        <w:t>отчеты инженерных изысканий</w:t>
      </w:r>
      <w:r>
        <w:rPr>
          <w:rStyle w:val="Style_3_ch"/>
          <w:rFonts w:ascii="Times New Roman" w:hAnsi="Times New Roman"/>
          <w:sz w:val="28"/>
        </w:rPr>
        <w:t xml:space="preserve">. </w:t>
      </w:r>
      <w:r>
        <w:rPr>
          <w:rStyle w:val="Style_3_ch"/>
          <w:rFonts w:ascii="Times New Roman" w:hAnsi="Times New Roman"/>
          <w:sz w:val="28"/>
        </w:rPr>
        <w:t xml:space="preserve"> Инженерно-экологические изыскания в работе (к</w:t>
      </w:r>
      <w:r>
        <w:rPr>
          <w:rStyle w:val="Style_3_ch"/>
          <w:rFonts w:ascii="Times New Roman" w:hAnsi="Times New Roman"/>
          <w:sz w:val="28"/>
        </w:rPr>
        <w:t>амеральные работы не закончены)</w:t>
      </w:r>
      <w:r>
        <w:rPr>
          <w:rStyle w:val="Style_3_ch"/>
          <w:rFonts w:ascii="Times New Roman" w:hAnsi="Times New Roman"/>
          <w:sz w:val="28"/>
        </w:rPr>
        <w:t>.</w:t>
      </w:r>
      <w:r>
        <w:rPr>
          <w:rStyle w:val="Style_3_ch"/>
          <w:rFonts w:ascii="Times New Roman" w:hAnsi="Times New Roman"/>
          <w:sz w:val="28"/>
        </w:rPr>
        <w:t xml:space="preserve"> Также в </w:t>
      </w:r>
      <w:r>
        <w:rPr>
          <w:rStyle w:val="Style_3_ch"/>
          <w:rFonts w:ascii="Times New Roman" w:hAnsi="Times New Roman"/>
          <w:sz w:val="28"/>
        </w:rPr>
        <w:t>текущем</w:t>
      </w:r>
      <w:r>
        <w:rPr>
          <w:rStyle w:val="Style_3_ch"/>
          <w:rFonts w:ascii="Times New Roman" w:hAnsi="Times New Roman"/>
          <w:sz w:val="28"/>
        </w:rPr>
        <w:t xml:space="preserve"> году получены </w:t>
      </w:r>
      <w:r>
        <w:rPr>
          <w:rStyle w:val="Style_3_ch"/>
          <w:rFonts w:ascii="Times New Roman" w:hAnsi="Times New Roman"/>
          <w:sz w:val="28"/>
        </w:rPr>
        <w:t>расчетные нагрузки на плиту от оборудования и здания по Объекту</w:t>
      </w:r>
      <w:r>
        <w:rPr>
          <w:rStyle w:val="Style_3_ch"/>
          <w:rFonts w:ascii="Times New Roman" w:hAnsi="Times New Roman"/>
          <w:sz w:val="28"/>
        </w:rPr>
        <w:t>.</w:t>
      </w:r>
    </w:p>
    <w:p w14:paraId="3D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Определен земельный участок (кадастровый номер 14:03:060001:1801) для размещения объекта водоотведения (виды разрешенного использования: предоставление коммунальных услуг), градостроительный план земельного участка имеется.</w:t>
      </w:r>
    </w:p>
    <w:p w14:paraId="3E000000">
      <w:pPr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Учитывая, что регламентные сроки по </w:t>
      </w:r>
      <w:r>
        <w:rPr>
          <w:rStyle w:val="Style_3_ch"/>
          <w:rFonts w:ascii="Times New Roman" w:hAnsi="Times New Roman"/>
          <w:sz w:val="28"/>
        </w:rPr>
        <w:t>инженерным изысканиям составят ориентировочно 2 месяца</w:t>
      </w:r>
      <w:r>
        <w:rPr>
          <w:rStyle w:val="Style_3_ch"/>
          <w:rFonts w:ascii="Times New Roman" w:hAnsi="Times New Roman"/>
          <w:sz w:val="28"/>
        </w:rPr>
        <w:t xml:space="preserve">, </w:t>
      </w:r>
      <w:r>
        <w:rPr>
          <w:rStyle w:val="Style_3_ch"/>
          <w:rFonts w:ascii="Times New Roman" w:hAnsi="Times New Roman"/>
          <w:sz w:val="28"/>
        </w:rPr>
        <w:t>рабо</w:t>
      </w:r>
      <w:r>
        <w:rPr>
          <w:rStyle w:val="Style_3_ch"/>
          <w:rFonts w:ascii="Times New Roman" w:hAnsi="Times New Roman"/>
          <w:sz w:val="28"/>
        </w:rPr>
        <w:t xml:space="preserve">ты по выполнению проектных </w:t>
      </w:r>
      <w:r>
        <w:rPr>
          <w:rStyle w:val="Style_3_ch"/>
          <w:rFonts w:ascii="Times New Roman" w:hAnsi="Times New Roman"/>
          <w:sz w:val="28"/>
        </w:rPr>
        <w:t>работ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1</w:t>
      </w:r>
      <w:r>
        <w:rPr>
          <w:rStyle w:val="Style_3_ch"/>
          <w:rFonts w:ascii="Times New Roman" w:hAnsi="Times New Roman"/>
          <w:sz w:val="28"/>
        </w:rPr>
        <w:t xml:space="preserve"> месяц</w:t>
      </w:r>
      <w:r>
        <w:rPr>
          <w:rStyle w:val="Style_3_ch"/>
          <w:rFonts w:ascii="Times New Roman" w:hAnsi="Times New Roman"/>
          <w:sz w:val="28"/>
        </w:rPr>
        <w:t>, и прохо</w:t>
      </w:r>
      <w:r>
        <w:rPr>
          <w:rStyle w:val="Style_3_ch"/>
          <w:rFonts w:ascii="Times New Roman" w:hAnsi="Times New Roman"/>
          <w:sz w:val="28"/>
        </w:rPr>
        <w:t xml:space="preserve">ждение государственной экспертизы </w:t>
      </w:r>
      <w:r>
        <w:rPr>
          <w:rStyle w:val="Style_3_ch"/>
          <w:rFonts w:ascii="Times New Roman" w:hAnsi="Times New Roman"/>
          <w:sz w:val="28"/>
        </w:rPr>
        <w:t>1,5 месяца п</w:t>
      </w:r>
      <w:r>
        <w:rPr>
          <w:rStyle w:val="Style_3_ch"/>
          <w:rFonts w:ascii="Times New Roman" w:hAnsi="Times New Roman"/>
          <w:sz w:val="28"/>
        </w:rPr>
        <w:t>ланируемый срок получения положительно</w:t>
      </w:r>
      <w:r>
        <w:rPr>
          <w:rStyle w:val="Style_3_ch"/>
          <w:rFonts w:ascii="Times New Roman" w:hAnsi="Times New Roman"/>
          <w:sz w:val="28"/>
        </w:rPr>
        <w:t>го</w:t>
      </w:r>
      <w:r>
        <w:rPr>
          <w:rStyle w:val="Style_3_ch"/>
          <w:rFonts w:ascii="Times New Roman" w:hAnsi="Times New Roman"/>
          <w:sz w:val="28"/>
        </w:rPr>
        <w:t xml:space="preserve"> заключения от </w:t>
      </w:r>
      <w:r>
        <w:rPr>
          <w:rStyle w:val="Style_3_ch"/>
          <w:rFonts w:ascii="Times New Roman" w:hAnsi="Times New Roman"/>
          <w:sz w:val="28"/>
        </w:rPr>
        <w:t>Госэкспертизы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середина </w:t>
      </w:r>
      <w:r>
        <w:rPr>
          <w:rStyle w:val="Style_3_ch"/>
          <w:rFonts w:ascii="Times New Roman" w:hAnsi="Times New Roman"/>
          <w:sz w:val="28"/>
        </w:rPr>
        <w:t>июля 2024</w:t>
      </w:r>
    </w:p>
    <w:p w14:paraId="3F000000">
      <w:pPr>
        <w:spacing w:after="0" w:line="360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По этой причине принято решение параллельно начать завоз необходимых материалов и урегулировать вопрос строительства за счет средств ГУП «ЖКХ РС(Я)», в </w:t>
      </w:r>
      <w:r>
        <w:rPr>
          <w:rStyle w:val="Style_3_ch"/>
          <w:rFonts w:ascii="Times New Roman" w:hAnsi="Times New Roman"/>
          <w:sz w:val="28"/>
        </w:rPr>
        <w:t>связи</w:t>
      </w:r>
      <w:r>
        <w:rPr>
          <w:rStyle w:val="Style_3_ch"/>
          <w:rFonts w:ascii="Times New Roman" w:hAnsi="Times New Roman"/>
          <w:sz w:val="28"/>
        </w:rPr>
        <w:t xml:space="preserve"> с чем, внесены дополнения в Инвестиционную программу предприятия. </w:t>
      </w:r>
      <w:r>
        <w:rPr>
          <w:rStyle w:val="Style_3_ch"/>
          <w:rFonts w:ascii="Times New Roman" w:hAnsi="Times New Roman"/>
          <w:sz w:val="28"/>
        </w:rPr>
        <w:t xml:space="preserve">Предварительная сумма капитальных вложений на строительство площадки составит 50 </w:t>
      </w:r>
      <w:r>
        <w:rPr>
          <w:rStyle w:val="Style_3_ch"/>
          <w:rFonts w:ascii="Times New Roman" w:hAnsi="Times New Roman"/>
          <w:sz w:val="28"/>
        </w:rPr>
        <w:t>млн</w:t>
      </w:r>
      <w:r>
        <w:rPr>
          <w:rStyle w:val="Style_3_ch"/>
          <w:rFonts w:ascii="Times New Roman" w:hAnsi="Times New Roman"/>
          <w:sz w:val="28"/>
        </w:rPr>
        <w:t>.р</w:t>
      </w:r>
      <w:r>
        <w:rPr>
          <w:rStyle w:val="Style_3_ch"/>
          <w:rFonts w:ascii="Times New Roman" w:hAnsi="Times New Roman"/>
          <w:sz w:val="28"/>
        </w:rPr>
        <w:t>ублей</w:t>
      </w:r>
      <w:r>
        <w:rPr>
          <w:rStyle w:val="Style_3_ch"/>
          <w:rFonts w:ascii="Times New Roman" w:hAnsi="Times New Roman"/>
          <w:sz w:val="28"/>
        </w:rPr>
        <w:t>.</w:t>
      </w:r>
    </w:p>
    <w:p w14:paraId="40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После ввода объекта </w:t>
      </w:r>
      <w:r>
        <w:rPr>
          <w:rStyle w:val="Style_3_ch"/>
          <w:rFonts w:ascii="Times New Roman" w:hAnsi="Times New Roman"/>
          <w:sz w:val="28"/>
        </w:rPr>
        <w:t>КОС п. Чокурдах Аллаиховского улуса, планируется р</w:t>
      </w:r>
      <w:r>
        <w:rPr>
          <w:rStyle w:val="Style_3_ch"/>
          <w:rFonts w:ascii="Times New Roman" w:hAnsi="Times New Roman"/>
          <w:sz w:val="28"/>
        </w:rPr>
        <w:t xml:space="preserve">еализация объектов водоотведения в населенных пунктах в </w:t>
      </w:r>
      <w:r>
        <w:rPr>
          <w:rStyle w:val="Style_3_ch"/>
          <w:rFonts w:ascii="Times New Roman" w:hAnsi="Times New Roman"/>
          <w:sz w:val="28"/>
        </w:rPr>
        <w:br/>
      </w:r>
      <w:r>
        <w:rPr>
          <w:rStyle w:val="Style_3_ch"/>
          <w:rFonts w:ascii="Times New Roman" w:hAnsi="Times New Roman"/>
          <w:sz w:val="28"/>
        </w:rPr>
        <w:t>с. Оленек Оленекского эвенкийского национального района и с.Амга  Амгинского улуса (района)</w:t>
      </w:r>
      <w:r>
        <w:rPr>
          <w:rStyle w:val="Style_3_ch"/>
          <w:rFonts w:ascii="Times New Roman" w:hAnsi="Times New Roman"/>
          <w:sz w:val="28"/>
        </w:rPr>
        <w:t xml:space="preserve"> в августе 2025 года. </w:t>
      </w:r>
    </w:p>
    <w:p w14:paraId="41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2.3. Социальные группы, заинтересованные в устранении проблемы, их количественная оценка:</w:t>
      </w:r>
    </w:p>
    <w:p w14:paraId="42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Федеральные, государственные и муниципальные учреждения,  собственники жилых домов Республики Саха (Якутия), прочие потребители.</w:t>
      </w:r>
    </w:p>
    <w:p w14:paraId="43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2.4. Характеристика негативных эффектов, возникающих в связи с наличием проблемы, их количественная оценка:</w:t>
      </w:r>
    </w:p>
    <w:p w14:paraId="44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Экологическую опасность несет слив неочищенных сточных вод, объем которых увеличивается пропорционально росту населения и строительства систем водоснабжения, в т.ч. в рамках ФП «Чистая вода». </w:t>
      </w:r>
    </w:p>
    <w:p w14:paraId="45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2020 году сброс сточных вод в поверхностные водные объекты составил 151,94 млн куб.м., в т.ч. недостаточно-очищенные сточные воды составляют 48,88 % (74,28 млн куб.м).</w:t>
      </w:r>
    </w:p>
    <w:p w14:paraId="46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2.5. Причины возникновения проблемы и факторы, поддерживающие ее существование:</w:t>
      </w:r>
    </w:p>
    <w:p w14:paraId="47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реконструкции существующих и строительства канализационно-очистных сооружений в 38 населенных пунктах, необходимый объем инвестиций, составляет более 13,83 млрд рублей.</w:t>
      </w:r>
    </w:p>
    <w:p w14:paraId="48000000">
      <w:pPr>
        <w:spacing w:after="0" w:before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реализации национальных проектов отсутствуют мероприятия по строительству объектов водоотведения (кроме ФП «Сохранение озера Байкал» и «Оздоровление Волги»), также за счет средств государственного и муниципальных бюджетов реализовать в кратчайшие сроки данные мероприятия невозможно учитывая существенные капитальные вложения.</w:t>
      </w:r>
    </w:p>
    <w:p w14:paraId="49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14:paraId="4A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Отсутствие тарифных источников, собственных средств у хозяйствующих субъектов на строительство и реконструкцию существующих аварийных КОС.</w:t>
      </w:r>
    </w:p>
    <w:p w14:paraId="4B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2.7. Опыт решения аналогичных проблем в других субъектах Российской Федерации:</w:t>
      </w:r>
    </w:p>
    <w:p w14:paraId="4C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Реконструкцию КОС в поселке Каложицы выполнила компания Дека, имеющая успешный опыт подобных работ в Ленинградской области, таких как очистные сооружения в деревнях Большой Двор Бокситогорского района, поселке Цвылево Тихвинского района, а также в селе Путилово Кировского района Ленинградской области. Объекты успешно функционируют и отличаются высокой эффективностью и надежностью.</w:t>
      </w:r>
    </w:p>
    <w:p w14:paraId="4D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Главной особенностью канализационных очистных сооружений в поселка Каложицы является применение блочно-модульных конструкций при строительстве. Оборудование размещается в отдельных мобильных модулях, которые изготавливаются в заводских условиях и там же проходят испытания. Модули доставляются на место установки уже в готовом виде, что позволяет в короткие сроки запустить объект в эксплуатацию. Подобные очистные сооружение отличают компактные размеры, легкость монтажа, простота эксплуатации, безопасность, а самое главное - высокая степень очистки хозяйственно-бытовых сточных вод.</w:t>
      </w:r>
    </w:p>
    <w:p w14:paraId="4E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Другой особенностью данных очистных сооружений является трехступенчатая система очистки сточных вод, позволяющая получить на выходе воду, соответствующую высшей рыбохозяйственной категории водопользования. Это позволяет сбрасывать очищенную воду непосредственно в реку Хревица, которая протекает близ посёлка. Для достижения подобного результата после механического и биологического процесса в очистной цикл была включена инновационная технология мембранной фильтрации. Размер пор ультрафильтрационных модулей составляет порядка 0,05 мкм, благодаря чему на их поверхности задерживаются все мелкие частицы и микроорганизмы, в том числе и патогенные.</w:t>
      </w:r>
    </w:p>
    <w:p w14:paraId="4F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Вся деятельность очистных сооружений полностью соответствует санитарным нормам и оказывает минимальное воздействие на окружающую среду. Строительство КОС значительно улучшает уровень жизни населения и состояние природы в целом.</w:t>
      </w:r>
    </w:p>
    <w:p w14:paraId="50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2.8. Источники данных:</w:t>
      </w:r>
    </w:p>
    <w:p w14:paraId="51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Официальные информационные ресурсы.</w:t>
      </w:r>
    </w:p>
    <w:p w14:paraId="52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2.9. Иная информация о проблеме:</w:t>
      </w:r>
    </w:p>
    <w:p w14:paraId="53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Снижение объема загрязненных сточных вод в 1,25 раза путем строительства и модернизации очистных сооружений в населенных пунктах республики и доведения очистки сточных вод до нормативно-чистых</w:t>
      </w:r>
      <w:r>
        <w:rPr>
          <w:rFonts w:ascii="Times New Roman" w:hAnsi="Times New Roman"/>
          <w:sz w:val="28"/>
          <w:u w:val="single"/>
        </w:rPr>
        <w:t>.</w:t>
      </w:r>
    </w:p>
    <w:p w14:paraId="54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3. Определение целей предлагаемого правового регулирования и индикаторов для оценки их достижения</w:t>
      </w:r>
    </w:p>
    <w:p w14:paraId="55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137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70"/>
        <w:gridCol w:w="1843"/>
        <w:gridCol w:w="1984"/>
      </w:tblGrid>
      <w:tr>
        <w:trPr>
          <w:trHeight w:hRule="atLeast" w:val="1628"/>
        </w:trP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spacing w:after="0" w:line="360" w:lineRule="exact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3.1. Цели предлагаемого правового регулирования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pPr>
              <w:spacing w:after="0" w:line="360" w:lineRule="exact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3.2. Сроки достижения целей предлагаемого правового регулирования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spacing w:after="0" w:line="360" w:lineRule="exact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3.3. Периодичность мониторинга достижения целей предлагаемого правового регулирования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00000">
            <w:pPr>
              <w:spacing w:line="360" w:lineRule="exact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Предоставление субсидии на возмещение затрат хозяйствующим субъектам на уплату ими лизинговых платежей, возникших при приобретении комплекса модульных очистных сооружений (КОС)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spacing w:after="0" w:line="360" w:lineRule="exact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года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spacing w:after="0" w:line="360" w:lineRule="exact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Ежеквартально</w:t>
            </w:r>
          </w:p>
        </w:tc>
      </w:tr>
    </w:tbl>
    <w:p w14:paraId="5C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</w:p>
    <w:p w14:paraId="5D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14:paraId="5E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Федеральный закон от 07 декабря 2011 № 416-ФЗ «О водоснабжении и водоотведении»;</w:t>
      </w:r>
    </w:p>
    <w:p w14:paraId="5F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Указ Главы Республики Саха (Якутия) </w:t>
      </w:r>
      <w:r>
        <w:rPr>
          <w:rFonts w:ascii="Times New Roman" w:hAnsi="Times New Roman"/>
          <w:sz w:val="28"/>
        </w:rPr>
        <w:t>от 27 сентября 2018 года № 2 «Об экологическом благополучии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Республики Саха (Якутия)»;</w:t>
      </w:r>
    </w:p>
    <w:p w14:paraId="60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b w:val="0"/>
          <w:sz w:val="28"/>
        </w:rPr>
        <w:t>протокол Председателя Правительства Республики Саха (Якутия) от 14.08.2023 № Пр-117-П1</w:t>
      </w:r>
      <w:r>
        <w:rPr>
          <w:rFonts w:ascii="Times New Roman" w:hAnsi="Times New Roman"/>
          <w:sz w:val="28"/>
        </w:rPr>
        <w:t>.</w:t>
      </w:r>
    </w:p>
    <w:p w14:paraId="61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50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036"/>
        <w:gridCol w:w="2910"/>
        <w:gridCol w:w="1559"/>
        <w:gridCol w:w="1776"/>
      </w:tblGrid>
      <w:tr>
        <w:tc>
          <w:tcPr>
            <w:tcW w:type="dxa" w:w="4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00000">
            <w:pPr>
              <w:spacing w:after="0" w:line="360" w:lineRule="exact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3.5. Цели предлагаемого правового регулирования</w:t>
            </w:r>
          </w:p>
        </w:tc>
        <w:tc>
          <w:tcPr>
            <w:tcW w:type="dxa" w:w="2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spacing w:after="0" w:line="360" w:lineRule="exact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spacing w:after="0" w:line="360" w:lineRule="exact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3.7. Единица измерения индикаторов</w:t>
            </w:r>
          </w:p>
        </w:tc>
        <w:tc>
          <w:tcPr>
            <w:tcW w:type="dxa" w:w="1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spacing w:after="0" w:line="360" w:lineRule="exact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3.8. Целевые значения индикаторов по годам</w:t>
            </w:r>
          </w:p>
        </w:tc>
      </w:tr>
      <w:tr>
        <w:tc>
          <w:tcPr>
            <w:tcW w:type="dxa" w:w="4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spacing w:line="360" w:lineRule="exact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spacing w:line="360" w:lineRule="exact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spacing w:line="360" w:lineRule="exact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spacing w:line="360" w:lineRule="exact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6A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3.9. Методы расчета индикаторов достижения целей предлагаемого правового регулирования, источники информации для расчетов:</w:t>
      </w:r>
    </w:p>
    <w:p w14:paraId="6B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Количество приобретенного оборудования КОС.</w:t>
      </w:r>
    </w:p>
    <w:p w14:paraId="6C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3.10. Проведение мониторинга и иные способы (методы) оценки достижения целей предлагаемого правового регулирования:</w:t>
      </w:r>
    </w:p>
    <w:p w14:paraId="6D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Ежеквартальная отчетность</w:t>
      </w:r>
    </w:p>
    <w:p w14:paraId="6E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3.11. Оценка затрат на проведение мониторинга достижения целей предлагаемого правового регулирования:</w:t>
      </w:r>
    </w:p>
    <w:p w14:paraId="6F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Мониторинг осуществляется в рамках лимита бюджетных ассигнований на исполнение полномочий Министерства.</w:t>
      </w:r>
    </w:p>
    <w:p w14:paraId="70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3.12. Источники информации для расчета индикаторов:</w:t>
      </w:r>
    </w:p>
    <w:p w14:paraId="71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Style w:val="Style_3_ch"/>
          <w:rFonts w:ascii="Times New Roman" w:hAnsi="Times New Roman"/>
          <w:sz w:val="28"/>
        </w:rPr>
        <w:t>План по реализации государственной программы Республики Саха (Якутия) «Обеспечение качественными жилищно-коммунальными услугами и развитие энергетики Республики Саха (Якутия), утвержденной приказом Министерства жилищно-коммунального хозяйства и энергетики Республики Саха (Якутия) от 08.04.2024 № 171-ОД. Целевой показатель приобретение оборудования 2024 год – 1 ед. (установка комплекса модульного КОС с возведением площадки размещения оборудования хозяйствующим способом ГУП «ЖКХ РС(Я)).</w:t>
      </w:r>
    </w:p>
    <w:p w14:paraId="72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p w14:paraId="73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</w:p>
    <w:tbl>
      <w:tblPr>
        <w:tblStyle w:val="Style_4"/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535"/>
        <w:gridCol w:w="2551"/>
        <w:gridCol w:w="2551"/>
      </w:tblGrid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4.1. 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4.2. Количество участников группы, ед.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4.3. Источники данных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Хозяйствующие субъекты - юридические лица (за исключением государственных и муниципальных учреждений), индивидуальные предприниматели, осуществляющее свою основную деятельность на территории Республики Саха (Якутия)</w:t>
            </w:r>
          </w:p>
          <w:p w14:paraId="78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spacing w:after="0" w:line="360" w:lineRule="exact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-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Реестр хозяйствующих субъектов</w:t>
            </w:r>
          </w:p>
          <w:p w14:paraId="7B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7C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5. Изменение функций (полномочий, обязанностей, прав) органов государственной власти Республики Саха (Якутия) (органов местного самоуправления), а также порядка их реализации в связи с введением предлагаемого правового регулирования</w:t>
      </w:r>
    </w:p>
    <w:p w14:paraId="7D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</w:p>
    <w:tbl>
      <w:tblPr>
        <w:tblStyle w:val="Style_4"/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722"/>
        <w:gridCol w:w="1680"/>
        <w:gridCol w:w="1701"/>
        <w:gridCol w:w="2087"/>
        <w:gridCol w:w="2170"/>
      </w:tblGrid>
      <w:tr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5.1. Наименование функции (полномочия, обязанности или права)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5.2. Характер функции (новая / изменяемая / отменяемая)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5.3. Предполагаемый порядок реализации</w:t>
            </w:r>
          </w:p>
        </w:tc>
        <w:tc>
          <w:tcPr>
            <w:tcW w:type="dxa" w:w="2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5.5. Оценка изменения потребностей в других ресурсах</w:t>
            </w:r>
          </w:p>
        </w:tc>
      </w:tr>
      <w:tr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изменяется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изменяется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изменяется</w:t>
            </w:r>
          </w:p>
        </w:tc>
        <w:tc>
          <w:tcPr>
            <w:tcW w:type="dxa" w:w="2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изменяется</w:t>
            </w:r>
          </w:p>
        </w:tc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изменяется</w:t>
            </w:r>
          </w:p>
        </w:tc>
      </w:tr>
    </w:tbl>
    <w:p w14:paraId="88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</w:p>
    <w:p w14:paraId="89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6. Оценка дополнительных расходов (доходов) государственного бюджета Республики Саха (Якутия) (местных бюджетов), связанный с ведением предлагаемого правового регулирования:</w:t>
      </w:r>
    </w:p>
    <w:p w14:paraId="8A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в пределах лимитов бюджетных обязательств на предоставление субсидии на соответствующий финансовый год (соответствующий финансовый год и плановый период), доведенных в установленном порядке до Министерства.</w:t>
      </w:r>
    </w:p>
    <w:tbl>
      <w:tblPr>
        <w:tblStyle w:val="Style_4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18"/>
        <w:gridCol w:w="3118"/>
        <w:gridCol w:w="3118"/>
      </w:tblGrid>
      <w:tr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6.1. Наименование функции (полномочия, обязанности или права)</w:t>
            </w:r>
          </w:p>
          <w:p w14:paraId="8C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6.2. Виды расходов (возможных поступлений) государственного бюджета Республики Саха (Якутия) (местных бюджетов)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6.3. Количественная оценка расходов и возможных поступлений, млн руб.</w:t>
            </w:r>
          </w:p>
        </w:tc>
      </w:tr>
      <w:tr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92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</w:p>
    <w:p w14:paraId="93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6.4. Другие сведения о дополнительных расходах (доходах) государственного бюджета Республики Саха (Якутия) (местных бюджетов), возникающих в связи с введением предлагаемого правового регулирования:</w:t>
      </w:r>
    </w:p>
    <w:p w14:paraId="94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Предлагаемое правовое регулирование дополнительных расходов из государственного бюджета Республики Саха (Якутия) не влечет.</w:t>
      </w:r>
    </w:p>
    <w:p w14:paraId="95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6.5. Источники данных:</w:t>
      </w:r>
    </w:p>
    <w:p w14:paraId="96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none"/>
        </w:rPr>
      </w:pP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"https://login.consultant.ru/link/?req=doc&amp;base=RLAW249&amp;n=98310&amp;date=25.03.2024"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Закон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Республики Саха (Якутия) от 5 декабря 2023 г. 2678-З N 31-VII «О государственном бюджете Республики Саха (Якутия) на 2024 год и на плановый период 2025 и 2026 годов».</w:t>
      </w:r>
    </w:p>
    <w:p w14:paraId="97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14:paraId="98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041"/>
        <w:gridCol w:w="3572"/>
        <w:gridCol w:w="1928"/>
        <w:gridCol w:w="2098"/>
      </w:tblGrid>
      <w:tr>
        <w:trPr>
          <w:trHeight w:hRule="atLeast" w:val="2443"/>
        </w:trPr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7.1. Группы потенциальных адресатов предлагаемого правового регулирования (в соответствии с пп. 4.1 сводного отчета)</w:t>
            </w:r>
          </w:p>
        </w:tc>
        <w:tc>
          <w:tcPr>
            <w:tcW w:type="dxa" w:w="3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7.2. 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7.3. 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7.4. Количественная оценка, млн рублей</w:t>
            </w:r>
          </w:p>
        </w:tc>
      </w:tr>
      <w:tr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Хозяйствующие субъекты - юридические лица (за исключением государственных и муниципальных учреждений), индивидуальные предприниматели, осуществляющее свою основную деятельность на территории Республики Саха (Якутия)</w:t>
            </w:r>
          </w:p>
        </w:tc>
        <w:tc>
          <w:tcPr>
            <w:tcW w:type="dxa" w:w="3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Возведение площадок на земельном участке, отведенной под строительство КОС за счет собственных средств предприятий.</w:t>
            </w:r>
          </w:p>
          <w:p w14:paraId="A0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Доходы от предоставления услуг по водоотведению гарантирующего поставщика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 млн руб.</w:t>
            </w:r>
          </w:p>
        </w:tc>
      </w:tr>
    </w:tbl>
    <w:p w14:paraId="A2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</w:p>
    <w:p w14:paraId="A3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  <w:u w:val="single"/>
        </w:rPr>
        <w:t>.5. Издержки и выгоды адресатов предлагаемого правового регулирования, не поддающиеся количественной оценке:</w:t>
      </w:r>
    </w:p>
    <w:p w14:paraId="A4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не выявлено</w:t>
      </w:r>
    </w:p>
    <w:p w14:paraId="A5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7.6. Источники данных:</w:t>
      </w:r>
    </w:p>
    <w:p w14:paraId="A6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нет</w:t>
      </w:r>
    </w:p>
    <w:p w14:paraId="A7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8. Оценка рисков неблагоприятных последствий применения предлагаемого правового регулирования</w:t>
      </w:r>
    </w:p>
    <w:p w14:paraId="A8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402"/>
        <w:gridCol w:w="2127"/>
        <w:gridCol w:w="2126"/>
        <w:gridCol w:w="2126"/>
      </w:tblGrid>
      <w:tr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00000">
            <w:pPr>
              <w:spacing w:after="0" w:line="360" w:lineRule="exact"/>
              <w:ind w:firstLine="709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8.1. Виды рисков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00000">
            <w:pPr>
              <w:spacing w:after="0" w:line="360" w:lineRule="exact"/>
              <w:ind w:firstLine="709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8.2. Оценка вероятности наступления неблагоприятных последствий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00000">
            <w:pPr>
              <w:spacing w:after="0" w:line="360" w:lineRule="exact"/>
              <w:ind w:firstLine="709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8.3. Методы контроля рисков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00000">
            <w:pPr>
              <w:spacing w:after="0" w:line="360" w:lineRule="exact"/>
              <w:ind w:firstLine="709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8.4. Степень контроля рисков (полный/частичный/отсутствует)</w:t>
            </w:r>
          </w:p>
        </w:tc>
      </w:tr>
      <w:tr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00000">
            <w:pPr>
              <w:spacing w:after="0" w:line="360" w:lineRule="exact"/>
              <w:ind w:firstLine="709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00000">
            <w:pPr>
              <w:spacing w:after="0" w:line="360" w:lineRule="exact"/>
              <w:ind w:firstLine="709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>
            <w:pPr>
              <w:spacing w:after="0" w:line="360" w:lineRule="exact"/>
              <w:ind w:firstLine="709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>
            <w:pPr>
              <w:spacing w:after="0" w:line="360" w:lineRule="exact"/>
              <w:ind w:firstLine="709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 w14:paraId="B1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highlight w:val="red"/>
        </w:rPr>
      </w:pPr>
    </w:p>
    <w:p w14:paraId="B2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8.5. Источники данных:</w:t>
      </w:r>
    </w:p>
    <w:p w14:paraId="B3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отсутствуют</w:t>
      </w:r>
    </w:p>
    <w:p w14:paraId="B4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Сравнение возможных вариантов решения проблемы</w:t>
      </w:r>
    </w:p>
    <w:p w14:paraId="B5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highlight w:val="red"/>
        </w:rPr>
      </w:pPr>
    </w:p>
    <w:tbl>
      <w:tblPr>
        <w:tblStyle w:val="Style_4"/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094"/>
        <w:gridCol w:w="1983"/>
        <w:gridCol w:w="1709"/>
      </w:tblGrid>
      <w:tr>
        <w:tc>
          <w:tcPr>
            <w:tcW w:type="dxa" w:w="6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spacing w:after="0" w:line="360" w:lineRule="exact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Вариант 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spacing w:after="0" w:line="360" w:lineRule="exact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Вариант 2</w:t>
            </w:r>
          </w:p>
        </w:tc>
      </w:tr>
      <w:tr>
        <w:trPr>
          <w:trHeight w:hRule="atLeast" w:val="486"/>
        </w:trPr>
        <w:tc>
          <w:tcPr>
            <w:tcW w:type="dxa" w:w="6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9.1. Содержание варианта решения проблемы</w:t>
            </w:r>
          </w:p>
        </w:tc>
        <w:tc>
          <w:tcPr>
            <w:tcW w:type="dxa" w:w="1983"/>
            <w:tcBorders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spacing w:after="0" w:line="360" w:lineRule="exact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принятие акта</w:t>
            </w:r>
          </w:p>
        </w:tc>
        <w:tc>
          <w:tcPr>
            <w:tcW w:type="dxa" w:w="1709"/>
            <w:tcBorders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00000">
            <w:pPr>
              <w:spacing w:after="0" w:line="360" w:lineRule="exact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принятие акта</w:t>
            </w:r>
          </w:p>
        </w:tc>
      </w:tr>
      <w:tr>
        <w:tc>
          <w:tcPr>
            <w:tcW w:type="dxa" w:w="6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00000">
            <w:pPr>
              <w:pStyle w:val="Style_5"/>
              <w:spacing w:after="0" w:line="360" w:lineRule="exact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неизвестно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00000">
            <w:pPr>
              <w:pStyle w:val="Style_5"/>
              <w:spacing w:after="0" w:line="360" w:lineRule="exact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неизвестно</w:t>
            </w:r>
          </w:p>
        </w:tc>
      </w:tr>
      <w:tr>
        <w:trPr>
          <w:trHeight w:hRule="atLeast" w:val="558"/>
        </w:trPr>
        <w:tc>
          <w:tcPr>
            <w:tcW w:type="dxa" w:w="6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00000">
            <w:pPr>
              <w:spacing w:after="0" w:line="360" w:lineRule="exact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доходы от предоставления коммунальных услуг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00000">
            <w:pPr>
              <w:spacing w:after="0" w:line="360" w:lineRule="exact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содержание  объекта КОС</w:t>
            </w:r>
          </w:p>
        </w:tc>
      </w:tr>
      <w:tr>
        <w:tc>
          <w:tcPr>
            <w:tcW w:type="dxa" w:w="6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9.4. Оценка расходов (доходов) государственного бюджета Республики Саха (Якутия), связанных с введением предлагаемого правового регулирования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00000">
            <w:pPr>
              <w:spacing w:after="0" w:line="360" w:lineRule="exact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качество предоставляемых коммунальных услуг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00000">
            <w:pPr>
              <w:spacing w:line="360" w:lineRule="exact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качество предоставляемых коммунальных услуг</w:t>
            </w:r>
          </w:p>
        </w:tc>
      </w:tr>
      <w:tr>
        <w:tc>
          <w:tcPr>
            <w:tcW w:type="dxa" w:w="6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00000">
            <w:pPr>
              <w:spacing w:after="0" w:line="360" w:lineRule="exact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достигается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00000">
            <w:pPr>
              <w:spacing w:after="0" w:line="360" w:lineRule="exact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достигается</w:t>
            </w:r>
          </w:p>
        </w:tc>
      </w:tr>
      <w:tr>
        <w:tc>
          <w:tcPr>
            <w:tcW w:type="dxa" w:w="6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9.6. Оценка рисков неблагоприятных последствий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00000">
            <w:pPr>
              <w:spacing w:after="0" w:line="360" w:lineRule="exact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низкая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00000">
            <w:pPr>
              <w:spacing w:after="0" w:line="360" w:lineRule="exact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высокая</w:t>
            </w:r>
          </w:p>
        </w:tc>
      </w:tr>
      <w:tr>
        <w:tc>
          <w:tcPr>
            <w:tcW w:type="dxa" w:w="6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00000">
            <w:pPr>
              <w:spacing w:after="0" w:line="360" w:lineRule="exact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9.7. Необходимые для достижения заявленных целей регулирования организационно-технические, методологические, информационные и иные мероприятия, общий объем затрат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00000">
            <w:pPr>
              <w:spacing w:after="0" w:line="360" w:lineRule="exact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Отбор предложений: приказы, заседания  комиссий, соглашения 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00000">
            <w:pPr>
              <w:spacing w:after="0" w:line="360" w:lineRule="exact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</w:p>
        </w:tc>
      </w:tr>
    </w:tbl>
    <w:p w14:paraId="CE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9.8. Обоснование выбора предпочтительного варианта решения выявленной проблемы:</w:t>
      </w:r>
    </w:p>
    <w:p w14:paraId="CF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Учитывая проводимую государственную политику в сфере водоснабжения и водоотведения, предпочтительным является вариант № 1.</w:t>
      </w:r>
    </w:p>
    <w:p w14:paraId="D0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9.9. Детальное описание предлагаемого варианта решения проблемы:</w:t>
      </w:r>
    </w:p>
    <w:p w14:paraId="D1000000">
      <w:pPr>
        <w:spacing w:after="0" w:line="360" w:lineRule="exact"/>
        <w:ind w:firstLine="709" w:left="0" w:righ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 xml:space="preserve">В случае принятия акта, будет качественное предоставление коммунальных услуг по водоотведению потребителям. </w:t>
      </w:r>
    </w:p>
    <w:p w14:paraId="D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D3000000">
      <w:pPr>
        <w:ind/>
        <w:jc w:val="both"/>
        <w:rPr>
          <w:rFonts w:ascii="Times New Roman" w:hAnsi="Times New Roman"/>
          <w:sz w:val="28"/>
        </w:rPr>
      </w:pPr>
    </w:p>
    <w:p w14:paraId="D4000000">
      <w:pPr>
        <w:ind/>
        <w:jc w:val="both"/>
        <w:rPr>
          <w:rFonts w:ascii="Times New Roman" w:hAnsi="Times New Roman"/>
          <w:sz w:val="28"/>
        </w:rPr>
      </w:pPr>
    </w:p>
    <w:sectPr>
      <w:headerReference r:id="rId1" w:type="first"/>
      <w:headerReference r:id="rId2" w:type="default"/>
      <w:pgSz w:h="16838" w:orient="portrait" w:w="11905"/>
      <w:pgMar w:bottom="568" w:footer="0" w:gutter="0" w:header="0" w:left="1701" w:right="850" w:top="993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  <w:ind/>
      <w:jc w:val="right"/>
      <w:rPr>
        <w:rFonts w:ascii="Times New Roman" w:hAnsi="Times New Roman"/>
        <w:sz w:val="28"/>
      </w:rPr>
    </w:pPr>
  </w:p>
  <w:p w14:paraId="03000000">
    <w:pPr>
      <w:pStyle w:val="Style_1"/>
      <w:ind/>
      <w:jc w:val="right"/>
      <w:rPr>
        <w:rFonts w:ascii="Times New Roman" w:hAnsi="Times New Roman"/>
        <w:sz w:val="28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center"/>
      <w:rPr>
        <w:rFonts w:ascii="Times New Roman" w:hAnsi="Times New Roman"/>
      </w:rPr>
    </w:pPr>
  </w:p>
  <w:p w14:paraId="05000000">
    <w:pPr>
      <w:pStyle w:val="Style_1"/>
      <w:ind/>
      <w:jc w:val="center"/>
      <w:rPr>
        <w:rFonts w:ascii="Times New Roman" w:hAnsi="Times New Roman"/>
      </w:rPr>
    </w:pPr>
  </w:p>
  <w:p w14:paraId="06000000">
    <w:pPr>
      <w:pStyle w:val="Style_1"/>
      <w:ind/>
      <w:jc w:val="center"/>
      <w:rPr>
        <w:rFonts w:ascii="Times New Roman" w:hAnsi="Times New Roman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3_ch" w:type="character">
    <w:name w:val="Normal"/>
    <w:link w:val="Style_3"/>
    <w:rPr>
      <w:rFonts w:asciiTheme="minorAscii" w:hAnsiTheme="minorHAnsi"/>
      <w:color w:val="000000"/>
      <w:spacing w:val="0"/>
      <w:sz w:val="22"/>
    </w:rPr>
  </w:style>
  <w:style w:styleId="Style_6" w:type="paragraph">
    <w:name w:val="toc 2"/>
    <w:next w:val="Style_3"/>
    <w:link w:val="Style_6_ch"/>
    <w:uiPriority w:val="39"/>
    <w:pPr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2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toc 4"/>
    <w:next w:val="Style_3"/>
    <w:link w:val="Style_7_ch"/>
    <w:uiPriority w:val="39"/>
    <w:pPr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4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Balloon Text"/>
    <w:basedOn w:val="Style_3"/>
    <w:link w:val="Style_8_ch"/>
    <w:pPr>
      <w:spacing w:after="0" w:line="240" w:lineRule="auto"/>
      <w:ind/>
    </w:pPr>
    <w:rPr>
      <w:rFonts w:ascii="Segoe UI" w:hAnsi="Segoe UI"/>
      <w:sz w:val="18"/>
    </w:rPr>
  </w:style>
  <w:style w:styleId="Style_8_ch" w:type="character">
    <w:name w:val="Balloon Text"/>
    <w:basedOn w:val="Style_3_ch"/>
    <w:link w:val="Style_8"/>
    <w:rPr>
      <w:rFonts w:ascii="Segoe UI" w:hAnsi="Segoe UI"/>
      <w:sz w:val="18"/>
    </w:rPr>
  </w:style>
  <w:style w:styleId="Style_9" w:type="paragraph">
    <w:name w:val="toc 6"/>
    <w:next w:val="Style_3"/>
    <w:link w:val="Style_9_ch"/>
    <w:uiPriority w:val="39"/>
    <w:pPr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9_ch" w:type="character">
    <w:name w:val="toc 6"/>
    <w:link w:val="Style_9"/>
    <w:rPr>
      <w:rFonts w:ascii="XO Thames" w:hAnsi="XO Thames"/>
      <w:color w:val="000000"/>
      <w:spacing w:val="0"/>
      <w:sz w:val="28"/>
    </w:rPr>
  </w:style>
  <w:style w:styleId="Style_10" w:type="paragraph">
    <w:name w:val="toc 7"/>
    <w:next w:val="Style_3"/>
    <w:link w:val="Style_10_ch"/>
    <w:uiPriority w:val="39"/>
    <w:pPr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0_ch" w:type="character">
    <w:name w:val="toc 7"/>
    <w:link w:val="Style_10"/>
    <w:rPr>
      <w:rFonts w:ascii="XO Thames" w:hAnsi="XO Thames"/>
      <w:color w:val="000000"/>
      <w:spacing w:val="0"/>
      <w:sz w:val="28"/>
    </w:rPr>
  </w:style>
  <w:style w:styleId="Style_5" w:type="paragraph">
    <w:name w:val="ConsPlusNormal"/>
    <w:link w:val="Style_5_ch"/>
    <w:pPr>
      <w:widowControl w:val="0"/>
      <w:spacing w:after="0" w:before="0" w:line="240" w:lineRule="auto"/>
      <w:ind w:firstLine="720" w:left="0" w:right="0"/>
      <w:jc w:val="left"/>
    </w:pPr>
    <w:rPr>
      <w:rFonts w:ascii="Arial" w:hAnsi="Arial"/>
      <w:color w:val="000000"/>
      <w:spacing w:val="0"/>
      <w:sz w:val="20"/>
    </w:rPr>
  </w:style>
  <w:style w:styleId="Style_5_ch" w:type="character">
    <w:name w:val="ConsPlusNormal"/>
    <w:link w:val="Style_5"/>
    <w:rPr>
      <w:rFonts w:ascii="Arial" w:hAnsi="Arial"/>
      <w:color w:val="000000"/>
      <w:spacing w:val="0"/>
      <w:sz w:val="20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 w:line="264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1_ch" w:type="character">
    <w:name w:val="heading 3"/>
    <w:link w:val="Style_11"/>
    <w:rPr>
      <w:rFonts w:ascii="XO Thames" w:hAnsi="XO Thames"/>
      <w:b w:val="1"/>
      <w:color w:val="000000"/>
      <w:spacing w:val="0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3"/>
    <w:link w:val="Style_13_ch"/>
    <w:uiPriority w:val="39"/>
    <w:pPr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13_ch" w:type="character">
    <w:name w:val="toc 3"/>
    <w:link w:val="Style_13"/>
    <w:rPr>
      <w:rFonts w:ascii="XO Thames" w:hAnsi="XO Thames"/>
      <w:color w:val="000000"/>
      <w:spacing w:val="0"/>
      <w:sz w:val="28"/>
    </w:rPr>
  </w:style>
  <w:style w:styleId="Style_14" w:type="paragraph">
    <w:name w:val="List Paragraph"/>
    <w:basedOn w:val="Style_3"/>
    <w:link w:val="Style_14_ch"/>
    <w:pPr>
      <w:ind w:firstLine="0" w:left="720"/>
      <w:contextualSpacing w:val="1"/>
    </w:pPr>
  </w:style>
  <w:style w:styleId="Style_14_ch" w:type="character">
    <w:name w:val="List Paragraph"/>
    <w:basedOn w:val="Style_3_ch"/>
    <w:link w:val="Style_14"/>
  </w:style>
  <w:style w:styleId="Style_15" w:type="paragraph">
    <w:name w:val="heading 5"/>
    <w:next w:val="Style_3"/>
    <w:link w:val="Style_15_ch"/>
    <w:uiPriority w:val="9"/>
    <w:qFormat/>
    <w:pPr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pacing w:val="0"/>
      <w:sz w:val="22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16_ch" w:type="character">
    <w:name w:val="heading 1"/>
    <w:link w:val="Style_16"/>
    <w:rPr>
      <w:rFonts w:ascii="XO Thames" w:hAnsi="XO Thames"/>
      <w:b w:val="1"/>
      <w:color w:val="000000"/>
      <w:spacing w:val="0"/>
      <w:sz w:val="32"/>
    </w:rPr>
  </w:style>
  <w:style w:styleId="Style_17" w:type="paragraph">
    <w:name w:val="Hyperlink"/>
    <w:basedOn w:val="Style_12"/>
    <w:link w:val="Style_17_ch"/>
    <w:rPr>
      <w:color w:themeColor="hyperlink" w:val="0563C1"/>
      <w:u w:val="single"/>
    </w:rPr>
  </w:style>
  <w:style w:styleId="Style_17_ch" w:type="character">
    <w:name w:val="Hyperlink"/>
    <w:basedOn w:val="Style_12_ch"/>
    <w:link w:val="Style_17"/>
    <w:rPr>
      <w:color w:themeColor="hyperlink" w:val="0563C1"/>
      <w:u w:val="single"/>
    </w:rPr>
  </w:style>
  <w:style w:styleId="Style_18" w:type="paragraph">
    <w:name w:val="Footnote"/>
    <w:link w:val="Style_18_ch"/>
    <w:pPr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18_ch" w:type="character">
    <w:name w:val="Footnote"/>
    <w:link w:val="Style_18"/>
    <w:rPr>
      <w:rFonts w:ascii="XO Thames" w:hAnsi="XO Thames"/>
      <w:color w:val="000000"/>
      <w:spacing w:val="0"/>
      <w:sz w:val="22"/>
    </w:rPr>
  </w:style>
  <w:style w:styleId="Style_19" w:type="paragraph">
    <w:name w:val="toc 1"/>
    <w:next w:val="Style_3"/>
    <w:link w:val="Style_19_ch"/>
    <w:uiPriority w:val="39"/>
    <w:pPr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19_ch" w:type="character">
    <w:name w:val="toc 1"/>
    <w:link w:val="Style_19"/>
    <w:rPr>
      <w:rFonts w:ascii="XO Thames" w:hAnsi="XO Thames"/>
      <w:b w:val="1"/>
      <w:color w:val="000000"/>
      <w:spacing w:val="0"/>
      <w:sz w:val="28"/>
    </w:rPr>
  </w:style>
  <w:style w:styleId="Style_20" w:type="paragraph">
    <w:name w:val="footer"/>
    <w:basedOn w:val="Style_3"/>
    <w:link w:val="Style_2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0_ch" w:type="character">
    <w:name w:val="footer"/>
    <w:basedOn w:val="Style_3_ch"/>
    <w:link w:val="Style_20"/>
  </w:style>
  <w:style w:styleId="Style_21" w:type="paragraph">
    <w:name w:val="Header and Footer"/>
    <w:link w:val="Style_21_ch"/>
    <w:pPr>
      <w:spacing w:after="16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21_ch" w:type="character">
    <w:name w:val="Header and Footer"/>
    <w:link w:val="Style_21"/>
    <w:rPr>
      <w:rFonts w:ascii="XO Thames" w:hAnsi="XO Thames"/>
      <w:color w:val="000000"/>
      <w:spacing w:val="0"/>
      <w:sz w:val="20"/>
    </w:rPr>
  </w:style>
  <w:style w:styleId="Style_22" w:type="paragraph">
    <w:name w:val="toc 9"/>
    <w:next w:val="Style_3"/>
    <w:link w:val="Style_22_ch"/>
    <w:uiPriority w:val="39"/>
    <w:pPr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22_ch" w:type="character">
    <w:name w:val="toc 9"/>
    <w:link w:val="Style_22"/>
    <w:rPr>
      <w:rFonts w:ascii="XO Thames" w:hAnsi="XO Thames"/>
      <w:color w:val="000000"/>
      <w:spacing w:val="0"/>
      <w:sz w:val="28"/>
    </w:rPr>
  </w:style>
  <w:style w:styleId="Style_2" w:type="paragraph">
    <w:name w:val="Default"/>
    <w:link w:val="Style_2_ch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styleId="Style_2_ch" w:type="character">
    <w:name w:val="Default"/>
    <w:link w:val="Style_2"/>
    <w:rPr>
      <w:rFonts w:ascii="Times New Roman" w:hAnsi="Times New Roman"/>
      <w:color w:val="000000"/>
      <w:spacing w:val="0"/>
      <w:sz w:val="24"/>
    </w:rPr>
  </w:style>
  <w:style w:styleId="Style_23" w:type="paragraph">
    <w:name w:val="toc 8"/>
    <w:next w:val="Style_3"/>
    <w:link w:val="Style_23_ch"/>
    <w:uiPriority w:val="39"/>
    <w:pPr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23_ch" w:type="character">
    <w:name w:val="toc 8"/>
    <w:link w:val="Style_23"/>
    <w:rPr>
      <w:rFonts w:ascii="XO Thames" w:hAnsi="XO Thames"/>
      <w:color w:val="000000"/>
      <w:spacing w:val="0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24" w:type="paragraph">
    <w:name w:val="toc 5"/>
    <w:next w:val="Style_3"/>
    <w:link w:val="Style_24_ch"/>
    <w:uiPriority w:val="39"/>
    <w:pPr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24_ch" w:type="character">
    <w:name w:val="toc 5"/>
    <w:link w:val="Style_24"/>
    <w:rPr>
      <w:rFonts w:ascii="XO Thames" w:hAnsi="XO Thames"/>
      <w:color w:val="000000"/>
      <w:spacing w:val="0"/>
      <w:sz w:val="28"/>
    </w:rPr>
  </w:style>
  <w:style w:styleId="Style_25" w:type="paragraph">
    <w:name w:val="Subtitle"/>
    <w:next w:val="Style_3"/>
    <w:link w:val="Style_25_ch"/>
    <w:uiPriority w:val="11"/>
    <w:qFormat/>
    <w:pPr>
      <w:spacing w:after="160" w:before="0" w:line="264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000000"/>
      <w:spacing w:val="0"/>
      <w:sz w:val="24"/>
    </w:rPr>
  </w:style>
  <w:style w:styleId="Style_26" w:type="paragraph">
    <w:name w:val="Title"/>
    <w:next w:val="Style_3"/>
    <w:link w:val="Style_26_ch"/>
    <w:uiPriority w:val="10"/>
    <w:qFormat/>
    <w:pPr>
      <w:spacing w:after="567" w:before="567" w:line="264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color w:val="000000"/>
      <w:spacing w:val="0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27_ch" w:type="character">
    <w:name w:val="heading 4"/>
    <w:link w:val="Style_27"/>
    <w:rPr>
      <w:rFonts w:ascii="XO Thames" w:hAnsi="XO Thames"/>
      <w:b w:val="1"/>
      <w:color w:val="000000"/>
      <w:spacing w:val="0"/>
      <w:sz w:val="24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28_ch" w:type="character">
    <w:name w:val="heading 2"/>
    <w:link w:val="Style_28"/>
    <w:rPr>
      <w:rFonts w:ascii="XO Thames" w:hAnsi="XO Thames"/>
      <w:b w:val="1"/>
      <w:color w:val="000000"/>
      <w:spacing w:val="0"/>
      <w:sz w:val="28"/>
    </w:rPr>
  </w:style>
  <w:style w:default="1" w:styleId="Style_4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2024-05-21T03:59:13Z</dcterms:modified>
</cp:coreProperties>
</file>