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СВОДНЫЙ АНАЛИЗ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проведения оценки регулирующего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воздействия проекта нормативного правового акта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Общая информация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1.1.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Орга</w:t>
      </w:r>
      <w:r>
        <w:rPr>
          <w:rFonts w:ascii="Times New Roman" w:hAnsi="Times New Roman"/>
          <w:b w:val="1"/>
          <w:sz w:val="28"/>
        </w:rPr>
        <w:t>н-разработчик: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Министерство экологии, природопользования и лесного хозяйства Республики Саха (Якутия).</w:t>
      </w:r>
    </w:p>
    <w:p w14:paraId="09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1.2.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Вид и наименование проекта нормативного правового акта: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проект</w:t>
      </w:r>
      <w:r>
        <w:rPr>
          <w:rFonts w:ascii="XO Thames" w:hAnsi="XO Thames"/>
          <w:i w:val="1"/>
          <w:sz w:val="28"/>
        </w:rPr>
        <w:t xml:space="preserve"> постановления Правительства Республики Саха (Якутия)</w:t>
      </w:r>
      <w:r>
        <w:rPr>
          <w:rFonts w:ascii="XO Thames" w:hAnsi="XO Thames"/>
          <w:i w:val="1"/>
          <w:sz w:val="28"/>
        </w:rPr>
        <w:t xml:space="preserve"> </w:t>
      </w:r>
      <w:r>
        <w:rPr>
          <w:rFonts w:ascii="XO Thames" w:hAnsi="XO Thames"/>
          <w:b w:val="0"/>
          <w:i w:val="1"/>
          <w:sz w:val="28"/>
        </w:rPr>
        <w:t>«</w:t>
      </w:r>
      <w:r>
        <w:rPr>
          <w:rFonts w:ascii="XO Thames" w:hAnsi="XO Thames"/>
          <w:i w:val="1"/>
          <w:sz w:val="28"/>
        </w:rPr>
        <w:t xml:space="preserve">О проекте закона Республики Саха (Якутия) </w:t>
      </w:r>
      <w:r>
        <w:rPr>
          <w:rFonts w:ascii="XO Thames" w:hAnsi="XO Thames"/>
          <w:i w:val="1"/>
          <w:sz w:val="28"/>
        </w:rPr>
        <w:t xml:space="preserve">«О внесении изменений в Кодекс Республики Саха (Якутия) </w:t>
      </w:r>
      <w:r>
        <w:rPr>
          <w:rFonts w:ascii="XO Thames" w:hAnsi="XO Thames"/>
          <w:i w:val="1"/>
          <w:sz w:val="28"/>
        </w:rPr>
        <w:t>об административных правонарушениях»</w:t>
      </w:r>
      <w:r>
        <w:rPr>
          <w:rFonts w:ascii="XO Thames" w:hAnsi="XO Thames"/>
          <w:b w:val="0"/>
          <w:i w:val="1"/>
          <w:sz w:val="28"/>
        </w:rPr>
        <w:t>»</w:t>
      </w:r>
      <w:r>
        <w:rPr>
          <w:rFonts w:ascii="XO Thames" w:hAnsi="XO Thames"/>
          <w:b w:val="0"/>
          <w:i w:val="1"/>
          <w:sz w:val="28"/>
        </w:rPr>
        <w:t>.</w:t>
      </w:r>
    </w:p>
    <w:p w14:paraId="0A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1.3.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XO Thames" w:hAnsi="XO Thames"/>
          <w:i w:val="1"/>
          <w:sz w:val="28"/>
        </w:rPr>
        <w:t>учитывая обязанность юридических лиц и индивидуальных предпринимателей, осуществляющих хозяйственную или иную деятельность на территории Республики Саха (Якутия), представлять информацию для республиканского кадастра отходов в порядке и сроки, установленные Правительством Республики Саха (Якутия), вводится административная ответственность за непредставление, предоставление неполных или недостоверных сведений, необходимых для ведения республиканского кадастра отходов производства и потребления, а равно нарушение сроков предоставления указанных сведений. Принятие проекта</w:t>
      </w:r>
      <w:r>
        <w:rPr>
          <w:rFonts w:ascii="XO Thames" w:hAnsi="XO Thames"/>
          <w:i w:val="1"/>
          <w:sz w:val="28"/>
        </w:rPr>
        <w:t xml:space="preserve"> не вле</w:t>
      </w:r>
      <w:r>
        <w:rPr>
          <w:rFonts w:ascii="XO Thames" w:hAnsi="XO Thames"/>
          <w:i w:val="1"/>
          <w:sz w:val="28"/>
        </w:rPr>
        <w:t>чет</w:t>
      </w:r>
      <w:r>
        <w:rPr>
          <w:rFonts w:ascii="XO Thames" w:hAnsi="XO Thames"/>
          <w:i w:val="1"/>
          <w:sz w:val="28"/>
        </w:rPr>
        <w:t xml:space="preserve"> дополнительных финансовых расходов.</w:t>
      </w:r>
    </w:p>
    <w:p w14:paraId="0B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1.4.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Краткое описание целей предлагаемого правового регулирования: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профилактика и недопущение нарушений в области охраны окружающей среды.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1.5.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Кра</w:t>
      </w:r>
      <w:r>
        <w:rPr>
          <w:rFonts w:ascii="Times New Roman" w:hAnsi="Times New Roman"/>
          <w:b w:val="1"/>
          <w:sz w:val="28"/>
        </w:rPr>
        <w:t>ткое описание содержания предлагаемого правового регулирования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XO Thames" w:hAnsi="XO Thames"/>
          <w:i w:val="1"/>
          <w:sz w:val="28"/>
        </w:rPr>
        <w:t>предлагается внести в Кодекс Республики Саха (Якутия) об административных правонарушениях изменения, дополнив статьей 4.10, устанавливающей наказание за нарушение порядка предоставления сведений, необходимых для ведения республиканского кадастра отходов производства и потребления, пунктом 10 в статью 4.13, определяющим уполномоченный орган, рассматривающий дела об административных правонарушениях, предусмотренных статьей 4.10 настоящего Кодекса.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i w:val="1"/>
          <w:sz w:val="28"/>
        </w:rPr>
        <w:t>Сумма налагаемого административного штрафа в проекте соответствует сумме штрафа, предусмотренной статьей 8.5 Кодекса Российской Федерации об административных правонарушениях, за сокрытие или искажение экологической информации.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i w:val="1"/>
          <w:sz w:val="28"/>
        </w:rPr>
        <w:t>В соответствии с подпунктом 2 пункта 2 статьи 65 Федерального закона от 10 января 2002 г. N 7-ФЗ «Об охране окружающей среды», пунктом 2 Положения о региональном государственном экологическом контроле (надзоре), утвержденной Постановлением Правительства Республики Саха (Якутия) от 24 сентября 2021 г. N 389, предметом регионального государственного экологического контроля (надзора), в том числе является соблюдение обязательных требований в области охраны окружающей среды, включая требования, содержащиеся в разрешительных документах и установленных Федеральным законом от 24 июня 1998 г. N 89-ФЗ «Об отходах производства и потребления».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i w:val="1"/>
          <w:sz w:val="28"/>
        </w:rPr>
        <w:t xml:space="preserve">В соответствии с подпунктом 4 пункта 3.3 Положения о Министерстве экологии, природопользования и лесного хозяйства Республики Саха (Якутия), утвержденной Постановлением Правительства Республики Саха (Якутия) от 30 августа 2022 г. N 549, на министерство возложено полномочие по осуществлению регионального государственного экологического контроля (надзора) в части соблюдения обязательных требований в области обращения с отходами производства и потребления 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1.6.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Контак</w:t>
      </w:r>
      <w:r>
        <w:rPr>
          <w:rFonts w:ascii="Times New Roman" w:hAnsi="Times New Roman"/>
          <w:b w:val="1"/>
          <w:sz w:val="28"/>
        </w:rPr>
        <w:t>тная информация исполнителя в органе-разработчике: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Андреев Михаил Семенович, департамент экологической безопасности и правовой экспертизы Минэкологии РС(Я), телефон: 8(4112) 508-592, с 9.00 до 18.00 по рабочим дням, электронный адрес: </w:t>
      </w:r>
      <w:r>
        <w:rPr>
          <w:rStyle w:val="Style_1_ch"/>
          <w:rFonts w:ascii="Times New Roman" w:hAnsi="Times New Roman"/>
          <w:i w:val="1"/>
          <w:sz w:val="28"/>
        </w:rPr>
        <w:fldChar w:fldCharType="begin"/>
      </w:r>
      <w:r>
        <w:rPr>
          <w:rStyle w:val="Style_1_ch"/>
          <w:rFonts w:ascii="Times New Roman" w:hAnsi="Times New Roman"/>
          <w:i w:val="1"/>
          <w:sz w:val="28"/>
        </w:rPr>
        <w:instrText>HYPERLINK "mailto:minopr@sakha.gov.ru"</w:instrText>
      </w:r>
      <w:r>
        <w:rPr>
          <w:rStyle w:val="Style_1_ch"/>
          <w:rFonts w:ascii="Times New Roman" w:hAnsi="Times New Roman"/>
          <w:i w:val="1"/>
          <w:sz w:val="28"/>
        </w:rPr>
        <w:fldChar w:fldCharType="separate"/>
      </w:r>
      <w:r>
        <w:rPr>
          <w:rStyle w:val="Style_1_ch"/>
          <w:rFonts w:ascii="Times New Roman" w:hAnsi="Times New Roman"/>
          <w:i w:val="1"/>
          <w:sz w:val="28"/>
        </w:rPr>
        <w:t>minopr</w:t>
      </w:r>
      <w:r>
        <w:rPr>
          <w:rStyle w:val="Style_1_ch"/>
          <w:rFonts w:ascii="Times New Roman" w:hAnsi="Times New Roman"/>
          <w:i w:val="1"/>
          <w:sz w:val="28"/>
        </w:rPr>
        <w:t>@</w:t>
      </w:r>
      <w:r>
        <w:rPr>
          <w:rStyle w:val="Style_1_ch"/>
          <w:rFonts w:ascii="Times New Roman" w:hAnsi="Times New Roman"/>
          <w:i w:val="1"/>
          <w:sz w:val="28"/>
        </w:rPr>
        <w:t>sakha</w:t>
      </w:r>
      <w:r>
        <w:rPr>
          <w:rStyle w:val="Style_1_ch"/>
          <w:rFonts w:ascii="Times New Roman" w:hAnsi="Times New Roman"/>
          <w:i w:val="1"/>
          <w:sz w:val="28"/>
        </w:rPr>
        <w:t>.</w:t>
      </w:r>
      <w:r>
        <w:rPr>
          <w:rStyle w:val="Style_1_ch"/>
          <w:rFonts w:ascii="Times New Roman" w:hAnsi="Times New Roman"/>
          <w:i w:val="1"/>
          <w:sz w:val="28"/>
        </w:rPr>
        <w:t>gov</w:t>
      </w:r>
      <w:r>
        <w:rPr>
          <w:rStyle w:val="Style_1_ch"/>
          <w:rFonts w:ascii="Times New Roman" w:hAnsi="Times New Roman"/>
          <w:i w:val="1"/>
          <w:sz w:val="28"/>
        </w:rPr>
        <w:t>.</w:t>
      </w:r>
      <w:r>
        <w:rPr>
          <w:rStyle w:val="Style_1_ch"/>
          <w:rFonts w:ascii="Times New Roman" w:hAnsi="Times New Roman"/>
          <w:i w:val="1"/>
          <w:sz w:val="28"/>
        </w:rPr>
        <w:t>ru</w:t>
      </w:r>
      <w:r>
        <w:rPr>
          <w:rStyle w:val="Style_1_ch"/>
          <w:rFonts w:ascii="Times New Roman" w:hAnsi="Times New Roman"/>
          <w:i w:val="1"/>
          <w:sz w:val="28"/>
        </w:rPr>
        <w:fldChar w:fldCharType="end"/>
      </w:r>
      <w:r>
        <w:rPr>
          <w:rFonts w:ascii="Times New Roman" w:hAnsi="Times New Roman"/>
          <w:i w:val="1"/>
          <w:sz w:val="28"/>
        </w:rPr>
        <w:t xml:space="preserve">. 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1.7.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Степень регулирующего воздействия проекта нормативного правового акт</w:t>
      </w:r>
      <w:r>
        <w:rPr>
          <w:rFonts w:ascii="Times New Roman" w:hAnsi="Times New Roman"/>
          <w:b w:val="1"/>
          <w:sz w:val="28"/>
        </w:rPr>
        <w:t>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  <w:u w:val="single"/>
        </w:rPr>
        <w:t>высокая</w:t>
      </w:r>
      <w:r>
        <w:rPr>
          <w:rFonts w:ascii="Times New Roman" w:hAnsi="Times New Roman"/>
          <w:i w:val="1"/>
          <w:sz w:val="28"/>
          <w:u w:val="single"/>
        </w:rPr>
        <w:t>.</w:t>
      </w:r>
    </w:p>
    <w:p w14:paraId="12000000">
      <w:pPr>
        <w:spacing w:after="0" w:line="240" w:lineRule="auto"/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XO Thames" w:hAnsi="XO Thames"/>
          <w:b w:val="1"/>
          <w:sz w:val="28"/>
        </w:rPr>
        <w:t>.8.</w:t>
      </w:r>
      <w:r>
        <w:rPr>
          <w:rFonts w:ascii="XO Thames" w:hAnsi="XO Thames"/>
          <w:b w:val="1"/>
          <w:sz w:val="28"/>
        </w:rPr>
        <w:tab/>
      </w:r>
      <w:r>
        <w:rPr>
          <w:rFonts w:ascii="XO Thames" w:hAnsi="XO Thames"/>
          <w:b w:val="1"/>
          <w:sz w:val="28"/>
        </w:rPr>
        <w:t>Обоснование отнесения проекта нормативного правового акта к определенной степени регулирующего воздействия:</w:t>
      </w:r>
    </w:p>
    <w:p w14:paraId="13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 xml:space="preserve">Данные республиканского кадастра отходов будут использованы при разработке и актуализации территориальной схемы обращения с отходами, утверждаемым Министерством жилищно-коммунального хозяйства и энергетики Республики Саха (Якутия), в соответствии с пунктом 3.117 Положения о министерстве. </w:t>
      </w:r>
    </w:p>
    <w:p w14:paraId="14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 xml:space="preserve">В соответствии с подпунктом 9 пункта 3.3 Положения о Министерстве экологии, природопользования и лесного хозяйства Республики Саха (Якутия), утвержденной Постановлением Правительства Республики Саха (Якутия) от 30 августа 2022 г. N 549, министерство участвует в разработке территориальной схемы обращения с отходами. </w:t>
      </w:r>
    </w:p>
    <w:p w14:paraId="15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Принятие законопроекта повысит эффективность управления в области обращения с отходами, позволит предотвратить несанкционированное образование, размещение отходов, систематизировать данные о происхождении, количестве, свойствах, классе опасности отходов, об объектах размещения отходов, технологиях их утилизации и обезвреживания, необходимых для учета в области обращения с отходами производства и потребления.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i w:val="1"/>
          <w:sz w:val="28"/>
        </w:rPr>
        <w:t xml:space="preserve">Проектом </w:t>
      </w:r>
      <w:r>
        <w:rPr>
          <w:rFonts w:ascii="XO Thames" w:hAnsi="XO Thames"/>
          <w:i w:val="1"/>
          <w:sz w:val="28"/>
        </w:rPr>
        <w:t>предлагается внести в Кодекс Республики Саха (Якутия) об административных правонарушениях изменения, дополнив статьей 4.10, устанавливающей наказание за нарушение порядка предоставления сведений, необходимых для ведения республиканского кадастра отходов производства и потребления, пунктом 10 в статью 4.13, определяющим уполномоченный орган, рассматривающий дела об административных правонарушениях, предусмотренных статьей 4.10 настоящего Кодекса.</w:t>
      </w: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XO Thames" w:hAnsi="XO Thames"/>
          <w:b w:val="1"/>
          <w:sz w:val="28"/>
        </w:rPr>
        <w:t>Описание проблемы, на ре</w:t>
      </w:r>
      <w:r>
        <w:rPr>
          <w:rFonts w:ascii="Times New Roman" w:hAnsi="Times New Roman"/>
          <w:b w:val="1"/>
          <w:sz w:val="28"/>
        </w:rPr>
        <w:t>шение которой направлено предлагаемое правовое регулирование.</w:t>
      </w:r>
    </w:p>
    <w:p w14:paraId="18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Формулировка проблемы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XO Thames" w:hAnsi="XO Thames"/>
          <w:i w:val="1"/>
          <w:sz w:val="28"/>
        </w:rPr>
        <w:t>Принятие законопроекта повысит эффективность управления в области обращения с отходами, позволит предотвратить несанкционированное образование, размещение отходов, систематизировать данные о происхождении, количестве, свойствах, классе опасности отходов, об объектах размещения отходов, технологиях их утилизации и обезвреживания, необходимых для учета в области обращения с отходами производства и потребления.</w:t>
      </w:r>
    </w:p>
    <w:p w14:paraId="19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XO Thames" w:hAnsi="XO Thames"/>
          <w:i w:val="1"/>
          <w:sz w:val="28"/>
        </w:rPr>
        <w:t>проектом постановления</w:t>
      </w:r>
      <w:r>
        <w:rPr>
          <w:rFonts w:ascii="XO Thames" w:hAnsi="XO Thames"/>
          <w:i w:val="1"/>
          <w:sz w:val="28"/>
        </w:rPr>
        <w:t xml:space="preserve"> приводится в соответствие действующему федеральному законодательству.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2.3.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Социальные группы, заинтересованные в устранении проблемы, их количественная оценка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исполнительные органы государственной власти Республики Саха (Якутия), органы местного самоуправления, юридические лица, индивидуальные предприниматели.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2.4.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Характеристика негативных эффектов, возникающих в связи с наличием проблемы, их количественная оценка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нарушение нормативных правовых актов, приведенном в пункте 2.1.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2.5.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b w:val="0"/>
          <w:i w:val="1"/>
          <w:sz w:val="28"/>
          <w:u w:val="none"/>
        </w:rPr>
        <w:t xml:space="preserve"> -.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2.6.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-.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2.7.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Опыт решения аналогичных проблем в других субъектах Российской Федерации, иностранных государствах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XO Thames" w:hAnsi="XO Thames"/>
          <w:i w:val="1"/>
          <w:sz w:val="28"/>
        </w:rPr>
        <w:t>Для примера, аналогичная ответственность установлена в ряде субъектов Российской федерации:</w:t>
      </w:r>
    </w:p>
    <w:p w14:paraId="1F000000">
      <w:pPr>
        <w:spacing w:after="0" w:line="240" w:lineRule="auto"/>
        <w:ind w:firstLine="0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 xml:space="preserve">- Кодекс Нижегородской области от 20.05.2003 г. № 34-З «Об административных правонарушениях» </w:t>
      </w:r>
    </w:p>
    <w:p w14:paraId="20000000">
      <w:pPr>
        <w:spacing w:after="0" w:line="240" w:lineRule="auto"/>
        <w:ind w:firstLine="0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Статья 5.17. «Нарушение порядка представления сведений, необходимых для ведения регионального кадастра отходов производства и потребления области»;</w:t>
      </w:r>
    </w:p>
    <w:p w14:paraId="21000000">
      <w:pPr>
        <w:spacing w:after="0" w:line="240" w:lineRule="auto"/>
        <w:ind w:firstLine="0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- Кодекса Тюменской области об административной ответственности» от 27.12.2007 г. № 55</w:t>
      </w:r>
    </w:p>
    <w:p w14:paraId="22000000">
      <w:pPr>
        <w:spacing w:after="0" w:line="240" w:lineRule="auto"/>
        <w:ind w:firstLine="0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Статья 3.22. «Нарушение порядка предоставления сведений, необходимых для ведения регионального кадастра отходов Тюменской области»</w:t>
      </w:r>
      <w:r>
        <w:rPr>
          <w:rFonts w:ascii="XO Thames" w:hAnsi="XO Thames"/>
          <w:b w:val="1"/>
          <w:i w:val="1"/>
          <w:sz w:val="28"/>
        </w:rPr>
        <w:t>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2.8.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Источники данных</w:t>
      </w:r>
      <w:r>
        <w:rPr>
          <w:rFonts w:ascii="Times New Roman" w:hAnsi="Times New Roman"/>
          <w:sz w:val="28"/>
        </w:rPr>
        <w:t xml:space="preserve">: -. 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  <w:shd w:fill="FFD821" w:val="clear"/>
        </w:rPr>
      </w:pPr>
      <w:r>
        <w:rPr>
          <w:rFonts w:ascii="Times New Roman" w:hAnsi="Times New Roman"/>
          <w:b w:val="1"/>
          <w:sz w:val="28"/>
        </w:rPr>
        <w:t>2.9.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Иная информация о проблеме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не имеется.</w:t>
      </w:r>
    </w:p>
    <w:p w14:paraId="2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Определение целей предлагаемого правового регулирования и индикаторов для оценки их достижения:</w:t>
      </w:r>
    </w:p>
    <w:tbl>
      <w:tblPr>
        <w:tblStyle w:val="Style_2"/>
        <w:tblLayout w:type="fixed"/>
      </w:tblPr>
      <w:tblGrid>
        <w:gridCol w:w="3108"/>
        <w:gridCol w:w="3108"/>
        <w:gridCol w:w="3129"/>
      </w:tblGrid>
      <w:tr>
        <w:tc>
          <w:tcPr>
            <w:tcW w:type="dxa" w:w="3108"/>
          </w:tcPr>
          <w:p w14:paraId="26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3.1. Цели предлагаемого правового регулирования</w:t>
            </w:r>
          </w:p>
        </w:tc>
        <w:tc>
          <w:tcPr>
            <w:tcW w:type="dxa" w:w="3108"/>
          </w:tcPr>
          <w:p w14:paraId="27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3129"/>
          </w:tcPr>
          <w:p w14:paraId="28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3.3. Периодичность мониторинга достижения целей предлагаемого правового регулирования</w:t>
            </w:r>
          </w:p>
        </w:tc>
      </w:tr>
      <w:tr>
        <w:tc>
          <w:tcPr>
            <w:tcW w:type="dxa" w:w="3108"/>
          </w:tcPr>
          <w:p w14:paraId="29000000">
            <w:pPr>
              <w:spacing w:after="0" w:line="240" w:lineRule="auto"/>
              <w:ind w:firstLine="0" w:left="0"/>
              <w:jc w:val="both"/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>Внесение в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0"/>
              </w:rPr>
              <w:fldChar w:fldCharType="begin"/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0"/>
              </w:rPr>
              <w:instrText>HYPERLINK "https://internet.garant.ru/#/document/26716150/entry/0"</w:instrTex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0"/>
              </w:rPr>
              <w:fldChar w:fldCharType="separate"/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0"/>
              </w:rPr>
              <w:t>Кодекс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0"/>
              </w:rPr>
              <w:fldChar w:fldCharType="end"/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Республики Саха (Якутия) об а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>дминистративных правонарушениях изменения</w:t>
            </w:r>
            <w:r>
              <w:rPr>
                <w:rFonts w:ascii="XO Thames" w:hAnsi="XO Thames"/>
                <w:b w:val="0"/>
                <w:color w:val="000000"/>
                <w:sz w:val="20"/>
              </w:rPr>
              <w:t xml:space="preserve">, дополнив </w: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fldChar w:fldCharType="begin"/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instrText>HYPERLINK "https://internet.garant.ru/#/document/26716150/entry/48"</w:instrTex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fldChar w:fldCharType="separate"/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t>статьей 4.10, у</w: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fldChar w:fldCharType="end"/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t xml:space="preserve">станавливающей наказание за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нарушение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порядка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>предоставления сведений, необходимых для ведения республиканского кадастра отходов производства и потребления</w:t>
            </w:r>
            <w:r>
              <w:rPr>
                <w:rFonts w:ascii="XO Thames" w:hAnsi="XO Thames"/>
                <w:b w:val="0"/>
                <w:color w:val="000000"/>
                <w:sz w:val="20"/>
              </w:rPr>
              <w:t xml:space="preserve">,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пунктом 10 в статью </w: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t xml:space="preserve">4.13,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определяющим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уполномоченный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>орган, рассматривающий дела об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административных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>правонарушениях</w:t>
            </w:r>
            <w:r>
              <w:rPr>
                <w:rFonts w:ascii="XO Thames" w:hAnsi="XO Thames"/>
                <w:b w:val="0"/>
                <w:color w:val="000000"/>
                <w:sz w:val="20"/>
              </w:rPr>
              <w:t>, предусмотренных</w: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t xml:space="preserve"> </w: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fldChar w:fldCharType="begin"/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instrText>HYPERLINK "https://internet.garant.ru/#/document/26716150/entry/45"</w:instrTex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fldChar w:fldCharType="separate"/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t>статьей 4.10</w:t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fldChar w:fldCharType="end"/>
            </w:r>
            <w:r>
              <w:rPr>
                <w:rFonts w:ascii="XO Thames" w:hAnsi="XO Thames"/>
                <w:b w:val="0"/>
                <w:strike w:val="0"/>
                <w:color w:val="000000"/>
                <w:sz w:val="20"/>
              </w:rPr>
              <w:t xml:space="preserve"> </w:t>
            </w:r>
            <w:r>
              <w:rPr>
                <w:rFonts w:ascii="XO Thames" w:hAnsi="XO Thames"/>
                <w:b w:val="0"/>
                <w:color w:val="000000"/>
                <w:sz w:val="20"/>
              </w:rPr>
              <w:t>настоящего Кодекса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>.</w:t>
            </w:r>
          </w:p>
          <w:p w14:paraId="2A000000">
            <w:pPr>
              <w:spacing w:after="0" w:before="0" w:line="240" w:lineRule="auto"/>
              <w:ind w:firstLine="0" w:left="0" w:right="0"/>
              <w:jc w:val="both"/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Сумма налагаемого административного штрафа в проекте соответствует сумме штрафа, предусмотренной статьей 8.5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Кодекса Российской Федерации об административных правонарушениях,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>за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0"/>
              </w:rPr>
              <w:t xml:space="preserve"> сокрытие или искажение экологической информации.</w:t>
            </w:r>
          </w:p>
        </w:tc>
        <w:tc>
          <w:tcPr>
            <w:tcW w:type="dxa" w:w="3108"/>
          </w:tcPr>
          <w:p w14:paraId="2B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декабрь 2024 г.</w:t>
            </w:r>
          </w:p>
        </w:tc>
        <w:tc>
          <w:tcPr>
            <w:tcW w:type="dxa" w:w="3129"/>
          </w:tcPr>
          <w:p w14:paraId="2C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установлена</w:t>
            </w:r>
          </w:p>
        </w:tc>
      </w:tr>
    </w:tbl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3.4.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прот</w:t>
      </w:r>
      <w:r>
        <w:rPr>
          <w:rFonts w:ascii="Times New Roman" w:hAnsi="Times New Roman"/>
          <w:i w:val="1"/>
          <w:sz w:val="28"/>
        </w:rPr>
        <w:t>окол совещания об организации обращения с отходами производства и потребления на территории Республики Саха (Якутия), под председательством первого заместителя Председателя Правительства Республики Саха (Якутия) Садовникова Д.Д. от 31.07.2023 №Пр-168-П2.</w:t>
      </w:r>
    </w:p>
    <w:tbl>
      <w:tblPr>
        <w:tblStyle w:val="Style_2"/>
        <w:tblLayout w:type="fixed"/>
      </w:tblPr>
      <w:tblGrid>
        <w:gridCol w:w="2339"/>
        <w:gridCol w:w="2348"/>
        <w:gridCol w:w="2329"/>
        <w:gridCol w:w="2329"/>
      </w:tblGrid>
      <w:tr>
        <w:tc>
          <w:tcPr>
            <w:tcW w:type="dxa" w:w="2339"/>
          </w:tcPr>
          <w:p w14:paraId="2E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3.5. Цели предлагаемого правового регулирования</w:t>
            </w:r>
          </w:p>
        </w:tc>
        <w:tc>
          <w:tcPr>
            <w:tcW w:type="dxa" w:w="2348"/>
          </w:tcPr>
          <w:p w14:paraId="2F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3.6. Индикаторы достижения целей предлагаемого правового регулирования</w:t>
            </w:r>
          </w:p>
        </w:tc>
        <w:tc>
          <w:tcPr>
            <w:tcW w:type="dxa" w:w="2329"/>
          </w:tcPr>
          <w:p w14:paraId="30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3.7. Единица измерения индикаторов</w:t>
            </w:r>
          </w:p>
        </w:tc>
        <w:tc>
          <w:tcPr>
            <w:tcW w:type="dxa" w:w="2329"/>
          </w:tcPr>
          <w:p w14:paraId="31000000">
            <w:pPr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3.8. Целевые значения индикаторов по годам</w:t>
            </w:r>
          </w:p>
        </w:tc>
      </w:tr>
      <w:tr>
        <w:trPr>
          <w:trHeight w:hRule="atLeast" w:val="360"/>
        </w:trPr>
        <w:tc>
          <w:tcPr>
            <w:tcW w:type="dxa" w:w="2339"/>
          </w:tcPr>
          <w:p w14:paraId="32000000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Дополнение статьи КоАП РС(Я)</w:t>
            </w:r>
          </w:p>
        </w:tc>
        <w:tc>
          <w:tcPr>
            <w:tcW w:type="dxa" w:w="2348"/>
          </w:tcPr>
          <w:p w14:paraId="33000000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внесение в КоАП РС(Я) статьи 4.10</w:t>
            </w:r>
          </w:p>
        </w:tc>
        <w:tc>
          <w:tcPr>
            <w:tcW w:type="dxa" w:w="2329"/>
          </w:tcPr>
          <w:p w14:paraId="3400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%</w:t>
            </w:r>
          </w:p>
        </w:tc>
        <w:tc>
          <w:tcPr>
            <w:tcW w:type="dxa" w:w="2329"/>
          </w:tcPr>
          <w:p w14:paraId="35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0</w:t>
            </w:r>
          </w:p>
        </w:tc>
      </w:tr>
    </w:tbl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3.9.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качественный.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3.10.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Проведение мониторинга и иные способы (методы) оценки достижения целей предлагаемого правового регулирования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i w:val="1"/>
          <w:sz w:val="28"/>
        </w:rPr>
        <w:t xml:space="preserve"> ежегодно.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3.11.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i w:val="1"/>
          <w:sz w:val="28"/>
        </w:rPr>
        <w:t xml:space="preserve"> отсутствует.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3.12.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Источники информации для расчета индикаторов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мониторинг нормативных правовых актов Республики Саха (Якутия) в области охраны окружающей среды</w:t>
      </w:r>
      <w:r>
        <w:rPr>
          <w:rFonts w:ascii="Times New Roman" w:hAnsi="Times New Roman"/>
          <w:i w:val="1"/>
          <w:sz w:val="28"/>
        </w:rPr>
        <w:t>.</w:t>
      </w:r>
    </w:p>
    <w:p w14:paraId="3A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Качественная характеристика и оценка численности потенциальных адресатов предлагаемого правового регулирования (их групп) </w:t>
      </w:r>
    </w:p>
    <w:tbl>
      <w:tblPr>
        <w:tblStyle w:val="Style_2"/>
        <w:tblLayout w:type="fixed"/>
      </w:tblPr>
      <w:tblGrid>
        <w:gridCol w:w="3115"/>
        <w:gridCol w:w="3116"/>
        <w:gridCol w:w="3114"/>
      </w:tblGrid>
      <w:tr>
        <w:tc>
          <w:tcPr>
            <w:tcW w:type="dxa" w:w="3115"/>
          </w:tcPr>
          <w:p w14:paraId="3B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 Группы потенциальных адресатов предлагаемого правового регулирования </w:t>
            </w:r>
          </w:p>
        </w:tc>
        <w:tc>
          <w:tcPr>
            <w:tcW w:type="dxa" w:w="3116"/>
          </w:tcPr>
          <w:p w14:paraId="3C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 Количество участников группы</w:t>
            </w:r>
          </w:p>
        </w:tc>
        <w:tc>
          <w:tcPr>
            <w:tcW w:type="dxa" w:w="3114"/>
          </w:tcPr>
          <w:p w14:paraId="3D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 Источники данных</w:t>
            </w:r>
          </w:p>
        </w:tc>
      </w:tr>
      <w:tr>
        <w:tc>
          <w:tcPr>
            <w:tcW w:type="dxa" w:w="3115"/>
          </w:tcPr>
          <w:p w14:paraId="3E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ОМСУ, ЮЛ, ИП </w:t>
            </w:r>
          </w:p>
        </w:tc>
        <w:tc>
          <w:tcPr>
            <w:tcW w:type="dxa" w:w="3116"/>
          </w:tcPr>
          <w:p w14:paraId="3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4"/>
          </w:tcPr>
          <w:p w14:paraId="4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2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Style w:val="Style_2"/>
        <w:tblLayout w:type="fixed"/>
      </w:tblPr>
      <w:tblGrid>
        <w:gridCol w:w="1889"/>
        <w:gridCol w:w="1890"/>
        <w:gridCol w:w="2025"/>
        <w:gridCol w:w="1760"/>
        <w:gridCol w:w="1781"/>
      </w:tblGrid>
      <w:tr>
        <w:tc>
          <w:tcPr>
            <w:tcW w:type="dxa" w:w="1889"/>
          </w:tcPr>
          <w:p w14:paraId="43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5.1. </w:t>
            </w: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функции</w:t>
            </w:r>
          </w:p>
        </w:tc>
        <w:tc>
          <w:tcPr>
            <w:tcW w:type="dxa" w:w="1890"/>
          </w:tcPr>
          <w:p w14:paraId="44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 Характер функции (новая/изменяемая</w:t>
            </w:r>
          </w:p>
          <w:p w14:paraId="45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/отменяемая)</w:t>
            </w:r>
          </w:p>
        </w:tc>
        <w:tc>
          <w:tcPr>
            <w:tcW w:type="dxa" w:w="2025"/>
          </w:tcPr>
          <w:p w14:paraId="46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 Предполагаемый порядок реализации</w:t>
            </w:r>
          </w:p>
        </w:tc>
        <w:tc>
          <w:tcPr>
            <w:tcW w:type="dxa" w:w="1760"/>
          </w:tcPr>
          <w:p w14:paraId="47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 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781"/>
          </w:tcPr>
          <w:p w14:paraId="48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.5.5. Оценка изменения потребностей в других ресурсах</w:t>
            </w:r>
          </w:p>
        </w:tc>
      </w:tr>
      <w:tr>
        <w:tc>
          <w:tcPr>
            <w:tcW w:type="dxa" w:w="9345"/>
            <w:gridSpan w:val="5"/>
          </w:tcPr>
          <w:p w14:paraId="4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экологии, природопользования и лесного хозяйства РС (Я)</w:t>
            </w:r>
          </w:p>
        </w:tc>
      </w:tr>
      <w:tr>
        <w:tc>
          <w:tcPr>
            <w:tcW w:type="dxa" w:w="1889"/>
          </w:tcPr>
          <w:p w14:paraId="4A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Изменений нет</w:t>
            </w:r>
          </w:p>
        </w:tc>
        <w:tc>
          <w:tcPr>
            <w:tcW w:type="dxa" w:w="1890"/>
          </w:tcPr>
          <w:p w14:paraId="4B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025"/>
          </w:tcPr>
          <w:p w14:paraId="4C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60"/>
          </w:tcPr>
          <w:p w14:paraId="4D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81"/>
          </w:tcPr>
          <w:p w14:paraId="4E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  <w:r>
        <w:rPr>
          <w:rFonts w:ascii="Times New Roman" w:hAnsi="Times New Roman"/>
          <w:sz w:val="28"/>
        </w:rPr>
        <w:t>: дополнительные расходы не планируются.</w:t>
      </w:r>
    </w:p>
    <w:tbl>
      <w:tblPr>
        <w:tblStyle w:val="Style_2"/>
        <w:tblLayout w:type="fixed"/>
      </w:tblPr>
      <w:tblGrid>
        <w:gridCol w:w="3101"/>
        <w:gridCol w:w="3116"/>
        <w:gridCol w:w="3128"/>
      </w:tblGrid>
      <w:tr>
        <w:tc>
          <w:tcPr>
            <w:tcW w:type="dxa" w:w="3101"/>
          </w:tcPr>
          <w:p w14:paraId="51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 </w:t>
            </w:r>
            <w:r>
              <w:rPr>
                <w:rFonts w:ascii="Times New Roman" w:hAnsi="Times New Roman"/>
                <w:sz w:val="20"/>
              </w:rPr>
              <w:t>Наименование функции (полномочия, обязанности или права) (в соответствии с подпунктом 5.1.)</w:t>
            </w:r>
          </w:p>
        </w:tc>
        <w:tc>
          <w:tcPr>
            <w:tcW w:type="dxa" w:w="3116"/>
          </w:tcPr>
          <w:p w14:paraId="52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 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type="dxa" w:w="3128"/>
          </w:tcPr>
          <w:p w14:paraId="53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 Количественная оценка расходов и возможных поступлений, млн. руб.</w:t>
            </w:r>
          </w:p>
        </w:tc>
      </w:tr>
      <w:tr>
        <w:tc>
          <w:tcPr>
            <w:tcW w:type="dxa" w:w="9345"/>
            <w:gridSpan w:val="3"/>
          </w:tcPr>
          <w:p w14:paraId="5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экологии, природопользования и лесного хозяйства РС (Я) (от 1 до К)</w:t>
            </w:r>
          </w:p>
        </w:tc>
      </w:tr>
      <w:tr>
        <w:tc>
          <w:tcPr>
            <w:tcW w:type="dxa" w:w="3101"/>
            <w:vMerge w:val="restart"/>
          </w:tcPr>
          <w:p w14:paraId="55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Изменений нет</w:t>
            </w:r>
          </w:p>
        </w:tc>
        <w:tc>
          <w:tcPr>
            <w:tcW w:type="dxa" w:w="3116"/>
          </w:tcPr>
          <w:p w14:paraId="56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Единовременные расходы (от 1 до №) в ______ г.:</w:t>
            </w:r>
          </w:p>
        </w:tc>
        <w:tc>
          <w:tcPr>
            <w:tcW w:type="dxa" w:w="3128"/>
          </w:tcPr>
          <w:p w14:paraId="5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3101"/>
            <w:gridSpan w:val="1"/>
            <w:vMerge w:val="continue"/>
          </w:tcPr>
          <w:p/>
        </w:tc>
        <w:tc>
          <w:tcPr>
            <w:tcW w:type="dxa" w:w="3116"/>
          </w:tcPr>
          <w:p w14:paraId="58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Периодические расходы (от 1 до №) за период _______ гг.:</w:t>
            </w:r>
          </w:p>
        </w:tc>
        <w:tc>
          <w:tcPr>
            <w:tcW w:type="dxa" w:w="3128"/>
          </w:tcPr>
          <w:p w14:paraId="5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3101"/>
            <w:gridSpan w:val="1"/>
            <w:vMerge w:val="continue"/>
          </w:tcPr>
          <w:p/>
        </w:tc>
        <w:tc>
          <w:tcPr>
            <w:tcW w:type="dxa" w:w="3116"/>
          </w:tcPr>
          <w:p w14:paraId="5A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Возможные доходы (от 1 до №) за период 2016 гг.:</w:t>
            </w:r>
          </w:p>
        </w:tc>
        <w:tc>
          <w:tcPr>
            <w:tcW w:type="dxa" w:w="3128"/>
          </w:tcPr>
          <w:p w14:paraId="5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6217"/>
            <w:gridSpan w:val="2"/>
          </w:tcPr>
          <w:p w14:paraId="5C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единовременные расходы за период ______ гг.:</w:t>
            </w:r>
          </w:p>
        </w:tc>
        <w:tc>
          <w:tcPr>
            <w:tcW w:type="dxa" w:w="3128"/>
          </w:tcPr>
          <w:p w14:paraId="5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6217"/>
            <w:gridSpan w:val="2"/>
          </w:tcPr>
          <w:p w14:paraId="5E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периодические расходы за период _____ гг.:</w:t>
            </w:r>
          </w:p>
        </w:tc>
        <w:tc>
          <w:tcPr>
            <w:tcW w:type="dxa" w:w="3128"/>
          </w:tcPr>
          <w:p w14:paraId="5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6217"/>
            <w:gridSpan w:val="2"/>
          </w:tcPr>
          <w:p w14:paraId="60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возможные доходы за период _______ гг.:</w:t>
            </w:r>
          </w:p>
        </w:tc>
        <w:tc>
          <w:tcPr>
            <w:tcW w:type="dxa" w:w="3128"/>
          </w:tcPr>
          <w:p w14:paraId="6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6.4.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дополнительных расходов не планируется.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6.5.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Источники данных</w:t>
      </w:r>
      <w:r>
        <w:rPr>
          <w:rFonts w:ascii="Times New Roman" w:hAnsi="Times New Roman"/>
          <w:sz w:val="28"/>
        </w:rPr>
        <w:t>: -</w:t>
      </w:r>
    </w:p>
    <w:p w14:paraId="6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Style_2"/>
        <w:tblLayout w:type="fixed"/>
      </w:tblPr>
      <w:tblGrid>
        <w:gridCol w:w="2339"/>
        <w:gridCol w:w="2337"/>
        <w:gridCol w:w="2314"/>
        <w:gridCol w:w="2355"/>
      </w:tblGrid>
      <w:tr>
        <w:tc>
          <w:tcPr>
            <w:tcW w:type="dxa" w:w="2339"/>
          </w:tcPr>
          <w:p w14:paraId="66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7.1. Группы потенциальных адресатов предлагаемого правового регулирования (в соответствии с </w:t>
            </w:r>
            <w:r>
              <w:rPr>
                <w:rFonts w:ascii="Times New Roman" w:hAnsi="Times New Roman"/>
                <w:sz w:val="20"/>
              </w:rPr>
              <w:t>пп</w:t>
            </w:r>
            <w:r>
              <w:rPr>
                <w:rFonts w:ascii="Times New Roman" w:hAnsi="Times New Roman"/>
                <w:sz w:val="20"/>
              </w:rPr>
              <w:t>. 4.1. сводного отчета)</w:t>
            </w:r>
          </w:p>
        </w:tc>
        <w:tc>
          <w:tcPr>
            <w:tcW w:type="dxa" w:w="2337"/>
          </w:tcPr>
          <w:p w14:paraId="67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 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</w:t>
            </w:r>
          </w:p>
        </w:tc>
        <w:tc>
          <w:tcPr>
            <w:tcW w:type="dxa" w:w="2314"/>
          </w:tcPr>
          <w:p w14:paraId="68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2355"/>
          </w:tcPr>
          <w:p w14:paraId="69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 Количественная оценка, млн. рублей</w:t>
            </w:r>
          </w:p>
        </w:tc>
      </w:tr>
      <w:tr>
        <w:tc>
          <w:tcPr>
            <w:tcW w:type="dxa" w:w="2339"/>
          </w:tcPr>
          <w:p w14:paraId="6A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ОМСУ, ЮЛ и ИП, подлежащие региональному </w:t>
            </w:r>
            <w:r>
              <w:rPr>
                <w:rFonts w:ascii="Times New Roman" w:hAnsi="Times New Roman"/>
                <w:sz w:val="20"/>
              </w:rPr>
              <w:t>государственн</w:t>
            </w:r>
            <w:r>
              <w:rPr>
                <w:rFonts w:ascii="Times New Roman" w:hAnsi="Times New Roman"/>
                <w:sz w:val="20"/>
              </w:rPr>
              <w:t xml:space="preserve">ому </w:t>
            </w:r>
            <w:r>
              <w:rPr>
                <w:rFonts w:ascii="Times New Roman" w:hAnsi="Times New Roman"/>
                <w:sz w:val="20"/>
              </w:rPr>
              <w:t>контрол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 (надзор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) в области охраны окружающей среды</w:t>
            </w:r>
          </w:p>
        </w:tc>
        <w:tc>
          <w:tcPr>
            <w:tcW w:type="dxa" w:w="2337"/>
          </w:tcPr>
          <w:p w14:paraId="6B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314"/>
          </w:tcPr>
          <w:p w14:paraId="6C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355"/>
          </w:tcPr>
          <w:p w14:paraId="6D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7.5.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Издержки и выгоды адресатов предлагаемого правового регулирования, не поддающиеся количественной оценк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издержки – трудовые затраты специалистов для подготовки информации, выгода отсутствует.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7.6.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Источники данных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средняя зарплата специалистов – экологов, среднее время подготовки документов.</w:t>
      </w:r>
    </w:p>
    <w:p w14:paraId="71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Оценка рисков неблагоприятных последствий применения предлагаемого правового регулирования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i w:val="1"/>
          <w:sz w:val="28"/>
        </w:rPr>
        <w:t xml:space="preserve"> выявление нарушений природоохранного законодательства.</w:t>
      </w:r>
    </w:p>
    <w:p w14:paraId="72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Сравнение возможных вариантов решения проблемы</w:t>
      </w:r>
    </w:p>
    <w:tbl>
      <w:tblPr>
        <w:tblStyle w:val="Style_2"/>
        <w:tblLayout w:type="fixed"/>
      </w:tblPr>
      <w:tblGrid>
        <w:gridCol w:w="5495"/>
        <w:gridCol w:w="2021"/>
        <w:gridCol w:w="2092"/>
      </w:tblGrid>
      <w:tr>
        <w:tc>
          <w:tcPr>
            <w:tcW w:type="dxa" w:w="5495"/>
          </w:tcPr>
          <w:p w14:paraId="73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21"/>
          </w:tcPr>
          <w:p w14:paraId="7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Вариант 1</w:t>
            </w:r>
          </w:p>
        </w:tc>
        <w:tc>
          <w:tcPr>
            <w:tcW w:type="dxa" w:w="2092"/>
          </w:tcPr>
          <w:p w14:paraId="7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Вариант 2</w:t>
            </w:r>
          </w:p>
        </w:tc>
      </w:tr>
      <w:tr>
        <w:tc>
          <w:tcPr>
            <w:tcW w:type="dxa" w:w="5495"/>
          </w:tcPr>
          <w:p w14:paraId="76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9.1. </w:t>
            </w:r>
            <w:r>
              <w:rPr>
                <w:rFonts w:ascii="Times New Roman" w:hAnsi="Times New Roman"/>
                <w:sz w:val="20"/>
              </w:rPr>
              <w:t>Содержание варианта решения проблемы</w:t>
            </w:r>
          </w:p>
        </w:tc>
        <w:tc>
          <w:tcPr>
            <w:tcW w:type="dxa" w:w="2021"/>
          </w:tcPr>
          <w:p w14:paraId="77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Принятие новых изменений</w:t>
            </w:r>
          </w:p>
        </w:tc>
        <w:tc>
          <w:tcPr>
            <w:tcW w:type="dxa" w:w="2092"/>
          </w:tcPr>
          <w:p w14:paraId="78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принятие новых изменений</w:t>
            </w:r>
          </w:p>
        </w:tc>
      </w:tr>
      <w:tr>
        <w:tc>
          <w:tcPr>
            <w:tcW w:type="dxa" w:w="5495"/>
          </w:tcPr>
          <w:p w14:paraId="79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type="dxa" w:w="2021"/>
          </w:tcPr>
          <w:p w14:paraId="7A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type="dxa" w:w="2092"/>
          </w:tcPr>
          <w:p w14:paraId="7B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5495"/>
          </w:tcPr>
          <w:p w14:paraId="7C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021"/>
          </w:tcPr>
          <w:p w14:paraId="7D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092"/>
          </w:tcPr>
          <w:p w14:paraId="7E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</w:tr>
      <w:tr>
        <w:tc>
          <w:tcPr>
            <w:tcW w:type="dxa" w:w="5495"/>
          </w:tcPr>
          <w:p w14:paraId="7F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 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type="dxa" w:w="2021"/>
          </w:tcPr>
          <w:p w14:paraId="80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планируется</w:t>
            </w:r>
          </w:p>
        </w:tc>
        <w:tc>
          <w:tcPr>
            <w:tcW w:type="dxa" w:w="2092"/>
          </w:tcPr>
          <w:p w14:paraId="81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5495"/>
          </w:tcPr>
          <w:p w14:paraId="82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2021"/>
          </w:tcPr>
          <w:p w14:paraId="83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достигает</w:t>
            </w:r>
          </w:p>
        </w:tc>
        <w:tc>
          <w:tcPr>
            <w:tcW w:type="dxa" w:w="2092"/>
          </w:tcPr>
          <w:p w14:paraId="84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достигает </w:t>
            </w:r>
          </w:p>
        </w:tc>
      </w:tr>
      <w:tr>
        <w:tc>
          <w:tcPr>
            <w:tcW w:type="dxa" w:w="5495"/>
          </w:tcPr>
          <w:p w14:paraId="85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9.6. Оценка рисков неблагоприятных последствий</w:t>
            </w:r>
          </w:p>
        </w:tc>
        <w:tc>
          <w:tcPr>
            <w:tcW w:type="dxa" w:w="2021"/>
          </w:tcPr>
          <w:p w14:paraId="86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Риски отсутствуют</w:t>
            </w:r>
          </w:p>
        </w:tc>
        <w:tc>
          <w:tcPr>
            <w:tcW w:type="dxa" w:w="2092"/>
          </w:tcPr>
          <w:p w14:paraId="87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Нарушение Федерального закона №248-ФЗ от 31.07.2020 .</w:t>
            </w:r>
          </w:p>
        </w:tc>
      </w:tr>
      <w:tr>
        <w:tc>
          <w:tcPr>
            <w:tcW w:type="dxa" w:w="5495"/>
          </w:tcPr>
          <w:p w14:paraId="88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9.7. 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sz w:val="20"/>
              </w:rPr>
              <w:t>мероприятия, общий объем затрат</w:t>
            </w:r>
          </w:p>
        </w:tc>
        <w:tc>
          <w:tcPr>
            <w:tcW w:type="dxa" w:w="2021"/>
          </w:tcPr>
          <w:p w14:paraId="89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Отсутствуют </w:t>
            </w:r>
          </w:p>
        </w:tc>
        <w:tc>
          <w:tcPr>
            <w:tcW w:type="dxa" w:w="2092"/>
          </w:tcPr>
          <w:p w14:paraId="8A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Отсутствуют </w:t>
            </w:r>
          </w:p>
        </w:tc>
      </w:tr>
    </w:tbl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C000000">
      <w:pPr>
        <w:spacing w:after="0" w:line="240" w:lineRule="auto"/>
        <w:ind w:firstLine="709" w:left="0"/>
        <w:jc w:val="both"/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1"/>
          <w:sz w:val="28"/>
        </w:rPr>
        <w:t>9.8.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Обоснование выбора предпочтительного варианта решения выявленной проблемы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>Внесение в</w:t>
      </w:r>
      <w:r>
        <w:rPr>
          <w:rFonts w:ascii="XO Thames" w:hAnsi="XO Thames"/>
          <w:b w:val="0"/>
          <w:i w:val="1"/>
          <w:caps w:val="0"/>
          <w:strike w:val="0"/>
          <w:color w:val="000000"/>
          <w:spacing w:val="0"/>
          <w:sz w:val="28"/>
        </w:rPr>
        <w:t xml:space="preserve"> </w:t>
      </w:r>
      <w:r>
        <w:rPr>
          <w:rFonts w:ascii="XO Thames" w:hAnsi="XO Thames"/>
          <w:b w:val="0"/>
          <w:i w:val="1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XO Thames" w:hAnsi="XO Thames"/>
          <w:b w:val="0"/>
          <w:i w:val="1"/>
          <w:caps w:val="0"/>
          <w:strike w:val="0"/>
          <w:color w:val="000000"/>
          <w:spacing w:val="0"/>
          <w:sz w:val="28"/>
        </w:rPr>
        <w:instrText>HYPERLINK "https://internet.garant.ru/#/document/26716150/entry/0"</w:instrText>
      </w:r>
      <w:r>
        <w:rPr>
          <w:rFonts w:ascii="XO Thames" w:hAnsi="XO Thames"/>
          <w:b w:val="0"/>
          <w:i w:val="1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XO Thames" w:hAnsi="XO Thames"/>
          <w:b w:val="0"/>
          <w:i w:val="1"/>
          <w:caps w:val="0"/>
          <w:strike w:val="0"/>
          <w:color w:val="000000"/>
          <w:spacing w:val="0"/>
          <w:sz w:val="28"/>
        </w:rPr>
        <w:t>Кодекс</w:t>
      </w:r>
      <w:r>
        <w:rPr>
          <w:rFonts w:ascii="XO Thames" w:hAnsi="XO Thames"/>
          <w:b w:val="0"/>
          <w:i w:val="1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 xml:space="preserve"> Республики Саха (Якутия) об а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>дминистративных правонарушениях изменения</w:t>
      </w:r>
      <w:r>
        <w:rPr>
          <w:rFonts w:ascii="XO Thames" w:hAnsi="XO Thames"/>
          <w:b w:val="0"/>
          <w:i w:val="1"/>
          <w:color w:val="000000"/>
          <w:sz w:val="28"/>
        </w:rPr>
        <w:t xml:space="preserve">, дополнив </w: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fldChar w:fldCharType="begin"/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instrText>HYPERLINK "https://internet.garant.ru/#/document/26716150/entry/48"</w:instrTex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fldChar w:fldCharType="separate"/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t>статьей 4.10, у</w: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fldChar w:fldCharType="end"/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t xml:space="preserve">станавливающей наказание за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 xml:space="preserve">нарушение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 xml:space="preserve">порядка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>предоставления сведений, необходимых для ведения республиканского кадастра отходов производства и потребления</w:t>
      </w:r>
      <w:r>
        <w:rPr>
          <w:rFonts w:ascii="XO Thames" w:hAnsi="XO Thames"/>
          <w:b w:val="0"/>
          <w:i w:val="1"/>
          <w:color w:val="000000"/>
          <w:sz w:val="28"/>
        </w:rPr>
        <w:t xml:space="preserve">,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 xml:space="preserve">пунктом 10 в статью </w: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t xml:space="preserve">4.13,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 xml:space="preserve">определяющим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 xml:space="preserve">уполномоченный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>орган, рассматривающий дела об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 xml:space="preserve"> административных </w:t>
      </w:r>
      <w:r>
        <w:rPr>
          <w:rFonts w:ascii="XO Thames" w:hAnsi="XO Thames"/>
          <w:b w:val="0"/>
          <w:i w:val="1"/>
          <w:caps w:val="0"/>
          <w:color w:val="000000"/>
          <w:spacing w:val="0"/>
          <w:sz w:val="28"/>
        </w:rPr>
        <w:t>правонарушениях</w:t>
      </w:r>
      <w:r>
        <w:rPr>
          <w:rFonts w:ascii="XO Thames" w:hAnsi="XO Thames"/>
          <w:b w:val="0"/>
          <w:i w:val="1"/>
          <w:color w:val="000000"/>
          <w:sz w:val="28"/>
        </w:rPr>
        <w:t>, предусмотренных</w: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t xml:space="preserve"> </w: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fldChar w:fldCharType="begin"/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instrText>HYPERLINK "https://internet.garant.ru/#/document/26716150/entry/45"</w:instrTex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fldChar w:fldCharType="separate"/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t>статьей 4.10</w:t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fldChar w:fldCharType="end"/>
      </w:r>
      <w:r>
        <w:rPr>
          <w:rFonts w:ascii="XO Thames" w:hAnsi="XO Thames"/>
          <w:b w:val="0"/>
          <w:i w:val="1"/>
          <w:strike w:val="0"/>
          <w:color w:val="000000"/>
          <w:sz w:val="28"/>
        </w:rPr>
        <w:t xml:space="preserve"> </w:t>
      </w:r>
      <w:r>
        <w:rPr>
          <w:rFonts w:ascii="XO Thames" w:hAnsi="XO Thames"/>
          <w:b w:val="0"/>
          <w:i w:val="1"/>
          <w:color w:val="000000"/>
          <w:sz w:val="28"/>
        </w:rPr>
        <w:t>настоящего Кодекса</w:t>
      </w:r>
      <w:r>
        <w:rPr>
          <w:rFonts w:ascii="XO Thames" w:hAnsi="XO Thames"/>
          <w:i w:val="1"/>
          <w:sz w:val="28"/>
        </w:rPr>
        <w:t xml:space="preserve">. 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  <w:shd w:fill="FFD821" w:val="clear"/>
        </w:rPr>
      </w:pPr>
      <w:r>
        <w:rPr>
          <w:rFonts w:ascii="Times New Roman" w:hAnsi="Times New Roman"/>
          <w:b w:val="1"/>
          <w:sz w:val="28"/>
        </w:rPr>
        <w:t>9.9.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Детальное описание предлагаемого варианта решения проблемы:</w:t>
      </w:r>
    </w:p>
    <w:p w14:paraId="8E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 xml:space="preserve">Данные республиканского кадастра отходов будут использованы при разработке и актуализации территориальной схемы обращения с отходами, утверждаемым Министерством жилищно-коммунального хозяйства и энергетики Республики Саха (Якутия), в соответствии с пунктом 3.117 Положения о министерстве. </w:t>
      </w:r>
    </w:p>
    <w:p w14:paraId="8F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 xml:space="preserve">В соответствии с подпунктом 9 пункта 3.3 Положения о Министерстве экологии, природопользования и лесного хозяйства Республики Саха (Якутия), утвержденной Постановлением Правительства Республики Саха (Якутия) от 30 августа 2022 г. N 549, министерство участвует в разработке территориальной схемы обращения с отходами. </w:t>
      </w:r>
    </w:p>
    <w:p w14:paraId="90000000">
      <w:pPr>
        <w:spacing w:after="0" w:line="240" w:lineRule="auto"/>
        <w:ind w:firstLine="709" w:left="0"/>
        <w:jc w:val="both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Принятие законопроекта повысит эффективность управления в области обращения с отходами, позволит предотвратить несанкционированное образование, размещение отходов, систематизировать данные о происхождении, количестве, свойствах, классе опасности отходов, об объектах размещения отходов, технологиях их утилизации и обезвреживания, необходимых для учета в области обращения с отходами производства и потребления.</w:t>
      </w:r>
    </w:p>
    <w:p w14:paraId="91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не предполагается.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10.1.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Предполагаемая дата вступления в силу нормативного правового акта: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после официального опубликования.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10.2.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Необходимость установления переходного периода и (или) отсрочки введения предполагаемого правового регулирования: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нет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А) срок переходного периода ________ дней с момента принятия проекта нормативного правового акта;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Б) отсрочка введения предлагаемого правового регулирования ______ дней с момента принятия проекта нормативного правового акта.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10.3.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8"/>
        </w:rPr>
        <w:t>нет.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10.3.1.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Период распространения на ранее возникшие отношения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____ дней с момента принятия проекта нормативного правового акта.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10.4.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/>
          <w:sz w:val="28"/>
        </w:rPr>
        <w:t>: -.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</w:t>
      </w:r>
      <w:r>
        <w:rPr>
          <w:rFonts w:ascii="Times New Roman" w:hAnsi="Times New Roman"/>
          <w:i w:val="1"/>
          <w:sz w:val="28"/>
        </w:rPr>
        <w:t>ап</w:t>
      </w:r>
      <w:r>
        <w:rPr>
          <w:rFonts w:ascii="Times New Roman" w:hAnsi="Times New Roman"/>
          <w:i w:val="1"/>
          <w:sz w:val="28"/>
        </w:rPr>
        <w:t>олняется по итогам проведения публичных консультаций по проекту нормативного правового акта и сводного отчета:</w:t>
      </w:r>
    </w:p>
    <w:p w14:paraId="9B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Информация о сроках проведения публичных консультаций по проекту нормативного правового акта и сводному отчету</w:t>
      </w:r>
      <w:r>
        <w:rPr>
          <w:rFonts w:ascii="Times New Roman" w:hAnsi="Times New Roman"/>
          <w:sz w:val="28"/>
        </w:rPr>
        <w:t>: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Начало: «___» апреля</w:t>
      </w:r>
      <w:r>
        <w:rPr>
          <w:rFonts w:ascii="Times New Roman" w:hAnsi="Times New Roman"/>
          <w:i w:val="1"/>
          <w:sz w:val="28"/>
        </w:rPr>
        <w:t xml:space="preserve"> 2024</w:t>
      </w:r>
      <w:r>
        <w:rPr>
          <w:rFonts w:ascii="Times New Roman" w:hAnsi="Times New Roman"/>
          <w:i w:val="1"/>
          <w:sz w:val="28"/>
        </w:rPr>
        <w:t xml:space="preserve"> г.;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Окончание: «___</w:t>
      </w:r>
      <w:r>
        <w:rPr>
          <w:rFonts w:ascii="Times New Roman" w:hAnsi="Times New Roman"/>
          <w:i w:val="1"/>
          <w:sz w:val="28"/>
        </w:rPr>
        <w:t>» апреля</w:t>
      </w:r>
      <w:r>
        <w:rPr>
          <w:rFonts w:ascii="Times New Roman" w:hAnsi="Times New Roman"/>
          <w:i w:val="1"/>
          <w:sz w:val="28"/>
        </w:rPr>
        <w:t xml:space="preserve"> 2024</w:t>
      </w:r>
      <w:r>
        <w:rPr>
          <w:rFonts w:ascii="Times New Roman" w:hAnsi="Times New Roman"/>
          <w:i w:val="1"/>
          <w:sz w:val="28"/>
        </w:rPr>
        <w:t xml:space="preserve"> г.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11.2.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</w:t>
      </w:r>
      <w:r>
        <w:rPr>
          <w:rFonts w:ascii="Times New Roman" w:hAnsi="Times New Roman"/>
          <w:sz w:val="28"/>
        </w:rPr>
        <w:t>: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Всего замечаний и предложений: 0, из них учтено полностью: 0, учтено частично: 0.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11.3.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</w:t>
      </w:r>
      <w:r>
        <w:rPr>
          <w:rFonts w:ascii="Times New Roman" w:hAnsi="Times New Roman"/>
          <w:i w:val="1"/>
          <w:sz w:val="28"/>
        </w:rPr>
        <w:t>по итогам ОРВ.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исполнительного </w:t>
      </w:r>
    </w:p>
    <w:p w14:paraId="A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 государственной власти,</w:t>
      </w:r>
    </w:p>
    <w:p w14:paraId="A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 проведение</w:t>
      </w:r>
    </w:p>
    <w:p w14:paraId="A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оценки регулирующего </w:t>
      </w:r>
    </w:p>
    <w:p w14:paraId="A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воздействия проекта</w:t>
      </w:r>
    </w:p>
    <w:p w14:paraId="A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нормативного правового а</w:t>
      </w:r>
      <w:bookmarkStart w:id="1" w:name="_GoBack"/>
      <w:bookmarkEnd w:id="1"/>
      <w:r>
        <w:rPr>
          <w:rFonts w:ascii="Times New Roman" w:hAnsi="Times New Roman"/>
          <w:sz w:val="28"/>
        </w:rPr>
        <w:t>кта</w:t>
      </w:r>
    </w:p>
    <w:p w14:paraId="A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i w:val="0"/>
          <w:sz w:val="28"/>
          <w:u w:val="single"/>
        </w:rPr>
        <w:t>Хон Д.И.</w:t>
      </w:r>
      <w:r>
        <w:rPr>
          <w:rFonts w:ascii="Times New Roman" w:hAnsi="Times New Roman"/>
          <w:sz w:val="28"/>
        </w:rPr>
        <w:t>______ _____________   ___________________</w:t>
      </w:r>
    </w:p>
    <w:p w14:paraId="A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(инициалы)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(дата)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(подпись)</w:t>
      </w:r>
    </w:p>
    <w:sectPr>
      <w:footerReference r:id="rId1" w:type="default"/>
      <w:pgSz w:h="16838" w:orient="portrait" w:w="11906"/>
      <w:pgMar w:bottom="1134" w:footer="708" w:gutter="0" w:header="708" w:left="1701" w:right="850" w:top="85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3"/>
    <w:link w:val="Style_1_ch"/>
    <w:rPr>
      <w:color w:themeColor="hyperlink" w:val="0000FF"/>
      <w:u w:val="single"/>
    </w:rPr>
  </w:style>
  <w:style w:styleId="Style_1_ch" w:type="character">
    <w:name w:val="Hyperlink"/>
    <w:basedOn w:val="Style_13_ch"/>
    <w:link w:val="Style_1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2024-04-12T01:38:31Z</dcterms:modified>
</cp:coreProperties>
</file>