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Пояснительная записка </w:t>
      </w:r>
    </w:p>
    <w:p w14:paraId="02000000">
      <w:pPr>
        <w:pStyle w:val="Style_1"/>
        <w:spacing w:after="0" w:before="0" w:line="240" w:lineRule="auto"/>
        <w:ind w:firstLine="540" w:left="0"/>
        <w:jc w:val="center"/>
      </w:pPr>
      <w:r>
        <w:rPr>
          <w:rFonts w:ascii="Times New Roman" w:hAnsi="Times New Roman"/>
          <w:b w:val="1"/>
          <w:sz w:val="28"/>
        </w:rPr>
        <w:t>к проекту постановления Правительства Республики Саха (Якутия) «</w:t>
      </w:r>
      <w:r>
        <w:rPr>
          <w:rFonts w:ascii="Times New Roman" w:hAnsi="Times New Roman"/>
          <w:b w:val="1"/>
          <w:sz w:val="28"/>
        </w:rPr>
        <w:t xml:space="preserve">Об утверждении порядка предоставления из государственного бюджета Республики Саха (Якутия) </w:t>
      </w:r>
      <w:r>
        <w:rPr>
          <w:rFonts w:ascii="Times New Roman" w:hAnsi="Times New Roman"/>
          <w:b w:val="1"/>
          <w:sz w:val="28"/>
        </w:rPr>
        <w:t xml:space="preserve">субсидий </w:t>
      </w:r>
      <w:r>
        <w:rPr>
          <w:rFonts w:ascii="Times New Roman" w:hAnsi="Times New Roman"/>
          <w:b w:val="1"/>
          <w:sz w:val="28"/>
        </w:rPr>
        <w:t xml:space="preserve">на </w:t>
      </w:r>
      <w:r>
        <w:rPr>
          <w:rFonts w:ascii="Times New Roman" w:hAnsi="Times New Roman"/>
          <w:b w:val="1"/>
          <w:sz w:val="28"/>
        </w:rPr>
        <w:t>возмещение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части </w:t>
      </w:r>
      <w:r>
        <w:rPr>
          <w:rFonts w:ascii="Times New Roman" w:hAnsi="Times New Roman"/>
          <w:b w:val="1"/>
          <w:sz w:val="28"/>
        </w:rPr>
        <w:t xml:space="preserve">процентной ставки по инвестиционным кредитам (займам) </w:t>
      </w:r>
      <w:r>
        <w:rPr>
          <w:rFonts w:ascii="Times New Roman" w:hAnsi="Times New Roman"/>
          <w:b w:val="1"/>
          <w:sz w:val="28"/>
        </w:rPr>
        <w:t xml:space="preserve">резидентам территорий развития местного производства </w:t>
      </w: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>Республик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Саха (Якутия)</w:t>
      </w:r>
      <w:r>
        <w:rPr>
          <w:rFonts w:ascii="Times New Roman" w:hAnsi="Times New Roman"/>
          <w:b w:val="1"/>
          <w:sz w:val="28"/>
        </w:rPr>
        <w:t>»</w:t>
      </w:r>
    </w:p>
    <w:p w14:paraId="03000000">
      <w:pPr>
        <w:pStyle w:val="Style_1"/>
        <w:spacing w:after="0" w:before="0" w:line="240" w:lineRule="auto"/>
        <w:ind w:firstLine="540" w:left="0"/>
        <w:jc w:val="center"/>
      </w:pPr>
      <w:r>
        <w:rPr>
          <w:rFonts w:ascii="Times New Roman" w:hAnsi="Times New Roman"/>
          <w:b w:val="1"/>
          <w:sz w:val="28"/>
        </w:rPr>
        <w:t>(РКПД № П\220 от 21.03.2024)</w:t>
      </w:r>
    </w:p>
    <w:p w14:paraId="04000000">
      <w:pPr>
        <w:pStyle w:val="Style_2"/>
        <w:numPr>
          <w:ilvl w:val="0"/>
          <w:numId w:val="1"/>
        </w:numPr>
        <w:spacing w:after="0" w:before="0" w:line="360" w:lineRule="exact"/>
        <w:ind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Правовое обоснование необходимости принятия акта.</w:t>
      </w:r>
    </w:p>
    <w:p w14:paraId="05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5 статьи 7 Закона Республики Саха (Якутия) от 25.12.2003 г. 98-З № 199-III «О правовых актах органов государственной власти Республики Саха (Якутия)» Правительство в пределах своей компетенции, на основе и во исполнение Конституции Российской Федерации, федеральных законов и иных нормативных правовых актов Российской Федерации, Конституции (Основного закона) Республики Саха (Якутия), законов Республики Саха (Якутия), правовых актов Главы, принимает постановления и распоряжения.</w:t>
      </w:r>
    </w:p>
    <w:p w14:paraId="06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Основание для подготовки и внесения акта.</w:t>
      </w:r>
    </w:p>
    <w:p w14:paraId="07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П</w:t>
      </w:r>
      <w:r>
        <w:rPr>
          <w:rStyle w:val="Style_1_ch"/>
          <w:rFonts w:ascii="Times New Roman" w:hAnsi="Times New Roman"/>
          <w:sz w:val="28"/>
        </w:rPr>
        <w:t>остановление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>
        <w:rPr>
          <w:rStyle w:val="Style_1_ch"/>
          <w:rFonts w:ascii="Times New Roman" w:hAnsi="Times New Roman"/>
          <w:sz w:val="28"/>
        </w:rPr>
        <w:t xml:space="preserve"> числе грантов в форме субсидий».</w:t>
      </w:r>
    </w:p>
    <w:p w14:paraId="08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В соответствии с подпунктом 8 статьи 4 Закона Республики Саха (Якутия) от 22.06.2023 № 2647-З № 1205-VI «О территориях развития местного производства в Республике Саха (Якутия)» Правительство Республики Саха (Якутия) </w:t>
      </w:r>
      <w:r>
        <w:rPr>
          <w:rStyle w:val="Style_1_ch"/>
          <w:rFonts w:ascii="Times New Roman" w:hAnsi="Times New Roman"/>
          <w:sz w:val="28"/>
        </w:rPr>
        <w:t>определяет порядок предоставления субсидий из государственного бюджета Республики Саха (Якутия) для оказания мер государственной поддержки предпринимательской деятельности на территории развития местного производства</w:t>
      </w:r>
      <w:bookmarkStart w:id="1" w:name="_GoBack"/>
      <w:bookmarkEnd w:id="1"/>
      <w:r>
        <w:rPr>
          <w:rStyle w:val="Style_1_ch"/>
          <w:rFonts w:ascii="Times New Roman" w:hAnsi="Times New Roman"/>
          <w:sz w:val="28"/>
        </w:rPr>
        <w:t>.</w:t>
      </w:r>
    </w:p>
    <w:p w14:paraId="09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Цели, задачи и предмет правового регулирования акта.</w:t>
      </w:r>
    </w:p>
    <w:p w14:paraId="0A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Целью настоящего проекта является утверждение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Пор</w:t>
      </w:r>
      <w:r>
        <w:rPr>
          <w:rStyle w:val="Style_1_ch"/>
          <w:rFonts w:ascii="Times New Roman" w:hAnsi="Times New Roman"/>
          <w:sz w:val="28"/>
        </w:rPr>
        <w:t>ядка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предоставления из государственного бюджета Республики Саха (Якутия) </w:t>
      </w:r>
      <w:r>
        <w:rPr>
          <w:rFonts w:ascii="Times New Roman" w:hAnsi="Times New Roman"/>
          <w:b w:val="0"/>
          <w:sz w:val="28"/>
        </w:rPr>
        <w:t xml:space="preserve">субсидий </w:t>
      </w:r>
      <w:r>
        <w:rPr>
          <w:rFonts w:ascii="Times New Roman" w:hAnsi="Times New Roman"/>
          <w:b w:val="0"/>
          <w:sz w:val="28"/>
        </w:rPr>
        <w:t xml:space="preserve">на </w:t>
      </w:r>
      <w:r>
        <w:rPr>
          <w:rFonts w:ascii="Times New Roman" w:hAnsi="Times New Roman"/>
          <w:b w:val="0"/>
          <w:sz w:val="28"/>
        </w:rPr>
        <w:t>возмещение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части </w:t>
      </w:r>
      <w:r>
        <w:rPr>
          <w:rFonts w:ascii="Times New Roman" w:hAnsi="Times New Roman"/>
          <w:b w:val="0"/>
          <w:sz w:val="28"/>
        </w:rPr>
        <w:t xml:space="preserve">процентной ставки по инвестиционным кредитам (займам) </w:t>
      </w:r>
      <w:r>
        <w:rPr>
          <w:rFonts w:ascii="Times New Roman" w:hAnsi="Times New Roman"/>
          <w:b w:val="0"/>
          <w:sz w:val="28"/>
        </w:rPr>
        <w:t xml:space="preserve">резидентам территорий развития местного производства </w:t>
      </w: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Республик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Саха (Якутия)</w:t>
      </w:r>
    </w:p>
    <w:p w14:paraId="0B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4. Структура проекта решения.</w:t>
      </w:r>
    </w:p>
    <w:p w14:paraId="0C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состоит из 3 пунктов и 1 приложения. </w:t>
      </w:r>
    </w:p>
    <w:p w14:paraId="0D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5. Правовые акты, в которые вносятся или предполагается внести изменения: </w:t>
      </w:r>
    </w:p>
    <w:p w14:paraId="0E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принятием проекта не потребуется признания утратившими силу, приостановления, изменения, дополнения действующих или принятия других актов Республики Саха (Якутия).</w:t>
      </w:r>
    </w:p>
    <w:p w14:paraId="0F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Прогноз ожидаемых социально-экономических, экологических и иных последствий от реализации решения.</w:t>
      </w:r>
    </w:p>
    <w:p w14:paraId="10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проекта позволит реализовать Закон Республики Саха (Якутия) от 22.06.2023 № 2647-З № 1205-VI «О территориях развития местного производства в Республике Саха (Якутия)».</w:t>
      </w:r>
    </w:p>
    <w:p w14:paraId="11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Источник финансирования.</w:t>
      </w:r>
    </w:p>
    <w:p w14:paraId="12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XO Thames" w:hAnsi="XO Thames"/>
          <w:sz w:val="28"/>
          <w:u w:val="none"/>
        </w:rPr>
        <w:t>Государстве</w:t>
      </w:r>
      <w:r>
        <w:rPr>
          <w:rStyle w:val="Style_1_ch"/>
          <w:rFonts w:ascii="Times New Roman" w:hAnsi="Times New Roman"/>
          <w:sz w:val="28"/>
        </w:rPr>
        <w:t>нная программа Республики Саха (Якутия) «Экономическое развитие Республики Саха (Якути</w:t>
      </w:r>
      <w:r>
        <w:rPr>
          <w:rStyle w:val="Style_1_ch"/>
          <w:rFonts w:ascii="Times New Roman" w:hAnsi="Times New Roman"/>
          <w:sz w:val="28"/>
        </w:rPr>
        <w:t>я)» (</w:t>
      </w:r>
      <w:r>
        <w:rPr>
          <w:rStyle w:val="Style_1_ch"/>
          <w:rFonts w:ascii="Times New Roman" w:hAnsi="Times New Roman"/>
          <w:sz w:val="28"/>
        </w:rPr>
        <w:t>КБК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1</w:t>
      </w:r>
      <w:r>
        <w:rPr>
          <w:rStyle w:val="Style_1_ch"/>
          <w:rFonts w:ascii="Times New Roman" w:hAnsi="Times New Roman"/>
          <w:sz w:val="28"/>
        </w:rPr>
        <w:t xml:space="preserve">40 </w:t>
      </w:r>
      <w:r>
        <w:rPr>
          <w:rStyle w:val="Style_1_ch"/>
          <w:rFonts w:ascii="Times New Roman" w:hAnsi="Times New Roman"/>
          <w:sz w:val="28"/>
        </w:rPr>
        <w:t>7430710150</w:t>
      </w:r>
      <w:r>
        <w:rPr>
          <w:rStyle w:val="Style_1_ch"/>
          <w:rFonts w:ascii="Times New Roman" w:hAnsi="Times New Roman"/>
          <w:sz w:val="28"/>
        </w:rPr>
        <w:t xml:space="preserve">). </w:t>
      </w:r>
      <w:r>
        <w:rPr>
          <w:rStyle w:val="Style_1_ch"/>
          <w:rFonts w:ascii="Times New Roman" w:hAnsi="Times New Roman"/>
          <w:sz w:val="28"/>
        </w:rPr>
        <w:t>В 202</w:t>
      </w:r>
      <w:r>
        <w:rPr>
          <w:rStyle w:val="Style_1_ch"/>
          <w:rFonts w:ascii="Times New Roman" w:hAnsi="Times New Roman"/>
          <w:sz w:val="28"/>
        </w:rPr>
        <w:t>4 году предусмотрено 20 млн рублей.</w:t>
      </w:r>
    </w:p>
    <w:p w14:paraId="13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20320" distL="0" distR="10160" distT="0" layoutInCell="true" locked="false" relativeHeight="251658240" simplePos="false">
                <wp:simplePos x="0" y="0"/>
                <wp:positionH relativeFrom="column">
                  <wp:posOffset>1206500</wp:posOffset>
                </wp:positionH>
                <wp:positionV relativeFrom="paragraph">
                  <wp:posOffset>450850</wp:posOffset>
                </wp:positionV>
                <wp:extent cx="3628390" cy="1446530"/>
                <wp:wrapNone/>
                <wp:docPr hidden="false" id="1" name="Picture 1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3628390" cy="1446530"/>
                          <a:chOff x="0" y="0"/>
                          <a:chExt cx="3628390" cy="1446530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3628390" cy="144653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6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center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ДОКУМЕНТ ПОДПИСАН</w:t>
                              </w:r>
                            </w:p>
                            <w:p w14:paraId="17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center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ЭЛЕКТРОННОЙ ПОДПИСЬЮ</w:t>
                              </w:r>
                            </w:p>
                            <w:p w14:paraId="18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left"/>
                                <w:rPr>
                                  <w:spacing w:val="0"/>
                                </w:rPr>
                              </w:pPr>
                            </w:p>
                            <w:p w14:paraId="19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left"/>
                                <w:rPr>
                                  <w:spacing w:val="0"/>
                                </w:rPr>
                              </w:pPr>
                            </w:p>
                            <w:p w14:paraId="1A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left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Сертификат 361</w:t>
                              </w:r>
                              <w:r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EB18F5751C122A55495536AFFD45C</w:t>
                              </w:r>
                            </w:p>
                            <w:p w14:paraId="1B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left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 xml:space="preserve"> Владелец 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Попов Петр Иванович</w:t>
                              </w:r>
                            </w:p>
                            <w:p w14:paraId="1C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left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Действителен  с 06.10.2023 по 29.12.2024</w:t>
                              </w:r>
                            </w:p>
                          </w:txbxContent>
                        </wps:txbx>
                        <wps:bodyPr anchor="t" bIns="80640" lIns="91440" rIns="91440" tIns="8064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tbl>
      <w:tblPr>
        <w:tblStyle w:val="Style_3"/>
        <w:tblW w:type="auto" w:w="0"/>
        <w:tblInd w:type="dxa" w:w="-42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127"/>
        <w:gridCol w:w="5812"/>
        <w:gridCol w:w="2268"/>
      </w:tblGrid>
      <w:tr>
        <w:trPr>
          <w:trHeight w:hRule="atLeast" w:val="1845"/>
        </w:trPr>
        <w:tc>
          <w:tcPr>
            <w:tcW w:type="dxa" w:w="21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E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F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58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П.И. Попов</w:t>
            </w:r>
          </w:p>
        </w:tc>
      </w:tr>
    </w:tbl>
    <w:p w14:paraId="22000000">
      <w:pPr>
        <w:pStyle w:val="Style_1"/>
        <w:spacing w:after="160" w:before="0"/>
        <w:ind/>
      </w:pPr>
    </w:p>
    <w:sectPr>
      <w:type w:val="nextPage"/>
      <w:pgSz w:h="16838" w:orient="portrait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90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62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34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06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78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50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22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94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6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4" w:type="paragraph">
    <w:name w:val="Заголовок"/>
    <w:basedOn w:val="Style_1"/>
    <w:next w:val="Style_5"/>
    <w:link w:val="Style_4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4_ch" w:type="character">
    <w:name w:val="Заголовок"/>
    <w:basedOn w:val="Style_1_ch"/>
    <w:link w:val="Style_4"/>
    <w:rPr>
      <w:rFonts w:ascii="PT Astra Serif" w:hAnsi="PT Astra Serif"/>
      <w:sz w:val="28"/>
    </w:rPr>
  </w:style>
  <w:style w:styleId="Style_6" w:type="paragraph">
    <w:name w:val="toc 2"/>
    <w:next w:val="Style_1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1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1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1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1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Интернет-ссылка"/>
    <w:basedOn w:val="Style_13"/>
    <w:link w:val="Style_12_ch"/>
    <w:rPr>
      <w:color w:themeColor="hyperlink" w:val="0563C1"/>
      <w:u w:val="single"/>
    </w:rPr>
  </w:style>
  <w:style w:styleId="Style_12_ch" w:type="character">
    <w:name w:val="Интернет-ссылка"/>
    <w:basedOn w:val="Style_13_ch"/>
    <w:link w:val="Style_12"/>
    <w:rPr>
      <w:color w:themeColor="hyperlink" w:val="0563C1"/>
      <w:u w:val="single"/>
    </w:rPr>
  </w:style>
  <w:style w:styleId="Style_14" w:type="paragraph">
    <w:name w:val="List"/>
    <w:basedOn w:val="Style_5"/>
    <w:link w:val="Style_14_ch"/>
    <w:rPr>
      <w:rFonts w:ascii="PT Astra Serif" w:hAnsi="PT Astra Serif"/>
    </w:rPr>
  </w:style>
  <w:style w:styleId="Style_14_ch" w:type="character">
    <w:name w:val="List"/>
    <w:basedOn w:val="Style_5_ch"/>
    <w:link w:val="Style_14"/>
    <w:rPr>
      <w:rFonts w:ascii="PT Astra Serif" w:hAnsi="PT Astra Serif"/>
    </w:rPr>
  </w:style>
  <w:style w:styleId="Style_15" w:type="paragraph">
    <w:name w:val="Caption"/>
    <w:basedOn w:val="Style_1"/>
    <w:link w:val="Style_15_ch"/>
    <w:pPr>
      <w:spacing w:after="120" w:before="120"/>
      <w:ind/>
    </w:pPr>
    <w:rPr>
      <w:rFonts w:ascii="PT Astra Serif" w:hAnsi="PT Astra Serif"/>
      <w:i w:val="1"/>
      <w:sz w:val="24"/>
    </w:rPr>
  </w:style>
  <w:style w:styleId="Style_15_ch" w:type="character">
    <w:name w:val="Caption"/>
    <w:basedOn w:val="Style_1_ch"/>
    <w:link w:val="Style_15"/>
    <w:rPr>
      <w:rFonts w:ascii="PT Astra Serif" w:hAnsi="PT Astra Serif"/>
      <w:i w:val="1"/>
      <w:sz w:val="24"/>
    </w:rPr>
  </w:style>
  <w:style w:styleId="Style_16" w:type="paragraph">
    <w:name w:val="toc 3"/>
    <w:next w:val="Style_1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Указатель"/>
    <w:basedOn w:val="Style_1"/>
    <w:link w:val="Style_18_ch"/>
    <w:rPr>
      <w:rFonts w:ascii="PT Astra Serif" w:hAnsi="PT Astra Serif"/>
    </w:rPr>
  </w:style>
  <w:style w:styleId="Style_18_ch" w:type="character">
    <w:name w:val="Указатель"/>
    <w:basedOn w:val="Style_1_ch"/>
    <w:link w:val="Style_18"/>
    <w:rPr>
      <w:rFonts w:ascii="PT Astra Serif" w:hAnsi="PT Astra Serif"/>
    </w:rPr>
  </w:style>
  <w:style w:styleId="Style_19" w:type="paragraph">
    <w:name w:val="heading 1"/>
    <w:next w:val="Style_1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1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4" w:type="paragraph">
    <w:name w:val="toc 9"/>
    <w:next w:val="Style_1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1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" w:type="paragraph">
    <w:name w:val="List Paragraph"/>
    <w:basedOn w:val="Style_1"/>
    <w:link w:val="Style_2_ch"/>
    <w:pPr>
      <w:spacing w:after="160" w:before="0"/>
      <w:ind w:firstLine="0" w:left="720"/>
      <w:contextualSpacing w:val="1"/>
    </w:pPr>
  </w:style>
  <w:style w:styleId="Style_2_ch" w:type="character">
    <w:name w:val="List Paragraph"/>
    <w:basedOn w:val="Style_1_ch"/>
    <w:link w:val="Style_2"/>
  </w:style>
  <w:style w:styleId="Style_26" w:type="paragraph">
    <w:name w:val="toc 5"/>
    <w:next w:val="Style_1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1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1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5" w:type="paragraph">
    <w:name w:val="Body Text"/>
    <w:basedOn w:val="Style_1"/>
    <w:link w:val="Style_5_ch"/>
    <w:pPr>
      <w:spacing w:after="140" w:before="0" w:line="276" w:lineRule="auto"/>
      <w:ind/>
    </w:pPr>
  </w:style>
  <w:style w:styleId="Style_5_ch" w:type="character">
    <w:name w:val="Body Text"/>
    <w:basedOn w:val="Style_1_ch"/>
    <w:link w:val="Style_5"/>
  </w:style>
  <w:style w:styleId="Style_31" w:type="table">
    <w:name w:val="Table Grid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2024-04-03T06:55:57Z</dcterms:modified>
</cp:coreProperties>
</file>