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18"/>
        <w:tblW w:w="1038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29"/>
        <w:gridCol w:w="1760"/>
        <w:gridCol w:w="43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29" w:type="dxa"/>
          </w:tcPr>
          <w:p>
            <w:pPr>
              <w:jc w:val="center"/>
              <w:rPr>
                <w:b/>
                <w:sz w:val="26"/>
                <w:szCs w:val="26"/>
              </w:rPr>
            </w:pPr>
          </w:p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Министерство</w:t>
            </w:r>
          </w:p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жилищно-коммунального</w:t>
            </w:r>
          </w:p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хозяйства и энергетики</w:t>
            </w:r>
          </w:p>
          <w:p>
            <w:pPr>
              <w:jc w:val="center"/>
            </w:pPr>
            <w:r>
              <w:rPr>
                <w:b/>
                <w:sz w:val="26"/>
                <w:szCs w:val="26"/>
              </w:rPr>
              <w:t>Республики Саха (Якутия)</w:t>
            </w:r>
          </w:p>
        </w:tc>
        <w:tc>
          <w:tcPr>
            <w:tcW w:w="1760" w:type="dxa"/>
          </w:tcPr>
          <w:p>
            <w:pPr>
              <w:jc w:val="center"/>
            </w:pPr>
            <w: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ge">
                    <wp:posOffset>0</wp:posOffset>
                  </wp:positionV>
                  <wp:extent cx="734695" cy="752475"/>
                  <wp:effectExtent l="0" t="0" r="0" b="0"/>
                  <wp:wrapTopAndBottom/>
                  <wp:docPr id="3" name="Рисунок 2" descr="base_23801_60884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base_23801_60884_2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69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4" w:type="dxa"/>
          </w:tcPr>
          <w:p>
            <w:pPr>
              <w:jc w:val="center"/>
              <w:rPr>
                <w:b/>
                <w:sz w:val="26"/>
                <w:szCs w:val="26"/>
              </w:rPr>
            </w:pPr>
          </w:p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Саха Өрөспүүбүлүкэтин</w:t>
            </w:r>
          </w:p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олорор дьиэҕэ, коммунальнай</w:t>
            </w:r>
          </w:p>
          <w:p>
            <w:pPr>
              <w:jc w:val="center"/>
            </w:pPr>
            <w:r>
              <w:rPr>
                <w:b/>
                <w:sz w:val="26"/>
                <w:szCs w:val="26"/>
              </w:rPr>
              <w:t>хаhаайыстыбаҕа уонна энергетикэҕэ министиэристибэтэ</w:t>
            </w:r>
          </w:p>
        </w:tc>
      </w:tr>
    </w:tbl>
    <w:p>
      <w:pPr>
        <w:rPr>
          <w:sz w:val="20"/>
          <w:szCs w:val="20"/>
        </w:rPr>
      </w:pPr>
    </w:p>
    <w:p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ул. Кирова, д. 13, г. Якутск, 677000, </w:t>
      </w:r>
    </w:p>
    <w:p>
      <w:pPr>
        <w:jc w:val="center"/>
        <w:rPr>
          <w:sz w:val="20"/>
          <w:szCs w:val="20"/>
        </w:rPr>
      </w:pPr>
      <w:r>
        <w:rPr>
          <w:sz w:val="20"/>
          <w:szCs w:val="20"/>
        </w:rPr>
        <w:t>тел.: (4112) 34-19-33, факс: (4112) 42-27-39</w:t>
      </w:r>
    </w:p>
    <w:p>
      <w:pPr>
        <w:pBdr>
          <w:bottom w:val="double" w:color="auto" w:sz="6" w:space="0"/>
        </w:pBdr>
        <w:jc w:val="center"/>
        <w:rPr>
          <w:b/>
          <w:sz w:val="28"/>
          <w:szCs w:val="28"/>
        </w:rPr>
      </w:pPr>
      <w:r>
        <w:fldChar w:fldCharType="begin"/>
      </w:r>
      <w:r>
        <w:instrText xml:space="preserve"> HYPERLINK "http://www.sakha.gov.ru/minjkh" </w:instrText>
      </w:r>
      <w:r>
        <w:fldChar w:fldCharType="separate"/>
      </w:r>
      <w:r>
        <w:rPr>
          <w:sz w:val="20"/>
          <w:szCs w:val="20"/>
          <w:lang w:val="en-US"/>
        </w:rPr>
        <w:t>http</w:t>
      </w:r>
      <w:r>
        <w:rPr>
          <w:sz w:val="20"/>
          <w:szCs w:val="20"/>
        </w:rPr>
        <w:t>://</w:t>
      </w:r>
      <w:r>
        <w:rPr>
          <w:sz w:val="20"/>
          <w:szCs w:val="20"/>
          <w:lang w:val="en-US"/>
        </w:rPr>
        <w:t>www</w:t>
      </w:r>
      <w:r>
        <w:rPr>
          <w:sz w:val="20"/>
          <w:szCs w:val="20"/>
        </w:rPr>
        <w:t xml:space="preserve">. </w:t>
      </w:r>
      <w:r>
        <w:rPr>
          <w:sz w:val="20"/>
          <w:szCs w:val="20"/>
          <w:lang w:val="en-US"/>
        </w:rPr>
        <w:t>minjkh</w:t>
      </w:r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sakha</w:t>
      </w:r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gov</w:t>
      </w:r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ru</w:t>
      </w:r>
      <w:r>
        <w:rPr>
          <w:sz w:val="20"/>
          <w:szCs w:val="20"/>
          <w:lang w:val="en-US"/>
        </w:rPr>
        <w:fldChar w:fldCharType="end"/>
      </w:r>
      <w:r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r>
        <w:fldChar w:fldCharType="begin"/>
      </w:r>
      <w:r>
        <w:instrText xml:space="preserve"> HYPERLINK "mailto:mingkx@sakha.gov.ru" </w:instrText>
      </w:r>
      <w:r>
        <w:fldChar w:fldCharType="separate"/>
      </w:r>
      <w:r>
        <w:rPr>
          <w:sz w:val="20"/>
          <w:szCs w:val="20"/>
          <w:lang w:val="en-US"/>
        </w:rPr>
        <w:t>mingkx</w:t>
      </w:r>
      <w:r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sakha</w:t>
      </w:r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gov</w:t>
      </w:r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ru</w:t>
      </w:r>
      <w:r>
        <w:rPr>
          <w:sz w:val="20"/>
          <w:szCs w:val="20"/>
          <w:lang w:val="en-US"/>
        </w:rPr>
        <w:fldChar w:fldCharType="end"/>
      </w:r>
    </w:p>
    <w:p>
      <w:pPr>
        <w:rPr>
          <w:b/>
          <w:i/>
          <w:szCs w:val="20"/>
        </w:rPr>
      </w:pPr>
    </w:p>
    <w:p>
      <w:pPr>
        <w:spacing w:line="300" w:lineRule="auto"/>
        <w:jc w:val="both"/>
      </w:pPr>
      <w:bookmarkStart w:id="0" w:name="REGNUMDATESTAMP"/>
      <w:r>
        <w:t>от ______________ 20____ г. № ________</w:t>
      </w:r>
      <w:bookmarkEnd w:id="0"/>
    </w:p>
    <w:p/>
    <w:p>
      <w:pPr>
        <w:jc w:val="center"/>
        <w:rPr>
          <w:b/>
          <w:bCs/>
        </w:rPr>
      </w:pPr>
      <w:r>
        <w:rPr>
          <w:b/>
          <w:bCs/>
        </w:rPr>
        <w:t>СВОДНЫЙ ОТЧЕТ</w:t>
      </w:r>
    </w:p>
    <w:p>
      <w:pPr>
        <w:jc w:val="center"/>
        <w:rPr>
          <w:b/>
          <w:bCs/>
        </w:rPr>
      </w:pPr>
      <w:r>
        <w:rPr>
          <w:b/>
          <w:bCs/>
        </w:rPr>
        <w:t>о результатах проведения оценки регулирующего воздействия проекта нормативного правового акта</w:t>
      </w:r>
    </w:p>
    <w:p/>
    <w:p>
      <w:pPr>
        <w:pStyle w:val="43"/>
        <w:numPr>
          <w:ilvl w:val="0"/>
          <w:numId w:val="1"/>
        </w:num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ОБЩАЯ ИНФОРМАЦИЯ</w:t>
      </w:r>
    </w:p>
    <w:p>
      <w:pPr>
        <w:spacing w:line="276" w:lineRule="auto"/>
      </w:pPr>
    </w:p>
    <w:p>
      <w:pPr>
        <w:pStyle w:val="43"/>
        <w:keepNext w:val="0"/>
        <w:keepLines w:val="0"/>
        <w:pageBreakBefore w:val="0"/>
        <w:numPr>
          <w:ilvl w:val="1"/>
          <w:numId w:val="1"/>
        </w:numPr>
        <w:kinsoku/>
        <w:wordWrap/>
        <w:overflowPunct/>
        <w:topLinePunct w:val="0"/>
        <w:bidi w:val="0"/>
        <w:adjustRightInd/>
        <w:snapToGrid/>
        <w:spacing w:line="288" w:lineRule="auto"/>
        <w:ind w:left="0" w:firstLine="567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Орган-разработчик: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jc w:val="both"/>
        <w:textAlignment w:val="auto"/>
      </w:pPr>
      <w:r>
        <w:t>Министерство жилищно-коммунального хозяйства и энергетики Республики Саха (Якутия).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textAlignment w:val="auto"/>
        <w:rPr>
          <w:b/>
          <w:bCs/>
        </w:rPr>
      </w:pPr>
    </w:p>
    <w:p>
      <w:pPr>
        <w:pStyle w:val="43"/>
        <w:keepNext w:val="0"/>
        <w:keepLines w:val="0"/>
        <w:pageBreakBefore w:val="0"/>
        <w:numPr>
          <w:ilvl w:val="1"/>
          <w:numId w:val="1"/>
        </w:numPr>
        <w:kinsoku/>
        <w:wordWrap/>
        <w:overflowPunct/>
        <w:topLinePunct w:val="0"/>
        <w:bidi w:val="0"/>
        <w:adjustRightInd/>
        <w:snapToGrid/>
        <w:spacing w:line="288" w:lineRule="auto"/>
        <w:ind w:left="0" w:firstLine="567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Вид и наименование проекта нормативного правового акта: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jc w:val="both"/>
        <w:textAlignment w:val="auto"/>
        <w:rPr>
          <w:b/>
          <w:bCs/>
        </w:rPr>
      </w:pPr>
      <w:r>
        <w:t>Проект приказа Министерства жилищно-коммунального хозяйства и энергетики Республики Саха (Якутия) «</w:t>
      </w:r>
      <w:r>
        <w:rPr>
          <w:lang w:val="en-US" w:eastAsia="zh-CN"/>
        </w:rPr>
        <w:t xml:space="preserve">Об утверждении Порядка предоставления субсидии на </w:t>
      </w:r>
      <w:r>
        <w:rPr>
          <w:lang w:val="ru-RU" w:eastAsia="zh-CN"/>
        </w:rPr>
        <w:t>увеличение</w:t>
      </w:r>
      <w:r>
        <w:rPr>
          <w:rFonts w:hint="default"/>
          <w:lang w:val="ru-RU" w:eastAsia="zh-CN"/>
        </w:rPr>
        <w:t xml:space="preserve"> уставного фонда ГУП «Жилищно-коммунальное хозяйство Республики Саха (Якутия)» на возмещение затрат</w:t>
      </w:r>
      <w:r>
        <w:rPr>
          <w:lang w:val="en-US" w:eastAsia="zh-CN"/>
        </w:rPr>
        <w:t>, связанных со строительством объекта «Полигон размещения твёрдых коммунальных отходов в городе Якутске</w:t>
      </w:r>
      <w:r>
        <w:t>».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textAlignment w:val="auto"/>
      </w:pPr>
    </w:p>
    <w:p>
      <w:pPr>
        <w:pStyle w:val="43"/>
        <w:keepNext w:val="0"/>
        <w:keepLines w:val="0"/>
        <w:pageBreakBefore w:val="0"/>
        <w:numPr>
          <w:ilvl w:val="1"/>
          <w:numId w:val="1"/>
        </w:numPr>
        <w:kinsoku/>
        <w:wordWrap/>
        <w:overflowPunct/>
        <w:topLinePunct w:val="0"/>
        <w:bidi w:val="0"/>
        <w:adjustRightInd/>
        <w:snapToGrid/>
        <w:spacing w:line="288" w:lineRule="auto"/>
        <w:ind w:left="0" w:firstLine="567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Краткое описание проблемы, на решение которой направлено предлагаемое правовое регулирование: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jc w:val="both"/>
        <w:textAlignment w:val="auto"/>
        <w:rPr>
          <w:rFonts w:hint="default"/>
          <w:lang w:val="ru-RU" w:eastAsia="zh-CN"/>
        </w:rPr>
      </w:pPr>
      <w:r>
        <w:rPr>
          <w:lang w:val="en-US" w:eastAsia="zh-CN"/>
        </w:rPr>
        <w:t xml:space="preserve">В настоящее время </w:t>
      </w:r>
      <w:r>
        <w:rPr>
          <w:lang w:val="ru-RU" w:eastAsia="zh-CN"/>
        </w:rPr>
        <w:t>согласно</w:t>
      </w:r>
      <w:r>
        <w:rPr>
          <w:rFonts w:hint="default"/>
          <w:lang w:val="ru-RU" w:eastAsia="zh-CN"/>
        </w:rPr>
        <w:t xml:space="preserve"> скорректированной проектно-сметной документации, </w:t>
      </w:r>
      <w:r>
        <w:rPr>
          <w:lang w:val="en-US" w:eastAsia="zh-CN"/>
        </w:rPr>
        <w:t xml:space="preserve">общая стоимость </w:t>
      </w:r>
      <w:r>
        <w:rPr>
          <w:rFonts w:hint="default"/>
          <w:lang w:val="ru-RU" w:eastAsia="zh-CN"/>
        </w:rPr>
        <w:t>строительства объекта «</w:t>
      </w:r>
      <w:r>
        <w:rPr>
          <w:lang w:val="en-US" w:eastAsia="zh-CN"/>
        </w:rPr>
        <w:t>Полигон размещения твёрдых коммунальных отходов в городе Якутске</w:t>
      </w:r>
      <w:r>
        <w:rPr>
          <w:rFonts w:hint="default"/>
          <w:lang w:val="ru-RU" w:eastAsia="zh-CN"/>
        </w:rPr>
        <w:t>» составляет  4 002,5 млн руб., в том числе на строительство 1 этапа - 2 610,6 млн руб., 2 этапа - 1 391,8 млн руб.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23.10.2023 строительство 1-го этапа объекта «Полигон размещения твердых коммунальных отходов в городе Якутске». 25.12.2023 получено разрешение на ввод в эксплуатацию объекта.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ru-RU"/>
        </w:rPr>
        <w:t>Согласно программы строительства объекта «Полигон размещения твердых коммунальных отходов в городе Якутске», утвержденной распоряжением Правительства Республики Саха (Якутия) от 25.08.2020 № 735-р основными источниками финансирования мероприятий программы являются средства государственного бюджета Республики Саха (Якутия) и собственные средства ГУП «ЖКХ РС(Я)» (в том числе кредитные (заемные) средства с последующим возмещением).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jc w:val="both"/>
        <w:textAlignment w:val="auto"/>
      </w:pPr>
      <w:r>
        <w:rPr>
          <w:lang w:val="ru-RU"/>
        </w:rPr>
        <w:t>Таким</w:t>
      </w:r>
      <w:r>
        <w:rPr>
          <w:rFonts w:hint="default"/>
          <w:lang w:val="ru-RU"/>
        </w:rPr>
        <w:t xml:space="preserve"> образом, имеется потребность на </w:t>
      </w:r>
      <w:r>
        <w:rPr>
          <w:lang w:val="en-US" w:eastAsia="zh-CN"/>
        </w:rPr>
        <w:t>предоставлени</w:t>
      </w:r>
      <w:r>
        <w:rPr>
          <w:lang w:val="ru-RU" w:eastAsia="zh-CN"/>
        </w:rPr>
        <w:t>е</w:t>
      </w:r>
      <w:r>
        <w:rPr>
          <w:lang w:val="en-US" w:eastAsia="zh-CN"/>
        </w:rPr>
        <w:t xml:space="preserve"> субсидии на </w:t>
      </w:r>
      <w:r>
        <w:rPr>
          <w:lang w:val="ru-RU" w:eastAsia="zh-CN"/>
        </w:rPr>
        <w:t>увеличение</w:t>
      </w:r>
      <w:r>
        <w:rPr>
          <w:rFonts w:hint="default"/>
          <w:lang w:val="ru-RU" w:eastAsia="zh-CN"/>
        </w:rPr>
        <w:t xml:space="preserve"> уставного фонда ГУП «Жилищно-коммунальное хозяйство Республики Саха (Якутия)» на возмещение затрат</w:t>
      </w:r>
      <w:r>
        <w:rPr>
          <w:lang w:val="en-US" w:eastAsia="zh-CN"/>
        </w:rPr>
        <w:t>, связанных со строительством объекта «Полигон размещения твёрдых коммунальных отходов в городе Якутске</w:t>
      </w:r>
      <w:r>
        <w:t>».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textAlignment w:val="auto"/>
      </w:pPr>
    </w:p>
    <w:p>
      <w:pPr>
        <w:pStyle w:val="43"/>
        <w:keepNext w:val="0"/>
        <w:keepLines w:val="0"/>
        <w:pageBreakBefore w:val="0"/>
        <w:numPr>
          <w:ilvl w:val="1"/>
          <w:numId w:val="1"/>
        </w:numPr>
        <w:kinsoku/>
        <w:wordWrap/>
        <w:overflowPunct/>
        <w:topLinePunct w:val="0"/>
        <w:bidi w:val="0"/>
        <w:adjustRightInd/>
        <w:snapToGrid/>
        <w:spacing w:line="288" w:lineRule="auto"/>
        <w:ind w:left="0" w:firstLine="567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Краткое описание целей предлагаемого правового регулирования: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jc w:val="both"/>
        <w:textAlignment w:val="auto"/>
      </w:pPr>
      <w:r>
        <w:rPr>
          <w:lang w:val="en-US" w:eastAsia="zh-CN"/>
        </w:rPr>
        <w:t xml:space="preserve">Целью проекта является </w:t>
      </w:r>
      <w:r>
        <w:rPr>
          <w:lang w:val="ru-RU" w:eastAsia="zh-CN"/>
        </w:rPr>
        <w:t>увеличение</w:t>
      </w:r>
      <w:r>
        <w:rPr>
          <w:rFonts w:hint="default"/>
          <w:lang w:val="ru-RU" w:eastAsia="zh-CN"/>
        </w:rPr>
        <w:t xml:space="preserve"> уставного фонда ГУП «Жилищно-коммунальное хозяйство Республики Саха (Якутия)» на возмещение затрат</w:t>
      </w:r>
      <w:r>
        <w:rPr>
          <w:lang w:val="en-US" w:eastAsia="zh-CN"/>
        </w:rPr>
        <w:t>, связанных со строительством объекта «Полигон размещения твёрдых коммунальных отходов в городе Якутске»</w:t>
      </w:r>
      <w:r>
        <w:rPr>
          <w:bCs/>
        </w:rPr>
        <w:t>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textAlignment w:val="auto"/>
      </w:pPr>
    </w:p>
    <w:p>
      <w:pPr>
        <w:pStyle w:val="43"/>
        <w:keepNext w:val="0"/>
        <w:keepLines w:val="0"/>
        <w:pageBreakBefore w:val="0"/>
        <w:numPr>
          <w:ilvl w:val="1"/>
          <w:numId w:val="1"/>
        </w:numPr>
        <w:kinsoku/>
        <w:wordWrap/>
        <w:overflowPunct/>
        <w:topLinePunct w:val="0"/>
        <w:bidi w:val="0"/>
        <w:adjustRightInd/>
        <w:snapToGrid/>
        <w:spacing w:line="288" w:lineRule="auto"/>
        <w:ind w:left="0" w:firstLine="567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Краткое описание содержания предлагаемого правового регулирования: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jc w:val="both"/>
        <w:textAlignment w:val="auto"/>
      </w:pPr>
      <w:r>
        <w:t xml:space="preserve">Проект приказа подготовлен в целях </w:t>
      </w:r>
      <w:r>
        <w:rPr>
          <w:lang w:val="ru-RU"/>
        </w:rPr>
        <w:t>утверждения</w:t>
      </w:r>
      <w:r>
        <w:rPr>
          <w:rFonts w:hint="default"/>
          <w:lang w:val="ru-RU"/>
        </w:rPr>
        <w:t xml:space="preserve"> </w:t>
      </w:r>
      <w:r>
        <w:rPr>
          <w:lang w:val="en-US" w:eastAsia="zh-CN"/>
        </w:rPr>
        <w:t xml:space="preserve">Порядка предоставления субсидии на </w:t>
      </w:r>
      <w:r>
        <w:rPr>
          <w:lang w:val="ru-RU" w:eastAsia="zh-CN"/>
        </w:rPr>
        <w:t>увеличение</w:t>
      </w:r>
      <w:r>
        <w:rPr>
          <w:rFonts w:hint="default"/>
          <w:lang w:val="ru-RU" w:eastAsia="zh-CN"/>
        </w:rPr>
        <w:t xml:space="preserve"> уставного фонда ГУП «Жилищно-коммунальное хозяйство Республики Саха (Якутия)» на возмещение затрат</w:t>
      </w:r>
      <w:r>
        <w:rPr>
          <w:lang w:val="en-US" w:eastAsia="zh-CN"/>
        </w:rPr>
        <w:t>, связанных со строительством объекта «Полигон размещения твёрдых коммунальных отходов в городе Якутске»</w:t>
      </w:r>
      <w:r>
        <w:t xml:space="preserve">.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jc w:val="both"/>
        <w:textAlignment w:val="auto"/>
      </w:pPr>
    </w:p>
    <w:p>
      <w:pPr>
        <w:pStyle w:val="43"/>
        <w:keepNext w:val="0"/>
        <w:keepLines w:val="0"/>
        <w:pageBreakBefore w:val="0"/>
        <w:numPr>
          <w:ilvl w:val="1"/>
          <w:numId w:val="1"/>
        </w:numPr>
        <w:kinsoku/>
        <w:wordWrap/>
        <w:overflowPunct/>
        <w:topLinePunct w:val="0"/>
        <w:bidi w:val="0"/>
        <w:adjustRightInd/>
        <w:snapToGrid/>
        <w:spacing w:line="288" w:lineRule="auto"/>
        <w:ind w:left="0" w:firstLine="567"/>
        <w:textAlignment w:val="auto"/>
        <w:rPr>
          <w:sz w:val="24"/>
          <w:szCs w:val="24"/>
        </w:rPr>
      </w:pPr>
      <w:r>
        <w:rPr>
          <w:b/>
          <w:bCs/>
          <w:sz w:val="24"/>
          <w:szCs w:val="24"/>
        </w:rPr>
        <w:t>Контактная информация исполнителя в органе-разработчике: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jc w:val="both"/>
        <w:textAlignment w:val="auto"/>
      </w:pPr>
      <w:r>
        <w:t xml:space="preserve">Ф.И.О.: </w:t>
      </w:r>
      <w:r>
        <w:rPr>
          <w:lang w:val="ru-RU"/>
        </w:rPr>
        <w:t>Григорьев</w:t>
      </w:r>
      <w:r>
        <w:rPr>
          <w:rFonts w:hint="default"/>
          <w:lang w:val="ru-RU"/>
        </w:rPr>
        <w:t xml:space="preserve"> Дмитрий</w:t>
      </w:r>
      <w:r>
        <w:t xml:space="preserve"> </w:t>
      </w:r>
      <w:r>
        <w:rPr>
          <w:lang w:val="ru-RU"/>
        </w:rPr>
        <w:t>Николаевич</w:t>
      </w:r>
      <w:r>
        <w:t>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jc w:val="both"/>
        <w:textAlignment w:val="auto"/>
      </w:pPr>
      <w:r>
        <w:t>Должность: Главный специалист Департамента экономики, финансов, имуществ</w:t>
      </w:r>
      <w:r>
        <w:rPr>
          <w:lang w:val="ru-RU"/>
        </w:rPr>
        <w:t>а</w:t>
      </w:r>
      <w:r>
        <w:rPr>
          <w:rFonts w:hint="default"/>
          <w:lang w:val="ru-RU"/>
        </w:rPr>
        <w:t xml:space="preserve"> и информатизации</w:t>
      </w:r>
      <w:r>
        <w:t xml:space="preserve"> Министерства </w:t>
      </w:r>
      <w:r>
        <w:rPr>
          <w:lang w:val="ru-RU"/>
        </w:rPr>
        <w:t>жилищно</w:t>
      </w:r>
      <w:r>
        <w:rPr>
          <w:rFonts w:hint="default"/>
          <w:lang w:val="ru-RU"/>
        </w:rPr>
        <w:t>-коммунального хозяйства</w:t>
      </w:r>
      <w:r>
        <w:t xml:space="preserve"> и энергетики Р</w:t>
      </w:r>
      <w:r>
        <w:rPr>
          <w:lang w:val="ru-RU"/>
        </w:rPr>
        <w:t>еспублики</w:t>
      </w:r>
      <w:r>
        <w:rPr>
          <w:rFonts w:hint="default"/>
          <w:lang w:val="ru-RU"/>
        </w:rPr>
        <w:t xml:space="preserve"> </w:t>
      </w:r>
      <w:r>
        <w:t>С</w:t>
      </w:r>
      <w:r>
        <w:rPr>
          <w:lang w:val="ru-RU"/>
        </w:rPr>
        <w:t>аха</w:t>
      </w:r>
      <w:r>
        <w:t xml:space="preserve"> (Я</w:t>
      </w:r>
      <w:r>
        <w:rPr>
          <w:lang w:val="ru-RU"/>
        </w:rPr>
        <w:t>кутия</w:t>
      </w:r>
      <w:r>
        <w:t>)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jc w:val="both"/>
        <w:textAlignment w:val="auto"/>
      </w:pPr>
      <w: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171450</wp:posOffset>
                </wp:positionV>
                <wp:extent cx="5715000" cy="1270"/>
                <wp:effectExtent l="13335" t="5715" r="5715" b="12065"/>
                <wp:wrapTopAndBottom/>
                <wp:docPr id="1159758464" name="Полилиния: фигур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00"/>
                            <a:gd name="T2" fmla="+- 0 10701 1701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: фигура 2" o:spid="_x0000_s1026" o:spt="100" style="position:absolute;left:0pt;margin-left:85.05pt;margin-top:13.5pt;height:0.1pt;width:450pt;mso-position-horizontal-relative:page;mso-wrap-distance-bottom:0pt;mso-wrap-distance-top:0pt;z-index:-251656192;mso-width-relative:page;mso-height-relative:page;" filled="f" stroked="t" coordsize="9000,1" o:gfxdata="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" path="m0,0l9000,0e">
                <v:path o:connectlocs="0,0;5715000,0" o:connectangles="0,0"/>
                <v:fill on="f" focussize="0,0"/>
                <v:stroke weight="0.48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w:t xml:space="preserve">Телефон (4112) 506-866 (доб. 61026) Адрес электронной почты: </w:t>
      </w:r>
      <w:r>
        <w:fldChar w:fldCharType="begin"/>
      </w:r>
      <w:r>
        <w:instrText xml:space="preserve"> HYPERLINK "mailto:def@sakha.gov.ru" \h </w:instrText>
      </w:r>
      <w:r>
        <w:fldChar w:fldCharType="separate"/>
      </w:r>
      <w:r>
        <w:rPr>
          <w:rStyle w:val="9"/>
        </w:rPr>
        <w:t>def@sakha.gov.ru</w:t>
      </w:r>
      <w:r>
        <w:rPr>
          <w:rStyle w:val="9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jc w:val="both"/>
        <w:textAlignment w:val="auto"/>
      </w:pPr>
    </w:p>
    <w:p>
      <w:pPr>
        <w:pStyle w:val="43"/>
        <w:keepNext w:val="0"/>
        <w:keepLines w:val="0"/>
        <w:pageBreakBefore w:val="0"/>
        <w:numPr>
          <w:ilvl w:val="1"/>
          <w:numId w:val="1"/>
        </w:numPr>
        <w:kinsoku/>
        <w:wordWrap/>
        <w:overflowPunct/>
        <w:topLinePunct w:val="0"/>
        <w:bidi w:val="0"/>
        <w:adjustRightInd/>
        <w:snapToGrid/>
        <w:spacing w:line="288" w:lineRule="auto"/>
        <w:ind w:left="0" w:firstLine="567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Степень регулирующего воздействия проекта нормативного правового акта: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textAlignment w:val="auto"/>
      </w:pPr>
      <w:r>
        <w:rPr>
          <w:lang w:val="ru-RU"/>
        </w:rPr>
        <w:t>Низкая</w:t>
      </w:r>
      <w:r>
        <w:t>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textAlignment w:val="auto"/>
      </w:pPr>
    </w:p>
    <w:p>
      <w:pPr>
        <w:pStyle w:val="43"/>
        <w:keepNext w:val="0"/>
        <w:keepLines w:val="0"/>
        <w:pageBreakBefore w:val="0"/>
        <w:numPr>
          <w:ilvl w:val="1"/>
          <w:numId w:val="1"/>
        </w:numPr>
        <w:kinsoku/>
        <w:wordWrap/>
        <w:overflowPunct/>
        <w:topLinePunct w:val="0"/>
        <w:bidi w:val="0"/>
        <w:adjustRightInd/>
        <w:snapToGrid/>
        <w:spacing w:line="288" w:lineRule="auto"/>
        <w:ind w:left="0" w:firstLine="567"/>
        <w:textAlignment w:val="auto"/>
        <w:rPr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Обоснование отнесения проекта нормативного правового акта к определенной степени регулирующего воздействия: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jc w:val="both"/>
        <w:textAlignment w:val="auto"/>
        <w:rPr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Проект приказа направлен на реализацию национального проекта </w:t>
      </w:r>
      <w:r>
        <w:rPr>
          <w:rFonts w:hint="default"/>
          <w:color w:val="000000" w:themeColor="text1"/>
          <w:lang w:val="ru-RU" w:eastAsia="zh-CN"/>
          <w14:textFill>
            <w14:solidFill>
              <w14:schemeClr w14:val="tx1"/>
            </w14:solidFill>
          </w14:textFill>
        </w:rPr>
        <w:t>«</w:t>
      </w:r>
      <w:r>
        <w:rPr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Экология</w:t>
      </w:r>
      <w:r>
        <w:rPr>
          <w:rFonts w:hint="default"/>
          <w:color w:val="000000" w:themeColor="text1"/>
          <w:lang w:val="ru-RU" w:eastAsia="zh-CN"/>
          <w14:textFill>
            <w14:solidFill>
              <w14:schemeClr w14:val="tx1"/>
            </w14:solidFill>
          </w14:textFill>
        </w:rPr>
        <w:t>»</w:t>
      </w:r>
      <w:r>
        <w:rPr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, а также обеспечение санитарно-эпидемиологического благополучия населения.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jc w:val="both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Проект приказа не содержит положения, устанавливающие новые, ранее не предусмотренные нормативным правовым актом Республики Саха (Якутия) обязательные требования, связанные с осуществлением предпринимательской и иной экономической деятельности, оценка соблюдения которых осуществляется в рамках государственного контроля (надзора),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оценок и экспертиз, устанавливающие новые обязанности и запреты для субъектов предпринимательской</w:t>
      </w:r>
      <w:r>
        <w:rPr>
          <w:rFonts w:hint="default"/>
          <w:color w:val="000000" w:themeColor="text1"/>
          <w:lang w:val="ru-RU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и инвестиционной деятельности, устанавливающие ответственность за нарушение нормативных правовых актов Республики Саха (Якутия), затрагивающих вопросы осуществления предпринимательской и иной экономической деятельности, а также положения, изменяющие ранее установленные обязательные требования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43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adjustRightInd/>
        <w:snapToGrid/>
        <w:spacing w:line="288" w:lineRule="auto"/>
        <w:ind w:left="0" w:firstLine="567"/>
        <w:jc w:val="center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ОПИСАНИЕ ПРОБЛЕМЫ, НА РЕШЕНИЕ КОТОРОЙ НАПРАВЛЕНО ПРЕДЛАГАЕМОЕ ПРАВОВОЕ РЕГУЛИРОВАНИЕ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textAlignment w:val="auto"/>
      </w:pPr>
    </w:p>
    <w:p>
      <w:pPr>
        <w:pStyle w:val="43"/>
        <w:keepNext w:val="0"/>
        <w:keepLines w:val="0"/>
        <w:pageBreakBefore w:val="0"/>
        <w:numPr>
          <w:ilvl w:val="1"/>
          <w:numId w:val="1"/>
        </w:numPr>
        <w:kinsoku/>
        <w:wordWrap/>
        <w:overflowPunct/>
        <w:topLinePunct w:val="0"/>
        <w:bidi w:val="0"/>
        <w:adjustRightInd/>
        <w:snapToGrid/>
        <w:spacing w:line="288" w:lineRule="auto"/>
        <w:ind w:left="0" w:firstLine="567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Формулировка проблемы: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jc w:val="both"/>
        <w:textAlignment w:val="auto"/>
        <w:rPr>
          <w:rFonts w:hint="default"/>
          <w:bCs/>
          <w:highlight w:val="none"/>
          <w:lang w:val="ru-RU" w:eastAsia="zh-CN"/>
        </w:rPr>
      </w:pPr>
      <w:r>
        <w:rPr>
          <w:bCs/>
          <w:highlight w:val="none"/>
          <w:lang w:val="ru-RU" w:eastAsia="zh-CN"/>
        </w:rPr>
        <w:t>В</w:t>
      </w:r>
      <w:r>
        <w:rPr>
          <w:rFonts w:hint="default"/>
          <w:bCs/>
          <w:highlight w:val="none"/>
          <w:lang w:val="ru-RU" w:eastAsia="zh-CN"/>
        </w:rPr>
        <w:t xml:space="preserve"> рамках национального проекта «Экология» на территории г. Якутска реализуется строительство объекта «</w:t>
      </w:r>
      <w:r>
        <w:rPr>
          <w:bCs/>
          <w:highlight w:val="none"/>
          <w:lang w:val="en-US" w:eastAsia="zh-CN"/>
        </w:rPr>
        <w:t>Полигон размещения твёрдых коммунальных отходов в городе Якутске</w:t>
      </w:r>
      <w:r>
        <w:rPr>
          <w:rFonts w:hint="default"/>
          <w:bCs/>
          <w:highlight w:val="none"/>
          <w:lang w:val="ru-RU" w:eastAsia="zh-CN"/>
        </w:rPr>
        <w:t>». 23.10.2023 строительно-монтажные работы 1-го этапа объекта завершены, 25.12.2023 получено разрешение на ввод в эксплуатацию объекта.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jc w:val="both"/>
        <w:textAlignment w:val="auto"/>
        <w:rPr>
          <w:highlight w:val="none"/>
          <w:lang w:val="en-US" w:eastAsia="zh-CN"/>
        </w:rPr>
      </w:pPr>
      <w:r>
        <w:rPr>
          <w:bCs/>
          <w:highlight w:val="none"/>
          <w:lang w:val="en-US" w:eastAsia="zh-CN"/>
        </w:rPr>
        <w:t xml:space="preserve">В настоящее время </w:t>
      </w:r>
      <w:r>
        <w:rPr>
          <w:bCs/>
          <w:highlight w:val="none"/>
          <w:lang w:val="ru-RU" w:eastAsia="zh-CN"/>
        </w:rPr>
        <w:t>согласно</w:t>
      </w:r>
      <w:r>
        <w:rPr>
          <w:rFonts w:hint="default"/>
          <w:bCs/>
          <w:highlight w:val="none"/>
          <w:lang w:val="ru-RU" w:eastAsia="zh-CN"/>
        </w:rPr>
        <w:t xml:space="preserve"> с корректированной проектно-сметной документации, </w:t>
      </w:r>
      <w:r>
        <w:rPr>
          <w:bCs/>
          <w:highlight w:val="none"/>
          <w:lang w:val="en-US" w:eastAsia="zh-CN"/>
        </w:rPr>
        <w:t xml:space="preserve">общая стоимость </w:t>
      </w:r>
      <w:r>
        <w:rPr>
          <w:rFonts w:hint="default"/>
          <w:bCs/>
          <w:highlight w:val="none"/>
          <w:lang w:val="ru-RU" w:eastAsia="zh-CN"/>
        </w:rPr>
        <w:t>строительства объекта «</w:t>
      </w:r>
      <w:r>
        <w:rPr>
          <w:bCs/>
          <w:highlight w:val="none"/>
          <w:lang w:val="en-US" w:eastAsia="zh-CN"/>
        </w:rPr>
        <w:t>Полигон размещения твёрдых коммунальных отходов в городе Якутске</w:t>
      </w:r>
      <w:r>
        <w:rPr>
          <w:rFonts w:hint="default"/>
          <w:bCs/>
          <w:highlight w:val="none"/>
          <w:lang w:val="ru-RU" w:eastAsia="zh-CN"/>
        </w:rPr>
        <w:t xml:space="preserve">» </w:t>
      </w:r>
      <w:r>
        <w:rPr>
          <w:bCs/>
          <w:highlight w:val="none"/>
          <w:lang w:val="en-US" w:eastAsia="zh-CN"/>
        </w:rPr>
        <w:t xml:space="preserve">составляет </w:t>
      </w:r>
      <w:r>
        <w:rPr>
          <w:rFonts w:hint="default"/>
          <w:bCs/>
          <w:highlight w:val="none"/>
          <w:lang w:val="ru-RU" w:eastAsia="zh-CN"/>
        </w:rPr>
        <w:t>4</w:t>
      </w:r>
      <w:r>
        <w:rPr>
          <w:bCs/>
          <w:highlight w:val="none"/>
          <w:lang w:val="en-US" w:eastAsia="zh-CN"/>
        </w:rPr>
        <w:t xml:space="preserve"> </w:t>
      </w:r>
      <w:r>
        <w:rPr>
          <w:rFonts w:hint="default"/>
          <w:bCs/>
          <w:highlight w:val="none"/>
          <w:lang w:val="ru-RU" w:eastAsia="zh-CN"/>
        </w:rPr>
        <w:t>002</w:t>
      </w:r>
      <w:r>
        <w:rPr>
          <w:bCs/>
          <w:highlight w:val="none"/>
          <w:lang w:val="en-US" w:eastAsia="zh-CN"/>
        </w:rPr>
        <w:t>,</w:t>
      </w:r>
      <w:r>
        <w:rPr>
          <w:rFonts w:hint="default"/>
          <w:bCs/>
          <w:highlight w:val="none"/>
          <w:lang w:val="ru-RU" w:eastAsia="zh-CN"/>
        </w:rPr>
        <w:t>5</w:t>
      </w:r>
      <w:r>
        <w:rPr>
          <w:bCs/>
          <w:highlight w:val="none"/>
          <w:lang w:val="en-US" w:eastAsia="zh-CN"/>
        </w:rPr>
        <w:t xml:space="preserve"> млн руб.</w:t>
      </w:r>
      <w:r>
        <w:rPr>
          <w:rFonts w:hint="default"/>
          <w:bCs/>
          <w:highlight w:val="none"/>
          <w:lang w:val="ru-RU" w:eastAsia="zh-CN"/>
        </w:rPr>
        <w:t xml:space="preserve">, в том числе на строительство 1 этапа - 2 610,6 млн руб., 2 этапа - </w:t>
      </w:r>
      <w:r>
        <w:rPr>
          <w:highlight w:val="none"/>
          <w:lang w:val="en-US" w:eastAsia="zh-CN"/>
        </w:rPr>
        <w:t xml:space="preserve">1 </w:t>
      </w:r>
      <w:r>
        <w:rPr>
          <w:rFonts w:hint="default"/>
          <w:highlight w:val="none"/>
          <w:lang w:val="ru-RU" w:eastAsia="zh-CN"/>
        </w:rPr>
        <w:t>391</w:t>
      </w:r>
      <w:r>
        <w:rPr>
          <w:highlight w:val="none"/>
          <w:lang w:val="en-US" w:eastAsia="zh-CN"/>
        </w:rPr>
        <w:t>,8 млн руб.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jc w:val="both"/>
        <w:textAlignment w:val="auto"/>
        <w:rPr>
          <w:bCs/>
          <w:sz w:val="24"/>
          <w:szCs w:val="24"/>
          <w:highlight w:val="none"/>
          <w:lang w:val="en-US" w:eastAsia="zh-CN"/>
        </w:rPr>
      </w:pPr>
      <w:r>
        <w:rPr>
          <w:rFonts w:hint="default"/>
          <w:sz w:val="24"/>
          <w:szCs w:val="24"/>
          <w:highlight w:val="none"/>
          <w:lang w:val="ru-RU"/>
        </w:rPr>
        <w:t>Согласно программы строительства объекта «Полигон размещения твердых коммунальных отходов в городе Якутске», утвержденной распоряжением Правительства Республики Саха (Якутия) от 25.08.2020 № 735-р основными источниками финансирования мероприятий программы являются средства государственного бюджета Республики Саха (Якутия) и собственные средства ГУП «Жилищно-коммунальное хозяйство Республики Саха (Якутия)» (в том числе кредитные (заемные) средства с последующим возмещением).</w:t>
      </w:r>
      <w:r>
        <w:rPr>
          <w:bCs/>
          <w:sz w:val="24"/>
          <w:szCs w:val="24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jc w:val="both"/>
        <w:textAlignment w:val="auto"/>
        <w:rPr>
          <w:highlight w:val="none"/>
        </w:rPr>
      </w:pPr>
      <w:r>
        <w:rPr>
          <w:highlight w:val="none"/>
        </w:rPr>
        <w:t xml:space="preserve">В связи с указанным возникает необходимость принятия </w:t>
      </w:r>
      <w:r>
        <w:rPr>
          <w:highlight w:val="none"/>
          <w:lang w:val="ru-RU"/>
        </w:rPr>
        <w:t>П</w:t>
      </w:r>
      <w:r>
        <w:rPr>
          <w:highlight w:val="none"/>
        </w:rPr>
        <w:t xml:space="preserve">орядка </w:t>
      </w:r>
      <w:r>
        <w:rPr>
          <w:highlight w:val="none"/>
          <w:lang w:val="en-US" w:eastAsia="zh-CN"/>
        </w:rPr>
        <w:t>предоставления</w:t>
      </w:r>
      <w:r>
        <w:rPr>
          <w:rFonts w:hint="default"/>
          <w:highlight w:val="none"/>
          <w:lang w:val="ru-RU" w:eastAsia="zh-CN"/>
        </w:rPr>
        <w:t xml:space="preserve"> </w:t>
      </w:r>
      <w:r>
        <w:rPr>
          <w:highlight w:val="none"/>
          <w:lang w:val="en-US" w:eastAsia="zh-CN"/>
        </w:rPr>
        <w:t xml:space="preserve">субсидии </w:t>
      </w:r>
      <w:r>
        <w:rPr>
          <w:highlight w:val="none"/>
          <w:lang w:val="ru-RU" w:eastAsia="zh-CN"/>
        </w:rPr>
        <w:t>на</w:t>
      </w:r>
      <w:r>
        <w:rPr>
          <w:rFonts w:hint="default"/>
          <w:highlight w:val="none"/>
          <w:lang w:val="ru-RU" w:eastAsia="zh-CN"/>
        </w:rPr>
        <w:t xml:space="preserve"> увеличение уставного фонда </w:t>
      </w:r>
      <w:r>
        <w:rPr>
          <w:rFonts w:hint="default"/>
          <w:sz w:val="24"/>
          <w:szCs w:val="24"/>
          <w:highlight w:val="none"/>
          <w:lang w:val="ru-RU"/>
        </w:rPr>
        <w:t>ГУП «Жилищно-коммунальное хозяйство Республики Саха (Якутия)» на возмещение затрат</w:t>
      </w:r>
      <w:r>
        <w:rPr>
          <w:highlight w:val="none"/>
          <w:lang w:val="en-US" w:eastAsia="zh-CN"/>
        </w:rPr>
        <w:t>, связанных со строительством объекта «Полигон размещения твёрдых коммунальных отходов в городе Якутске»</w:t>
      </w:r>
      <w:r>
        <w:rPr>
          <w:highlight w:val="none"/>
        </w:rPr>
        <w:t>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textAlignment w:val="auto"/>
      </w:pPr>
    </w:p>
    <w:p>
      <w:pPr>
        <w:pStyle w:val="43"/>
        <w:keepNext w:val="0"/>
        <w:keepLines w:val="0"/>
        <w:pageBreakBefore w:val="0"/>
        <w:numPr>
          <w:ilvl w:val="1"/>
          <w:numId w:val="1"/>
        </w:numPr>
        <w:kinsoku/>
        <w:wordWrap/>
        <w:overflowPunct/>
        <w:topLinePunct w:val="0"/>
        <w:bidi w:val="0"/>
        <w:adjustRightInd/>
        <w:snapToGrid/>
        <w:spacing w:line="288" w:lineRule="auto"/>
        <w:ind w:left="0" w:firstLine="567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jc w:val="both"/>
        <w:textAlignment w:val="auto"/>
        <w:rPr>
          <w:bCs/>
          <w:highlight w:val="none"/>
        </w:rPr>
      </w:pPr>
      <w:r>
        <w:rPr>
          <w:rFonts w:hint="default"/>
          <w:bCs/>
          <w:highlight w:val="none"/>
          <w:lang w:val="ru-RU" w:eastAsia="zh-CN"/>
        </w:rPr>
        <w:t>На строительство 1-го этапа объекта «Полигон размещения твердых коммунальных отходов в г. Якутске Республики Саха (Якутия)» из государственного бюджета Республики Саха (Якутия) на 2022 год предусмотрено 1 009 251,14 тыс. руб., на 2023 год – 403 819,94 тыс. руб., также внебюджетные источники ГУП «Жилищно-коммунальное хозяйство Республики Саха (Якутия)»</w:t>
      </w:r>
      <w:r>
        <w:rPr>
          <w:bCs/>
          <w:highlight w:val="none"/>
        </w:rPr>
        <w:t>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jc w:val="both"/>
        <w:textAlignment w:val="auto"/>
        <w:rPr>
          <w:rFonts w:hint="default"/>
          <w:bCs/>
          <w:highlight w:val="none"/>
          <w:lang w:val="ru-RU"/>
        </w:rPr>
      </w:pPr>
      <w:r>
        <w:rPr>
          <w:rFonts w:hint="default"/>
          <w:bCs/>
          <w:highlight w:val="none"/>
          <w:lang w:val="ru-RU"/>
        </w:rPr>
        <w:t xml:space="preserve">В настоящее время </w:t>
      </w:r>
      <w:r>
        <w:rPr>
          <w:rFonts w:hint="default"/>
          <w:highlight w:val="none"/>
          <w:lang w:val="ru-RU"/>
        </w:rPr>
        <w:t xml:space="preserve">имеется потребность на увеличение уставного фонда ГУП «Жилищно-коммунальное хозяйство Республики Саха (Якутия)» на </w:t>
      </w:r>
      <w:r>
        <w:rPr>
          <w:highlight w:val="none"/>
          <w:lang w:val="en-US" w:eastAsia="zh-CN"/>
        </w:rPr>
        <w:t>возмещени</w:t>
      </w:r>
      <w:r>
        <w:rPr>
          <w:highlight w:val="none"/>
          <w:lang w:val="ru-RU" w:eastAsia="zh-CN"/>
        </w:rPr>
        <w:t>я</w:t>
      </w:r>
      <w:r>
        <w:rPr>
          <w:rFonts w:hint="default"/>
          <w:highlight w:val="none"/>
          <w:lang w:val="ru-RU" w:eastAsia="zh-CN"/>
        </w:rPr>
        <w:t xml:space="preserve"> </w:t>
      </w:r>
      <w:r>
        <w:rPr>
          <w:highlight w:val="none"/>
          <w:lang w:val="en-US" w:eastAsia="zh-CN"/>
        </w:rPr>
        <w:t>затрат</w:t>
      </w:r>
      <w:r>
        <w:rPr>
          <w:rFonts w:hint="default"/>
          <w:highlight w:val="none"/>
          <w:lang w:val="ru-RU" w:eastAsia="zh-CN"/>
        </w:rPr>
        <w:t xml:space="preserve">, связанных со строительством </w:t>
      </w:r>
      <w:r>
        <w:rPr>
          <w:highlight w:val="none"/>
          <w:lang w:val="en-US" w:eastAsia="zh-CN"/>
        </w:rPr>
        <w:t>объекта «Полигон размещения твёрдых коммунальных отходов в городе Якутске</w:t>
      </w:r>
      <w:r>
        <w:rPr>
          <w:highlight w:val="none"/>
        </w:rPr>
        <w:t>»</w:t>
      </w:r>
      <w:r>
        <w:rPr>
          <w:rFonts w:hint="default"/>
          <w:highlight w:val="none"/>
          <w:lang w:val="ru-RU"/>
        </w:rPr>
        <w:t>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jc w:val="both"/>
        <w:textAlignment w:val="auto"/>
        <w:rPr>
          <w:bCs/>
        </w:rPr>
      </w:pPr>
    </w:p>
    <w:p>
      <w:pPr>
        <w:pStyle w:val="43"/>
        <w:keepNext w:val="0"/>
        <w:keepLines w:val="0"/>
        <w:pageBreakBefore w:val="0"/>
        <w:numPr>
          <w:ilvl w:val="1"/>
          <w:numId w:val="1"/>
        </w:numPr>
        <w:kinsoku/>
        <w:wordWrap/>
        <w:overflowPunct/>
        <w:topLinePunct w:val="0"/>
        <w:bidi w:val="0"/>
        <w:adjustRightInd/>
        <w:snapToGrid/>
        <w:spacing w:line="288" w:lineRule="auto"/>
        <w:ind w:left="0" w:firstLine="567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Социальные группы, заинтересованные в устранении проблемы, их количественная оценка: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jc w:val="both"/>
        <w:textAlignment w:val="auto"/>
        <w:rPr>
          <w:rFonts w:hint="default"/>
          <w:highlight w:val="none"/>
          <w:lang w:val="ru-RU"/>
        </w:rPr>
      </w:pPr>
      <w:r>
        <w:rPr>
          <w:highlight w:val="none"/>
        </w:rPr>
        <w:t xml:space="preserve">1. </w:t>
      </w:r>
      <w:r>
        <w:rPr>
          <w:highlight w:val="none"/>
          <w:lang w:val="ru-RU"/>
        </w:rPr>
        <w:t>Юридическое</w:t>
      </w:r>
      <w:r>
        <w:rPr>
          <w:rFonts w:hint="default"/>
          <w:highlight w:val="none"/>
          <w:lang w:val="ru-RU"/>
        </w:rPr>
        <w:t xml:space="preserve"> лицо </w:t>
      </w:r>
      <w:r>
        <w:rPr>
          <w:rFonts w:hint="default"/>
          <w:highlight w:val="none"/>
          <w:lang w:val="ru-RU" w:eastAsia="zh-CN"/>
        </w:rPr>
        <w:t>Государственное унитарное предприятие «Жилищно-коммунальное хозяйство Республики Саха (Якутия) согласно распоряжению Правительства Республики Саха (Якутия) от 25.08.2020 № 735-р «О программе строительства объекта «Полигон размещения твердых коммунальных отходов в г. Якутске Республики Саха (Якутия)».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textAlignment w:val="auto"/>
      </w:pPr>
    </w:p>
    <w:p>
      <w:pPr>
        <w:pStyle w:val="43"/>
        <w:keepNext w:val="0"/>
        <w:keepLines w:val="0"/>
        <w:pageBreakBefore w:val="0"/>
        <w:numPr>
          <w:ilvl w:val="1"/>
          <w:numId w:val="1"/>
        </w:numPr>
        <w:kinsoku/>
        <w:wordWrap/>
        <w:overflowPunct/>
        <w:topLinePunct w:val="0"/>
        <w:bidi w:val="0"/>
        <w:adjustRightInd/>
        <w:snapToGrid/>
        <w:spacing w:line="288" w:lineRule="auto"/>
        <w:ind w:left="0" w:firstLine="567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Характеристика негативных эффектов, возникающих в связи с наличием проблемы, их количественная оценка: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jc w:val="both"/>
        <w:textAlignment w:val="auto"/>
        <w:rPr>
          <w:highlight w:val="none"/>
        </w:rPr>
      </w:pPr>
      <w:r>
        <w:rPr>
          <w:highlight w:val="none"/>
        </w:rPr>
        <w:t xml:space="preserve">Возникновение убытков у </w:t>
      </w:r>
      <w:r>
        <w:rPr>
          <w:highlight w:val="none"/>
          <w:lang w:val="ru-RU"/>
        </w:rPr>
        <w:t>предприятия</w:t>
      </w:r>
      <w:r>
        <w:rPr>
          <w:rFonts w:hint="default"/>
          <w:highlight w:val="none"/>
          <w:lang w:val="ru-RU"/>
        </w:rPr>
        <w:t xml:space="preserve"> </w:t>
      </w:r>
      <w:r>
        <w:rPr>
          <w:highlight w:val="none"/>
          <w:lang w:val="en-US" w:eastAsia="zh-CN"/>
        </w:rPr>
        <w:t>ГУП «ЖКХ РС(Я)</w:t>
      </w:r>
      <w:r>
        <w:rPr>
          <w:rFonts w:hint="default"/>
          <w:highlight w:val="none"/>
          <w:lang w:val="ru-RU" w:eastAsia="zh-CN"/>
        </w:rPr>
        <w:t>»</w:t>
      </w:r>
      <w:r>
        <w:rPr>
          <w:highlight w:val="none"/>
        </w:rPr>
        <w:t>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textAlignment w:val="auto"/>
      </w:pPr>
    </w:p>
    <w:p>
      <w:pPr>
        <w:pStyle w:val="43"/>
        <w:keepNext w:val="0"/>
        <w:keepLines w:val="0"/>
        <w:pageBreakBefore w:val="0"/>
        <w:numPr>
          <w:ilvl w:val="1"/>
          <w:numId w:val="1"/>
        </w:numPr>
        <w:kinsoku/>
        <w:wordWrap/>
        <w:overflowPunct/>
        <w:topLinePunct w:val="0"/>
        <w:bidi w:val="0"/>
        <w:adjustRightInd/>
        <w:snapToGrid/>
        <w:spacing w:line="288" w:lineRule="auto"/>
        <w:ind w:left="0" w:firstLine="567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Причины возникновения проблемы и факторы, поддерживающие ее существование: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288" w:lineRule="auto"/>
        <w:ind w:left="0" w:leftChars="0" w:firstLine="616" w:firstLineChars="257"/>
        <w:contextualSpacing/>
        <w:jc w:val="both"/>
        <w:textAlignment w:val="auto"/>
        <w:rPr>
          <w:rFonts w:hint="default"/>
          <w:sz w:val="24"/>
          <w:szCs w:val="24"/>
          <w:highlight w:val="none"/>
          <w:lang w:val="ru-RU"/>
        </w:rPr>
      </w:pPr>
      <w:r>
        <w:rPr>
          <w:rFonts w:hint="default"/>
          <w:sz w:val="24"/>
          <w:szCs w:val="24"/>
          <w:highlight w:val="none"/>
          <w:lang w:val="ru-RU"/>
        </w:rPr>
        <w:t xml:space="preserve">Согласно программы строительства объекта «Полигон размещения твердых коммунальных отходов в городе Якутске», утвержденной распоряжением Правительства Республики Саха (Якутия) от 25.08.2020 № 735-р основными источниками финансирования мероприятий программы являются средства государственного бюджета Республики Саха (Якутия) и собственные средства </w:t>
      </w:r>
      <w:r>
        <w:rPr>
          <w:rFonts w:hint="default"/>
          <w:highlight w:val="none"/>
          <w:lang w:val="ru-RU" w:eastAsia="zh-CN"/>
        </w:rPr>
        <w:t>ГУП «Жилищно-коммунальное хозяйство Республики Саха (Якутия)»</w:t>
      </w:r>
      <w:r>
        <w:rPr>
          <w:rFonts w:hint="default"/>
          <w:sz w:val="24"/>
          <w:szCs w:val="24"/>
          <w:highlight w:val="none"/>
          <w:lang w:val="ru-RU"/>
        </w:rPr>
        <w:t xml:space="preserve"> (в том числе кредитные (заемные) средства с последующим возмещением).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jc w:val="both"/>
        <w:textAlignment w:val="auto"/>
        <w:rPr>
          <w:highlight w:val="none"/>
        </w:rPr>
      </w:pPr>
      <w:r>
        <w:rPr>
          <w:rFonts w:hint="default"/>
          <w:highlight w:val="none"/>
          <w:lang w:val="ru-RU"/>
        </w:rPr>
        <w:t xml:space="preserve">Таким образом, имеется потребность на </w:t>
      </w:r>
      <w:r>
        <w:rPr>
          <w:rFonts w:hint="default"/>
          <w:highlight w:val="none"/>
          <w:lang w:val="ru-RU" w:eastAsia="zh-CN"/>
        </w:rPr>
        <w:t>предоставление субсидии на увеличение уставного фонда ГУП «Жилищно-коммунальное хозяйство Республики Саха (Якутия)» на возмещение затрат, связанных со строительством объекта «Полигон размещения твёрдых коммунальных отходов в городе Якутске</w:t>
      </w:r>
      <w:r>
        <w:rPr>
          <w:rFonts w:hint="default"/>
          <w:highlight w:val="none"/>
          <w:lang w:val="ru-RU"/>
        </w:rPr>
        <w:t>».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textAlignment w:val="auto"/>
      </w:pPr>
    </w:p>
    <w:p>
      <w:pPr>
        <w:pStyle w:val="43"/>
        <w:keepNext w:val="0"/>
        <w:keepLines w:val="0"/>
        <w:pageBreakBefore w:val="0"/>
        <w:numPr>
          <w:ilvl w:val="1"/>
          <w:numId w:val="1"/>
        </w:numPr>
        <w:kinsoku/>
        <w:wordWrap/>
        <w:overflowPunct/>
        <w:topLinePunct w:val="0"/>
        <w:bidi w:val="0"/>
        <w:adjustRightInd/>
        <w:snapToGrid/>
        <w:spacing w:line="288" w:lineRule="auto"/>
        <w:ind w:left="0" w:firstLine="567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Причины невозможности решения проблемы участниками соответствующих отношений самостоятельно, без вмешательства государства: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jc w:val="both"/>
        <w:textAlignment w:val="auto"/>
        <w:rPr>
          <w:highlight w:val="none"/>
        </w:rPr>
      </w:pPr>
      <w:r>
        <w:rPr>
          <w:highlight w:val="none"/>
        </w:rPr>
        <w:t xml:space="preserve">Требует субсидирования </w:t>
      </w:r>
      <w:r>
        <w:rPr>
          <w:highlight w:val="none"/>
          <w:lang w:val="en-US" w:eastAsia="zh-CN"/>
        </w:rPr>
        <w:t xml:space="preserve">на </w:t>
      </w:r>
      <w:r>
        <w:rPr>
          <w:highlight w:val="none"/>
          <w:lang w:val="ru-RU" w:eastAsia="zh-CN"/>
        </w:rPr>
        <w:t>увеличение</w:t>
      </w:r>
      <w:r>
        <w:rPr>
          <w:rFonts w:hint="default"/>
          <w:highlight w:val="none"/>
          <w:lang w:val="ru-RU" w:eastAsia="zh-CN"/>
        </w:rPr>
        <w:t xml:space="preserve"> уставного фонда ГУП «Жилищно-коммунальное хозяйство Республики Саха (Якутия)» на возмещение затрат</w:t>
      </w:r>
      <w:r>
        <w:rPr>
          <w:highlight w:val="none"/>
          <w:lang w:val="en-US" w:eastAsia="zh-CN"/>
        </w:rPr>
        <w:t>, связанных со строительством объекта «Полигон размещения твёрдых коммунальных отходов в городе Якутске»</w:t>
      </w:r>
      <w:r>
        <w:rPr>
          <w:highlight w:val="none"/>
        </w:rPr>
        <w:t>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jc w:val="both"/>
        <w:textAlignment w:val="auto"/>
        <w:rPr>
          <w:highlight w:val="none"/>
        </w:rPr>
      </w:pPr>
      <w:r>
        <w:rPr>
          <w:highlight w:val="none"/>
        </w:rPr>
        <w:t xml:space="preserve">Субсидирование дает возможность уменьшения убытков у </w:t>
      </w:r>
      <w:r>
        <w:rPr>
          <w:highlight w:val="none"/>
          <w:lang w:val="ru-RU"/>
        </w:rPr>
        <w:t>предприятия</w:t>
      </w:r>
      <w:r>
        <w:rPr>
          <w:rFonts w:hint="default"/>
          <w:highlight w:val="none"/>
          <w:lang w:val="ru-RU"/>
        </w:rPr>
        <w:t xml:space="preserve"> ГУП «Жилищно-коммунальное хозяйство Республики Саха (Якутия</w:t>
      </w:r>
      <w:r>
        <w:rPr>
          <w:highlight w:val="none"/>
        </w:rPr>
        <w:t>)</w:t>
      </w:r>
      <w:r>
        <w:rPr>
          <w:rFonts w:hint="default"/>
          <w:highlight w:val="none"/>
          <w:lang w:val="ru-RU"/>
        </w:rPr>
        <w:t>»</w:t>
      </w:r>
      <w:r>
        <w:rPr>
          <w:highlight w:val="none"/>
        </w:rPr>
        <w:t>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textAlignment w:val="auto"/>
      </w:pPr>
    </w:p>
    <w:p>
      <w:pPr>
        <w:pStyle w:val="43"/>
        <w:keepNext w:val="0"/>
        <w:keepLines w:val="0"/>
        <w:pageBreakBefore w:val="0"/>
        <w:numPr>
          <w:ilvl w:val="1"/>
          <w:numId w:val="1"/>
        </w:numPr>
        <w:kinsoku/>
        <w:wordWrap/>
        <w:overflowPunct/>
        <w:topLinePunct w:val="0"/>
        <w:bidi w:val="0"/>
        <w:adjustRightInd/>
        <w:snapToGrid/>
        <w:spacing w:line="288" w:lineRule="auto"/>
        <w:ind w:left="0" w:firstLine="567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Опыт решения аналогичных проблем в других субъектах Российской Федерации, иностранных государствах: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textAlignment w:val="auto"/>
        <w:rPr>
          <w:highlight w:val="none"/>
        </w:rPr>
      </w:pPr>
      <w:r>
        <w:rPr>
          <w:highlight w:val="none"/>
        </w:rPr>
        <w:t>Отсутствует.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textAlignment w:val="auto"/>
        <w:rPr>
          <w:highlight w:val="none"/>
        </w:rPr>
      </w:pPr>
    </w:p>
    <w:p>
      <w:pPr>
        <w:pStyle w:val="43"/>
        <w:keepNext w:val="0"/>
        <w:keepLines w:val="0"/>
        <w:pageBreakBefore w:val="0"/>
        <w:numPr>
          <w:ilvl w:val="1"/>
          <w:numId w:val="1"/>
        </w:numPr>
        <w:kinsoku/>
        <w:wordWrap/>
        <w:overflowPunct/>
        <w:topLinePunct w:val="0"/>
        <w:bidi w:val="0"/>
        <w:adjustRightInd/>
        <w:snapToGrid/>
        <w:spacing w:line="288" w:lineRule="auto"/>
        <w:ind w:left="0" w:firstLine="567"/>
        <w:textAlignment w:val="auto"/>
        <w:rPr>
          <w:b/>
          <w:bCs/>
          <w:sz w:val="24"/>
          <w:szCs w:val="24"/>
          <w:highlight w:val="none"/>
        </w:rPr>
      </w:pPr>
      <w:r>
        <w:rPr>
          <w:b/>
          <w:bCs/>
          <w:sz w:val="24"/>
          <w:szCs w:val="24"/>
          <w:highlight w:val="none"/>
        </w:rPr>
        <w:t>Источники данных: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textAlignment w:val="auto"/>
        <w:rPr>
          <w:highlight w:val="none"/>
        </w:rPr>
      </w:pPr>
      <w:r>
        <w:rPr>
          <w:highlight w:val="none"/>
        </w:rPr>
        <w:t>Отсутствует.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textAlignment w:val="auto"/>
        <w:rPr>
          <w:highlight w:val="none"/>
        </w:rPr>
      </w:pPr>
    </w:p>
    <w:p>
      <w:pPr>
        <w:pStyle w:val="43"/>
        <w:keepNext w:val="0"/>
        <w:keepLines w:val="0"/>
        <w:pageBreakBefore w:val="0"/>
        <w:numPr>
          <w:ilvl w:val="1"/>
          <w:numId w:val="1"/>
        </w:numPr>
        <w:kinsoku/>
        <w:wordWrap/>
        <w:overflowPunct/>
        <w:topLinePunct w:val="0"/>
        <w:bidi w:val="0"/>
        <w:adjustRightInd/>
        <w:snapToGrid/>
        <w:spacing w:line="288" w:lineRule="auto"/>
        <w:ind w:left="0" w:firstLine="567"/>
        <w:textAlignment w:val="auto"/>
        <w:rPr>
          <w:b/>
          <w:bCs/>
          <w:sz w:val="24"/>
          <w:szCs w:val="24"/>
          <w:highlight w:val="none"/>
        </w:rPr>
      </w:pPr>
      <w:r>
        <w:rPr>
          <w:b/>
          <w:bCs/>
          <w:sz w:val="24"/>
          <w:szCs w:val="24"/>
          <w:highlight w:val="none"/>
        </w:rPr>
        <w:t>Иная информация о проблеме: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textAlignment w:val="auto"/>
        <w:rPr>
          <w:highlight w:val="none"/>
        </w:rPr>
      </w:pPr>
      <w:r>
        <w:rPr>
          <w:highlight w:val="none"/>
        </w:rPr>
        <w:t>Отсутствует.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textAlignment w:val="auto"/>
      </w:pPr>
    </w:p>
    <w:p>
      <w:pPr>
        <w:pStyle w:val="43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adjustRightInd/>
        <w:snapToGrid/>
        <w:spacing w:line="288" w:lineRule="auto"/>
        <w:ind w:left="0" w:firstLine="567"/>
        <w:jc w:val="center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ОПРЕДЕЛЕНИЕ ЦЕЛЕЙ ПРЕДЛАГАЕМОГО ПРАВОВОГО РЕГУЛИРОВАНИЯ И ИНДИКАТОРОВ ДЛЯ ОЦЕНКИ ИХ ДОСТИЖЕНИЯ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textAlignment w:val="auto"/>
      </w:pPr>
    </w:p>
    <w:tbl>
      <w:tblPr>
        <w:tblStyle w:val="41"/>
        <w:tblW w:w="9498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37"/>
        <w:gridCol w:w="3420"/>
        <w:gridCol w:w="25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859" w:hRule="atLeast"/>
        </w:trPr>
        <w:tc>
          <w:tcPr>
            <w:tcW w:w="3537" w:type="dxa"/>
          </w:tcPr>
          <w:p>
            <w:pPr>
              <w:pStyle w:val="43"/>
              <w:keepNext w:val="0"/>
              <w:keepLines w:val="0"/>
              <w:pageBreakBefore w:val="0"/>
              <w:numPr>
                <w:ilvl w:val="1"/>
                <w:numId w:val="1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88" w:lineRule="auto"/>
              <w:ind w:left="240" w:leftChars="0" w:right="166" w:rightChars="69" w:hanging="16" w:firstLineChars="0"/>
              <w:jc w:val="center"/>
              <w:textAlignment w:val="auto"/>
              <w:rPr>
                <w:rFonts w:eastAsia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en-US"/>
              </w:rPr>
              <w:t>Цели предлагаемого правового регулирования</w:t>
            </w:r>
          </w:p>
        </w:tc>
        <w:tc>
          <w:tcPr>
            <w:tcW w:w="3420" w:type="dxa"/>
          </w:tcPr>
          <w:p>
            <w:pPr>
              <w:pStyle w:val="43"/>
              <w:keepNext w:val="0"/>
              <w:keepLines w:val="0"/>
              <w:pageBreakBefore w:val="0"/>
              <w:numPr>
                <w:ilvl w:val="1"/>
                <w:numId w:val="1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88" w:lineRule="auto"/>
              <w:ind w:left="0" w:leftChars="0" w:hanging="6" w:firstLineChars="0"/>
              <w:jc w:val="center"/>
              <w:textAlignment w:val="auto"/>
              <w:rPr>
                <w:rFonts w:eastAsia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en-US"/>
              </w:rPr>
              <w:t>Сроки достижения целей предлагаемого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ind w:left="0" w:leftChars="0" w:hanging="6" w:firstLineChars="0"/>
              <w:jc w:val="center"/>
              <w:textAlignment w:val="auto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b/>
                <w:bCs/>
                <w:lang w:val="en-US" w:eastAsia="en-US"/>
              </w:rPr>
              <w:t>правового регулирования</w:t>
            </w:r>
          </w:p>
        </w:tc>
        <w:tc>
          <w:tcPr>
            <w:tcW w:w="2541" w:type="dxa"/>
          </w:tcPr>
          <w:p>
            <w:pPr>
              <w:pStyle w:val="43"/>
              <w:keepNext w:val="0"/>
              <w:keepLines w:val="0"/>
              <w:pageBreakBefore w:val="0"/>
              <w:numPr>
                <w:ilvl w:val="1"/>
                <w:numId w:val="1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88" w:lineRule="auto"/>
              <w:ind w:left="-1" w:leftChars="0" w:firstLine="0" w:firstLineChars="0"/>
              <w:jc w:val="center"/>
              <w:textAlignment w:val="auto"/>
              <w:rPr>
                <w:rFonts w:eastAsia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en-US"/>
              </w:rPr>
              <w:t>Периодичность мониторинга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ind w:left="-1" w:leftChars="0" w:firstLine="0" w:firstLineChars="0"/>
              <w:jc w:val="center"/>
              <w:textAlignment w:val="auto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b/>
                <w:bCs/>
                <w:lang w:val="en-US" w:eastAsia="en-US"/>
              </w:rPr>
              <w:t>достижения целей предлагаемого правового регулирования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7" w:hRule="atLeast"/>
        </w:trPr>
        <w:tc>
          <w:tcPr>
            <w:tcW w:w="35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eastAsiaTheme="minorHAnsi"/>
                <w:highlight w:val="none"/>
                <w:lang w:val="en-US" w:eastAsia="en-US"/>
              </w:rPr>
            </w:pPr>
            <w:r>
              <w:rPr>
                <w:rFonts w:eastAsiaTheme="minorHAnsi"/>
                <w:highlight w:val="none"/>
                <w:lang w:val="en-US" w:eastAsia="en-US"/>
              </w:rPr>
              <w:t>Обеспечение своевременного и обоснованного предоставления субсиди</w:t>
            </w:r>
            <w:r>
              <w:rPr>
                <w:rFonts w:eastAsiaTheme="minorHAnsi"/>
                <w:highlight w:val="none"/>
                <w:lang w:val="ru-RU" w:eastAsia="en-US"/>
              </w:rPr>
              <w:t>и</w:t>
            </w:r>
            <w:r>
              <w:rPr>
                <w:rFonts w:eastAsiaTheme="minorHAnsi"/>
                <w:highlight w:val="none"/>
                <w:lang w:val="en-US" w:eastAsia="en-US"/>
              </w:rPr>
              <w:t>.</w:t>
            </w:r>
          </w:p>
        </w:tc>
        <w:tc>
          <w:tcPr>
            <w:tcW w:w="3420" w:type="dxa"/>
            <w:shd w:val="clear" w:color="auto" w:fill="FFFFFF" w:themeFill="background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ind w:left="240" w:leftChars="100" w:firstLine="0" w:firstLineChars="0"/>
              <w:jc w:val="center"/>
              <w:textAlignment w:val="auto"/>
              <w:rPr>
                <w:rFonts w:eastAsiaTheme="minorHAnsi"/>
                <w:highlight w:val="none"/>
                <w:lang w:val="en-US" w:eastAsia="en-US"/>
              </w:rPr>
            </w:pPr>
            <w:r>
              <w:rPr>
                <w:rFonts w:eastAsiaTheme="minorHAnsi"/>
                <w:highlight w:val="none"/>
                <w:lang w:val="en-US" w:eastAsia="en-US"/>
              </w:rPr>
              <w:t>Со дня вступления нормативного правового акта в законную силу</w:t>
            </w:r>
          </w:p>
        </w:tc>
        <w:tc>
          <w:tcPr>
            <w:tcW w:w="25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eastAsiaTheme="minorHAnsi"/>
                <w:highlight w:val="none"/>
                <w:lang w:val="en-US" w:eastAsia="en-US"/>
              </w:rPr>
            </w:pPr>
            <w:r>
              <w:rPr>
                <w:rFonts w:eastAsiaTheme="minorHAnsi"/>
                <w:highlight w:val="none"/>
                <w:lang w:val="en-US" w:eastAsia="en-US"/>
              </w:rPr>
              <w:t>Ежегодно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textAlignment w:val="auto"/>
      </w:pPr>
    </w:p>
    <w:p>
      <w:pPr>
        <w:pStyle w:val="43"/>
        <w:keepNext w:val="0"/>
        <w:keepLines w:val="0"/>
        <w:pageBreakBefore w:val="0"/>
        <w:numPr>
          <w:ilvl w:val="1"/>
          <w:numId w:val="1"/>
        </w:numPr>
        <w:kinsoku/>
        <w:wordWrap/>
        <w:overflowPunct/>
        <w:topLinePunct w:val="0"/>
        <w:bidi w:val="0"/>
        <w:adjustRightInd/>
        <w:snapToGrid/>
        <w:spacing w:line="288" w:lineRule="auto"/>
        <w:ind w:left="0" w:firstLine="567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jc w:val="both"/>
        <w:textAlignment w:val="auto"/>
        <w:rPr>
          <w:highlight w:val="none"/>
        </w:rPr>
      </w:pPr>
      <w:r>
        <w:rPr>
          <w:highlight w:val="none"/>
        </w:rPr>
        <w:t>- Статья 78 Бюджетного кодекса Российской Федерации;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jc w:val="both"/>
        <w:textAlignment w:val="auto"/>
        <w:rPr>
          <w:highlight w:val="none"/>
        </w:rPr>
      </w:pPr>
      <w:r>
        <w:rPr>
          <w:highlight w:val="none"/>
        </w:rPr>
        <w:t xml:space="preserve">- </w:t>
      </w:r>
      <w:r>
        <w:rPr>
          <w:highlight w:val="none"/>
          <w:lang w:val="ru-RU"/>
        </w:rPr>
        <w:t>П</w:t>
      </w:r>
      <w:r>
        <w:rPr>
          <w:sz w:val="24"/>
          <w:szCs w:val="24"/>
          <w:lang w:val="en-US" w:eastAsia="zh-CN"/>
        </w:rPr>
        <w:t xml:space="preserve">остановление Правительства Российской Федерации от </w:t>
      </w:r>
      <w:r>
        <w:rPr>
          <w:rFonts w:hint="default"/>
          <w:sz w:val="24"/>
          <w:szCs w:val="24"/>
          <w:lang w:val="ru-RU" w:eastAsia="zh-CN"/>
        </w:rPr>
        <w:t>25.10.2023</w:t>
      </w:r>
      <w:r>
        <w:rPr>
          <w:sz w:val="24"/>
          <w:szCs w:val="24"/>
          <w:lang w:val="en-US" w:eastAsia="zh-CN"/>
        </w:rPr>
        <w:t xml:space="preserve"> №</w:t>
      </w:r>
      <w:r>
        <w:rPr>
          <w:rFonts w:hint="default"/>
          <w:sz w:val="24"/>
          <w:szCs w:val="24"/>
          <w:lang w:val="ru-RU" w:eastAsia="zh-CN"/>
        </w:rPr>
        <w:t xml:space="preserve"> 1782</w:t>
      </w:r>
      <w:r>
        <w:rPr>
          <w:sz w:val="24"/>
          <w:szCs w:val="24"/>
          <w:lang w:val="en-US" w:eastAsia="zh-CN"/>
        </w:rPr>
        <w:t xml:space="preserve"> «Об</w:t>
      </w:r>
      <w:r>
        <w:rPr>
          <w:rFonts w:hint="default"/>
          <w:sz w:val="24"/>
          <w:szCs w:val="24"/>
          <w:lang w:val="ru-RU" w:eastAsia="zh-CN"/>
        </w:rPr>
        <w:t xml:space="preserve">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</w:t>
      </w:r>
      <w:r>
        <w:rPr>
          <w:sz w:val="24"/>
          <w:szCs w:val="24"/>
          <w:lang w:val="en-US" w:eastAsia="zh-CN"/>
        </w:rPr>
        <w:t>».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jc w:val="both"/>
        <w:textAlignment w:val="auto"/>
      </w:pPr>
      <w:r>
        <w:rPr>
          <w:rFonts w:hint="default"/>
          <w:highlight w:val="none"/>
          <w:lang w:val="ru-RU"/>
        </w:rPr>
        <w:t xml:space="preserve">- </w:t>
      </w:r>
      <w:r>
        <w:rPr>
          <w:highlight w:val="none"/>
        </w:rPr>
        <w:t>Постановление Правительства Республики Саха (Якутия) от 29 февраля 2016 года № 58 «Об определении исполнительных органов государственной власти Республики Саха (Якутия) уполномоченными на принятие актов, утверждающих порядки предоставления субсидий по статье 78 Бюджетного кодекса Российской Федерации»</w:t>
      </w:r>
      <w:r>
        <w:rPr>
          <w:bCs/>
          <w:highlight w:val="none"/>
        </w:rPr>
        <w:t>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709"/>
        <w:jc w:val="both"/>
        <w:textAlignment w:val="auto"/>
        <w:rPr>
          <w:sz w:val="28"/>
          <w:szCs w:val="28"/>
        </w:rPr>
      </w:pPr>
    </w:p>
    <w:tbl>
      <w:tblPr>
        <w:tblStyle w:val="41"/>
        <w:tblW w:w="9781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39"/>
        <w:gridCol w:w="2381"/>
        <w:gridCol w:w="1702"/>
        <w:gridCol w:w="18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3" w:hRule="atLeast"/>
        </w:trPr>
        <w:tc>
          <w:tcPr>
            <w:tcW w:w="3839" w:type="dxa"/>
          </w:tcPr>
          <w:p>
            <w:pPr>
              <w:pStyle w:val="43"/>
              <w:keepNext w:val="0"/>
              <w:keepLines w:val="0"/>
              <w:pageBreakBefore w:val="0"/>
              <w:numPr>
                <w:ilvl w:val="1"/>
                <w:numId w:val="1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88" w:lineRule="auto"/>
              <w:ind w:left="142" w:firstLine="0"/>
              <w:jc w:val="center"/>
              <w:textAlignment w:val="auto"/>
              <w:rPr>
                <w:rFonts w:eastAsia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Theme="minorHAnsi"/>
                <w:b/>
                <w:bCs/>
                <w:lang w:val="en-US"/>
              </w:rPr>
              <w:t>Цели предлагаемого правового регулирования</w:t>
            </w:r>
          </w:p>
        </w:tc>
        <w:tc>
          <w:tcPr>
            <w:tcW w:w="2381" w:type="dxa"/>
          </w:tcPr>
          <w:p>
            <w:pPr>
              <w:pStyle w:val="43"/>
              <w:keepNext w:val="0"/>
              <w:keepLines w:val="0"/>
              <w:pageBreakBefore w:val="0"/>
              <w:numPr>
                <w:ilvl w:val="1"/>
                <w:numId w:val="1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88" w:lineRule="auto"/>
              <w:ind w:left="142" w:firstLine="0"/>
              <w:jc w:val="center"/>
              <w:textAlignment w:val="auto"/>
              <w:rPr>
                <w:rFonts w:eastAsia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en-US"/>
              </w:rPr>
              <w:t>Индикаторы достижения целей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ind w:left="142"/>
              <w:jc w:val="center"/>
              <w:textAlignment w:val="auto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b/>
                <w:bCs/>
                <w:lang w:val="en-US" w:eastAsia="en-US"/>
              </w:rPr>
              <w:t>предлагаемого правового регулирования</w:t>
            </w:r>
          </w:p>
        </w:tc>
        <w:tc>
          <w:tcPr>
            <w:tcW w:w="1702" w:type="dxa"/>
          </w:tcPr>
          <w:p>
            <w:pPr>
              <w:pStyle w:val="43"/>
              <w:keepNext w:val="0"/>
              <w:keepLines w:val="0"/>
              <w:pageBreakBefore w:val="0"/>
              <w:numPr>
                <w:ilvl w:val="1"/>
                <w:numId w:val="1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88" w:lineRule="auto"/>
              <w:ind w:left="142" w:firstLine="0"/>
              <w:jc w:val="center"/>
              <w:textAlignment w:val="auto"/>
              <w:rPr>
                <w:rFonts w:eastAsia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en-US"/>
              </w:rPr>
              <w:t>Единица измерения индикаторов</w:t>
            </w:r>
          </w:p>
        </w:tc>
        <w:tc>
          <w:tcPr>
            <w:tcW w:w="1859" w:type="dxa"/>
          </w:tcPr>
          <w:p>
            <w:pPr>
              <w:pStyle w:val="43"/>
              <w:keepNext w:val="0"/>
              <w:keepLines w:val="0"/>
              <w:pageBreakBefore w:val="0"/>
              <w:numPr>
                <w:ilvl w:val="1"/>
                <w:numId w:val="1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88" w:lineRule="auto"/>
              <w:ind w:left="142" w:right="140" w:firstLine="0"/>
              <w:jc w:val="center"/>
              <w:textAlignment w:val="auto"/>
              <w:rPr>
                <w:rFonts w:eastAsia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en-US"/>
              </w:rPr>
              <w:t>Целевые начения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ind w:left="142"/>
              <w:jc w:val="center"/>
              <w:textAlignment w:val="auto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b/>
                <w:bCs/>
                <w:lang w:val="en-US" w:eastAsia="en-US"/>
              </w:rPr>
              <w:t>индикаторов по годам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7" w:hRule="atLeast"/>
        </w:trPr>
        <w:tc>
          <w:tcPr>
            <w:tcW w:w="38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eastAsiaTheme="minorHAnsi"/>
                <w:highlight w:val="none"/>
                <w:lang w:val="ru-RU" w:eastAsia="en-US"/>
              </w:rPr>
            </w:pPr>
            <w:r>
              <w:rPr>
                <w:rFonts w:eastAsiaTheme="minorHAnsi"/>
                <w:highlight w:val="none"/>
                <w:lang w:val="en-US" w:eastAsia="en-US"/>
              </w:rPr>
              <w:t>Обеспечение своевременного и обоснованного предоставления субсиди</w:t>
            </w:r>
            <w:r>
              <w:rPr>
                <w:rFonts w:eastAsiaTheme="minorHAnsi"/>
                <w:highlight w:val="none"/>
                <w:lang w:val="ru-RU" w:eastAsia="en-US"/>
              </w:rPr>
              <w:t>и</w:t>
            </w:r>
          </w:p>
        </w:tc>
        <w:tc>
          <w:tcPr>
            <w:tcW w:w="23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eastAsiaTheme="minorHAnsi"/>
                <w:highlight w:val="none"/>
                <w:lang w:val="en-US" w:eastAsia="en-US"/>
              </w:rPr>
            </w:pPr>
            <w:r>
              <w:rPr>
                <w:rFonts w:eastAsiaTheme="minorHAnsi"/>
                <w:highlight w:val="none"/>
                <w:lang w:val="en-US" w:eastAsia="en-US"/>
              </w:rPr>
              <w:t>Своевременность предоставления субсидий</w:t>
            </w:r>
          </w:p>
        </w:tc>
        <w:tc>
          <w:tcPr>
            <w:tcW w:w="17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eastAsiaTheme="minorHAnsi"/>
                <w:highlight w:val="none"/>
                <w:lang w:val="en-US" w:eastAsia="en-US"/>
              </w:rPr>
            </w:pPr>
            <w:r>
              <w:rPr>
                <w:rFonts w:eastAsiaTheme="minorHAnsi"/>
                <w:highlight w:val="none"/>
                <w:lang w:val="en-US" w:eastAsia="en-US"/>
              </w:rPr>
              <w:t>Ед.</w:t>
            </w:r>
          </w:p>
        </w:tc>
        <w:tc>
          <w:tcPr>
            <w:tcW w:w="18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eastAsiaTheme="minorHAnsi"/>
                <w:highlight w:val="none"/>
                <w:lang w:val="en-US" w:eastAsia="en-US"/>
              </w:rPr>
            </w:pPr>
            <w:r>
              <w:rPr>
                <w:rFonts w:eastAsiaTheme="minorHAnsi"/>
                <w:highlight w:val="none"/>
                <w:lang w:val="en-US" w:eastAsia="en-US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textAlignment w:val="auto"/>
      </w:pPr>
    </w:p>
    <w:p>
      <w:pPr>
        <w:pStyle w:val="43"/>
        <w:keepNext w:val="0"/>
        <w:keepLines w:val="0"/>
        <w:pageBreakBefore w:val="0"/>
        <w:numPr>
          <w:ilvl w:val="1"/>
          <w:numId w:val="1"/>
        </w:numPr>
        <w:kinsoku/>
        <w:wordWrap/>
        <w:overflowPunct/>
        <w:topLinePunct w:val="0"/>
        <w:bidi w:val="0"/>
        <w:adjustRightInd/>
        <w:snapToGrid/>
        <w:spacing w:line="288" w:lineRule="auto"/>
        <w:ind w:left="0" w:firstLine="567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Методы расчета индикаторов достижения целей предлагаемого правового регулирования, источники информации для расчетов: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jc w:val="both"/>
        <w:textAlignment w:val="auto"/>
      </w:pPr>
      <w:r>
        <w:t>Отчет об использовании предоставленных субсидий, предоставляемый получателями субсидий во исполнение условий Порядком и соглашением о предоставлении субсидий.</w:t>
      </w:r>
    </w:p>
    <w:p>
      <w:pPr>
        <w:pStyle w:val="43"/>
        <w:keepNext w:val="0"/>
        <w:keepLines w:val="0"/>
        <w:pageBreakBefore w:val="0"/>
        <w:numPr>
          <w:ilvl w:val="1"/>
          <w:numId w:val="1"/>
        </w:numPr>
        <w:kinsoku/>
        <w:wordWrap/>
        <w:overflowPunct/>
        <w:topLinePunct w:val="0"/>
        <w:bidi w:val="0"/>
        <w:adjustRightInd/>
        <w:snapToGrid/>
        <w:spacing w:line="288" w:lineRule="auto"/>
        <w:ind w:left="0" w:firstLine="567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Проведение мониторинга и иные способы (методы) оценки достижения целей предлагаемого правового регулирования: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jc w:val="both"/>
        <w:textAlignment w:val="auto"/>
      </w:pPr>
      <w:r>
        <w:t>Оценка эффективности производится математическим исчислением исходя из данных объемов, начисленных потребителям за оказанные услуги по вывозу жидких бытовых отходов и подтвержденных отчетами об использовании субсидий и сумм предоставленных субсидий.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textAlignment w:val="auto"/>
      </w:pPr>
    </w:p>
    <w:p>
      <w:pPr>
        <w:pStyle w:val="43"/>
        <w:keepNext w:val="0"/>
        <w:keepLines w:val="0"/>
        <w:pageBreakBefore w:val="0"/>
        <w:numPr>
          <w:ilvl w:val="1"/>
          <w:numId w:val="1"/>
        </w:numPr>
        <w:kinsoku/>
        <w:wordWrap/>
        <w:overflowPunct/>
        <w:topLinePunct w:val="0"/>
        <w:bidi w:val="0"/>
        <w:adjustRightInd/>
        <w:snapToGrid/>
        <w:spacing w:line="288" w:lineRule="auto"/>
        <w:ind w:left="0" w:firstLine="567"/>
        <w:textAlignment w:val="auto"/>
        <w:rPr>
          <w:sz w:val="24"/>
          <w:szCs w:val="24"/>
        </w:rPr>
      </w:pPr>
      <w:r>
        <w:rPr>
          <w:b/>
          <w:bCs/>
          <w:sz w:val="24"/>
          <w:szCs w:val="24"/>
        </w:rPr>
        <w:t>Оценка затрат на проведение мониторинга достижения целей</w:t>
      </w:r>
      <w:r>
        <w:rPr>
          <w:sz w:val="24"/>
          <w:szCs w:val="24"/>
        </w:rPr>
        <w:t xml:space="preserve"> </w:t>
      </w:r>
      <w:r>
        <w:rPr>
          <w:b/>
          <w:bCs/>
        </w:rPr>
        <w:t>предлагаемого правового регулирования: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textAlignment w:val="auto"/>
      </w:pPr>
      <w:r>
        <w:t>Отсутствует.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textAlignment w:val="auto"/>
        <w:rPr>
          <w:b/>
          <w:bCs/>
        </w:rPr>
      </w:pPr>
    </w:p>
    <w:p>
      <w:pPr>
        <w:pStyle w:val="43"/>
        <w:keepNext w:val="0"/>
        <w:keepLines w:val="0"/>
        <w:pageBreakBefore w:val="0"/>
        <w:numPr>
          <w:ilvl w:val="1"/>
          <w:numId w:val="1"/>
        </w:numPr>
        <w:kinsoku/>
        <w:wordWrap/>
        <w:overflowPunct/>
        <w:topLinePunct w:val="0"/>
        <w:bidi w:val="0"/>
        <w:adjustRightInd/>
        <w:snapToGrid/>
        <w:spacing w:line="288" w:lineRule="auto"/>
        <w:ind w:left="0" w:firstLine="567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Источники информации для расчета индикаторов:</w:t>
      </w:r>
    </w:p>
    <w:p>
      <w:pPr>
        <w:keepNext w:val="0"/>
        <w:keepLines w:val="0"/>
        <w:pageBreakBefore w:val="0"/>
        <w:tabs>
          <w:tab w:val="left" w:pos="426"/>
        </w:tabs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jc w:val="both"/>
        <w:textAlignment w:val="auto"/>
      </w:pPr>
      <w:r>
        <w:t>Отчет об использовании предоставленных субсидий, предоставляемый получателями субсидий во исполнения условий Порядком и соглашением о предоставлении субсидий.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textAlignment w:val="auto"/>
      </w:pPr>
    </w:p>
    <w:p>
      <w:pPr>
        <w:pStyle w:val="43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adjustRightInd/>
        <w:snapToGrid/>
        <w:spacing w:line="288" w:lineRule="auto"/>
        <w:ind w:left="0" w:firstLine="567"/>
        <w:jc w:val="center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КАЧЕСТВЕННАЯ ХАРАКТЕРИСТИКА И ОЦЕНКА ЧИСЛЕННОСТИ ПОТЕНЦИАЛЬНЫХ АДРЕСАТОВ ПРЕДЛАГАЕМОГО ПРАВОВОГО РЕГУЛИРОВАНИЯ (ИХ ГРУПП)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textAlignment w:val="auto"/>
      </w:pPr>
    </w:p>
    <w:tbl>
      <w:tblPr>
        <w:tblStyle w:val="41"/>
        <w:tblW w:w="963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86"/>
        <w:gridCol w:w="2551"/>
        <w:gridCol w:w="2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7" w:hRule="atLeast"/>
        </w:trPr>
        <w:tc>
          <w:tcPr>
            <w:tcW w:w="5086" w:type="dxa"/>
          </w:tcPr>
          <w:p>
            <w:pPr>
              <w:pStyle w:val="43"/>
              <w:keepNext w:val="0"/>
              <w:keepLines w:val="0"/>
              <w:pageBreakBefore w:val="0"/>
              <w:numPr>
                <w:ilvl w:val="1"/>
                <w:numId w:val="1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88" w:lineRule="auto"/>
              <w:ind w:left="142" w:firstLine="0"/>
              <w:jc w:val="center"/>
              <w:textAlignment w:val="auto"/>
              <w:rPr>
                <w:rFonts w:eastAsia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en-US"/>
              </w:rPr>
              <w:t>Группы потенциальных адресатов предлагаемого правового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ind w:left="142"/>
              <w:jc w:val="center"/>
              <w:textAlignment w:val="auto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b/>
                <w:bCs/>
                <w:lang w:val="en-US" w:eastAsia="en-US"/>
              </w:rPr>
              <w:t>регулирования (краткое описание их качественных характеристик)</w:t>
            </w:r>
          </w:p>
        </w:tc>
        <w:tc>
          <w:tcPr>
            <w:tcW w:w="2551" w:type="dxa"/>
          </w:tcPr>
          <w:p>
            <w:pPr>
              <w:pStyle w:val="43"/>
              <w:keepNext w:val="0"/>
              <w:keepLines w:val="0"/>
              <w:pageBreakBefore w:val="0"/>
              <w:numPr>
                <w:ilvl w:val="1"/>
                <w:numId w:val="1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88" w:lineRule="auto"/>
              <w:ind w:left="142" w:firstLine="0"/>
              <w:jc w:val="center"/>
              <w:textAlignment w:val="auto"/>
              <w:rPr>
                <w:rFonts w:eastAsia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en-US"/>
              </w:rPr>
              <w:t>Количество участников группы</w:t>
            </w:r>
          </w:p>
        </w:tc>
        <w:tc>
          <w:tcPr>
            <w:tcW w:w="2002" w:type="dxa"/>
          </w:tcPr>
          <w:p>
            <w:pPr>
              <w:pStyle w:val="43"/>
              <w:keepNext w:val="0"/>
              <w:keepLines w:val="0"/>
              <w:pageBreakBefore w:val="0"/>
              <w:numPr>
                <w:ilvl w:val="1"/>
                <w:numId w:val="1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88" w:lineRule="auto"/>
              <w:ind w:left="142" w:firstLine="0"/>
              <w:jc w:val="center"/>
              <w:textAlignment w:val="auto"/>
              <w:rPr>
                <w:rFonts w:eastAsia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en-US"/>
              </w:rPr>
              <w:t xml:space="preserve">Источникиданных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50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eastAsiaTheme="minorHAnsi"/>
                <w:highlight w:val="none"/>
                <w:lang w:val="ru-RU" w:eastAsia="en-US"/>
              </w:rPr>
            </w:pPr>
            <w:r>
              <w:rPr>
                <w:rFonts w:eastAsiaTheme="minorHAnsi"/>
                <w:highlight w:val="none"/>
                <w:lang w:val="ru-RU" w:eastAsia="en-US"/>
              </w:rPr>
              <w:t>Государственное унитарное предприятие «Жилищнокоммунальное хозяйство Республики Саха (Якутия) согласно распоряжению Правительства Республики Саха (Якутия) от 25.08.2020 № 735-р «О программе строительства объекта «Полигон размещения твердых коммунальных отходов в г. Якутске Республики Саха (Якутия)».</w:t>
            </w:r>
          </w:p>
        </w:tc>
        <w:tc>
          <w:tcPr>
            <w:tcW w:w="25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eastAsiaTheme="minorHAnsi"/>
                <w:highlight w:val="none"/>
                <w:lang w:val="ru-RU" w:eastAsia="en-US"/>
              </w:rPr>
            </w:pPr>
            <w:r>
              <w:rPr>
                <w:rFonts w:hint="default" w:eastAsiaTheme="minorHAnsi"/>
                <w:highlight w:val="none"/>
                <w:lang w:val="ru-RU" w:eastAsia="en-US"/>
              </w:rPr>
              <w:t>1</w:t>
            </w:r>
          </w:p>
        </w:tc>
        <w:tc>
          <w:tcPr>
            <w:tcW w:w="20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eastAsiaTheme="minorHAnsi"/>
                <w:highlight w:val="none"/>
                <w:lang w:val="en-US" w:eastAsia="en-US"/>
              </w:rPr>
            </w:pPr>
            <w:r>
              <w:rPr>
                <w:rFonts w:eastAsiaTheme="minorHAnsi"/>
                <w:highlight w:val="none"/>
                <w:lang w:val="en-US" w:eastAsia="en-US"/>
              </w:rPr>
              <w:t>Ведомственная информация уполномоченного органа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textAlignment w:val="auto"/>
      </w:pPr>
    </w:p>
    <w:p>
      <w:pPr>
        <w:pStyle w:val="43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adjustRightInd/>
        <w:snapToGrid/>
        <w:spacing w:line="288" w:lineRule="auto"/>
        <w:ind w:left="0" w:firstLine="567"/>
        <w:jc w:val="center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Изменение функций (полномочий, обязанностей, прав) органов государственной власти Республики Саха (Якутия) (органов местного самоуправления), а также порядка их реализации в связи с введением предлагаемого правового регулирования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textAlignment w:val="auto"/>
      </w:pPr>
      <w:r>
        <w:t>Не требуется.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textAlignment w:val="auto"/>
        <w:rPr>
          <w:highlight w:val="yellow"/>
        </w:rPr>
      </w:pPr>
    </w:p>
    <w:tbl>
      <w:tblPr>
        <w:tblStyle w:val="41"/>
        <w:tblW w:w="9639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29"/>
        <w:gridCol w:w="1701"/>
        <w:gridCol w:w="1701"/>
        <w:gridCol w:w="1757"/>
        <w:gridCol w:w="11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329" w:type="dxa"/>
            <w:tcBorders>
              <w:bottom w:val="nil"/>
            </w:tcBorders>
          </w:tcPr>
          <w:p>
            <w:pPr>
              <w:pStyle w:val="43"/>
              <w:keepNext w:val="0"/>
              <w:keepLines w:val="0"/>
              <w:pageBreakBefore w:val="0"/>
              <w:numPr>
                <w:ilvl w:val="1"/>
                <w:numId w:val="1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88" w:lineRule="auto"/>
              <w:ind w:left="154"/>
              <w:jc w:val="center"/>
              <w:textAlignment w:val="auto"/>
              <w:rPr>
                <w:rFonts w:eastAsia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en-US"/>
              </w:rPr>
              <w:t>Наименование функции (полномочия обязанности или права)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43"/>
              <w:keepNext w:val="0"/>
              <w:keepLines w:val="0"/>
              <w:pageBreakBefore w:val="0"/>
              <w:numPr>
                <w:ilvl w:val="1"/>
                <w:numId w:val="1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88" w:lineRule="auto"/>
              <w:ind w:left="214"/>
              <w:jc w:val="center"/>
              <w:textAlignment w:val="auto"/>
              <w:rPr>
                <w:rFonts w:eastAsia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en-US"/>
              </w:rPr>
              <w:t>Характер функции (новая/ изменяемая /отменяемая)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43"/>
              <w:keepNext w:val="0"/>
              <w:keepLines w:val="0"/>
              <w:pageBreakBefore w:val="0"/>
              <w:numPr>
                <w:ilvl w:val="1"/>
                <w:numId w:val="1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88" w:lineRule="auto"/>
              <w:ind w:left="504" w:right="199" w:hanging="504"/>
              <w:jc w:val="center"/>
              <w:textAlignment w:val="auto"/>
              <w:rPr>
                <w:rFonts w:eastAsiaTheme="minorHAnsi"/>
                <w:b/>
                <w:bCs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ind w:right="199"/>
              <w:jc w:val="center"/>
              <w:textAlignment w:val="auto"/>
              <w:rPr>
                <w:rFonts w:eastAsiaTheme="minorHAnsi"/>
                <w:b/>
                <w:bCs/>
                <w:lang w:val="en-US" w:eastAsia="en-US"/>
              </w:rPr>
            </w:pPr>
            <w:r>
              <w:rPr>
                <w:rFonts w:eastAsiaTheme="minorHAnsi"/>
                <w:b/>
                <w:bCs/>
                <w:lang w:val="en-US" w:eastAsia="en-US"/>
              </w:rPr>
              <w:t>Предпологае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ind w:right="199"/>
              <w:jc w:val="center"/>
              <w:textAlignment w:val="auto"/>
              <w:rPr>
                <w:rFonts w:eastAsiaTheme="minorHAnsi"/>
                <w:b/>
                <w:bCs/>
                <w:lang w:val="en-US" w:eastAsia="en-US"/>
              </w:rPr>
            </w:pPr>
            <w:r>
              <w:rPr>
                <w:rFonts w:eastAsiaTheme="minorHAnsi"/>
                <w:b/>
                <w:bCs/>
                <w:lang w:val="en-US" w:eastAsia="en-US"/>
              </w:rPr>
              <w:t>ый порядок реализации</w:t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43"/>
              <w:keepNext w:val="0"/>
              <w:keepLines w:val="0"/>
              <w:pageBreakBefore w:val="0"/>
              <w:numPr>
                <w:ilvl w:val="1"/>
                <w:numId w:val="1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88" w:lineRule="auto"/>
              <w:ind w:left="70"/>
              <w:jc w:val="center"/>
              <w:textAlignment w:val="auto"/>
              <w:rPr>
                <w:rFonts w:eastAsia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en-US"/>
              </w:rPr>
              <w:t>Оценка изменения трудовых затрат (чел./час. в год), изменения трудовых затрат (чел./час в год), изменения численности сотрудников (чел.)</w:t>
            </w:r>
          </w:p>
        </w:tc>
        <w:tc>
          <w:tcPr>
            <w:tcW w:w="1151" w:type="dxa"/>
            <w:tcBorders>
              <w:bottom w:val="nil"/>
            </w:tcBorders>
          </w:tcPr>
          <w:p>
            <w:pPr>
              <w:pStyle w:val="43"/>
              <w:keepNext w:val="0"/>
              <w:keepLines w:val="0"/>
              <w:pageBreakBefore w:val="0"/>
              <w:numPr>
                <w:ilvl w:val="1"/>
                <w:numId w:val="1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88" w:lineRule="auto"/>
              <w:ind w:left="15" w:right="133" w:firstLine="0"/>
              <w:jc w:val="center"/>
              <w:textAlignment w:val="auto"/>
              <w:rPr>
                <w:rFonts w:eastAsia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en-US"/>
              </w:rPr>
              <w:t>Оценка изменен я потребностей в других ресурсах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3329" w:type="dxa"/>
            <w:tcBorders>
              <w:top w:val="nil"/>
              <w:bottom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eastAsiaTheme="minorHAnsi"/>
                <w:b/>
                <w:bCs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eastAsiaTheme="minorHAnsi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eastAsiaTheme="minorHAnsi"/>
                <w:lang w:val="en-US" w:eastAsia="en-US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eastAsiaTheme="minorHAnsi"/>
                <w:lang w:val="en-US" w:eastAsia="en-US"/>
              </w:rPr>
            </w:pPr>
          </w:p>
        </w:tc>
        <w:tc>
          <w:tcPr>
            <w:tcW w:w="1151" w:type="dxa"/>
            <w:tcBorders>
              <w:top w:val="nil"/>
              <w:bottom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eastAsiaTheme="minorHAnsi"/>
                <w:lang w:val="en-US"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9639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Наименование органа государственной власти: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Министерство жилищно-коммунального хозяйства и энергетики Республики Саха (Якутия):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79" w:hRule="atLeast"/>
        </w:trPr>
        <w:tc>
          <w:tcPr>
            <w:tcW w:w="33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Функция (полномочие обязанность или право) 1.1.,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eastAsiaTheme="minorHAnsi"/>
                <w:lang w:val="en-US" w:eastAsia="en-US"/>
              </w:rPr>
            </w:pP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eastAsiaTheme="minorHAnsi"/>
                <w:lang w:val="en-US" w:eastAsia="en-US"/>
              </w:rPr>
            </w:pPr>
          </w:p>
        </w:tc>
        <w:tc>
          <w:tcPr>
            <w:tcW w:w="17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eastAsiaTheme="minorHAnsi"/>
                <w:lang w:val="en-US" w:eastAsia="en-US"/>
              </w:rPr>
            </w:pPr>
          </w:p>
        </w:tc>
        <w:tc>
          <w:tcPr>
            <w:tcW w:w="11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eastAsiaTheme="minorHAnsi"/>
                <w:lang w:val="en-US" w:eastAsia="en-US"/>
              </w:rPr>
            </w:pPr>
          </w:p>
        </w:tc>
      </w:tr>
    </w:tbl>
    <w:p>
      <w:pPr>
        <w:pStyle w:val="43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adjustRightInd/>
        <w:snapToGrid/>
        <w:spacing w:line="288" w:lineRule="auto"/>
        <w:ind w:left="0" w:firstLine="567"/>
        <w:jc w:val="center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Оценка дополнительных расходов (доходов) государственного бюджета Республики Саха (Якутия) (местных бюджетов), связанных с введением предлагаемого правового регулирования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jc w:val="both"/>
        <w:textAlignment w:val="auto"/>
        <w:rPr>
          <w:highlight w:val="none"/>
        </w:rPr>
      </w:pPr>
      <w:r>
        <w:rPr>
          <w:highlight w:val="none"/>
        </w:rPr>
        <w:t>Дополнительных финансовых затрат из республиканского бюджета, связанных с введением предлагаемого правового регулирования, а также связанных с выполнением полномочий по предоставлению субсидий, не потребуется.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textAlignment w:val="auto"/>
      </w:pPr>
    </w:p>
    <w:tbl>
      <w:tblPr>
        <w:tblStyle w:val="41"/>
        <w:tblW w:w="9639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61"/>
        <w:gridCol w:w="4394"/>
        <w:gridCol w:w="19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9" w:hRule="atLeast"/>
        </w:trPr>
        <w:tc>
          <w:tcPr>
            <w:tcW w:w="3261" w:type="dxa"/>
          </w:tcPr>
          <w:p>
            <w:pPr>
              <w:pStyle w:val="43"/>
              <w:keepNext w:val="0"/>
              <w:keepLines w:val="0"/>
              <w:pageBreakBefore w:val="0"/>
              <w:numPr>
                <w:ilvl w:val="1"/>
                <w:numId w:val="1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88" w:lineRule="auto"/>
              <w:ind w:left="579" w:right="398" w:hanging="425"/>
              <w:jc w:val="center"/>
              <w:textAlignment w:val="auto"/>
              <w:rPr>
                <w:rFonts w:eastAsia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en-US"/>
              </w:rPr>
              <w:t>Наименование функции (полномочия, обязанности или права)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b/>
                <w:bCs/>
                <w:lang w:val="en-US" w:eastAsia="en-US"/>
              </w:rPr>
              <w:t>(в соответствии с подпунктом 5.1)</w:t>
            </w:r>
          </w:p>
        </w:tc>
        <w:tc>
          <w:tcPr>
            <w:tcW w:w="4394" w:type="dxa"/>
          </w:tcPr>
          <w:p>
            <w:pPr>
              <w:pStyle w:val="43"/>
              <w:keepNext w:val="0"/>
              <w:keepLines w:val="0"/>
              <w:pageBreakBefore w:val="0"/>
              <w:numPr>
                <w:ilvl w:val="1"/>
                <w:numId w:val="1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88" w:lineRule="auto"/>
              <w:ind w:left="297" w:hanging="792"/>
              <w:jc w:val="center"/>
              <w:textAlignment w:val="auto"/>
              <w:rPr>
                <w:rFonts w:eastAsia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en-US"/>
              </w:rPr>
              <w:t>Виды расходов (возможных поступлений) государственного бюджета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ind w:left="297" w:hanging="792"/>
              <w:jc w:val="center"/>
              <w:textAlignment w:val="auto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b/>
                <w:bCs/>
                <w:lang w:val="en-US" w:eastAsia="en-US"/>
              </w:rPr>
              <w:t>Республики Саха (Якутия) (местных бюджетов)</w:t>
            </w:r>
          </w:p>
        </w:tc>
        <w:tc>
          <w:tcPr>
            <w:tcW w:w="1984" w:type="dxa"/>
          </w:tcPr>
          <w:p>
            <w:pPr>
              <w:pStyle w:val="43"/>
              <w:keepNext w:val="0"/>
              <w:keepLines w:val="0"/>
              <w:pageBreakBefore w:val="0"/>
              <w:numPr>
                <w:ilvl w:val="1"/>
                <w:numId w:val="1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88" w:lineRule="auto"/>
              <w:ind w:left="0" w:hanging="608"/>
              <w:jc w:val="center"/>
              <w:textAlignment w:val="auto"/>
              <w:rPr>
                <w:rFonts w:eastAsiaTheme="minorHAnsi"/>
                <w:b/>
                <w:bCs/>
                <w:sz w:val="24"/>
                <w:szCs w:val="24"/>
                <w:lang w:val="en-US"/>
              </w:rPr>
            </w:pPr>
          </w:p>
          <w:p>
            <w:pPr>
              <w:pStyle w:val="43"/>
              <w:keepNext w:val="0"/>
              <w:keepLines w:val="0"/>
              <w:pageBreakBefore w:val="0"/>
              <w:numPr>
                <w:ilvl w:val="1"/>
                <w:numId w:val="1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88" w:lineRule="auto"/>
              <w:ind w:left="0" w:hanging="608"/>
              <w:jc w:val="center"/>
              <w:textAlignment w:val="auto"/>
              <w:rPr>
                <w:rFonts w:eastAsia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en-US"/>
              </w:rPr>
              <w:t>Количественная оценка расходов и возможных поступлений, млн рублей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1" w:hRule="atLeast"/>
        </w:trPr>
        <w:tc>
          <w:tcPr>
            <w:tcW w:w="9639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textAlignment w:val="auto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Наименование органа государственной власти (органа местного самоуправления) (от 1 до K):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textAlignment w:val="auto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Министерство жилищно-коммунального хозяйства и энергетики Республики Саха (Якутия)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3261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textAlignment w:val="auto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Функция (полномочие, обязанность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textAlignment w:val="auto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или право) 1.1</w:t>
            </w:r>
          </w:p>
        </w:tc>
        <w:tc>
          <w:tcPr>
            <w:tcW w:w="43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textAlignment w:val="auto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Единовременные расходы (от 1 до N) 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textAlignment w:val="auto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ab/>
            </w:r>
            <w:r>
              <w:rPr>
                <w:rFonts w:eastAsiaTheme="minorHAnsi"/>
                <w:lang w:val="en-US" w:eastAsia="en-US"/>
              </w:rPr>
              <w:t>г.:</w:t>
            </w:r>
          </w:p>
        </w:tc>
        <w:tc>
          <w:tcPr>
            <w:tcW w:w="19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textAlignment w:val="auto"/>
              <w:rPr>
                <w:rFonts w:eastAsiaTheme="minorHAnsi"/>
                <w:lang w:val="en-US"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3261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textAlignment w:val="auto"/>
              <w:rPr>
                <w:rFonts w:eastAsiaTheme="minorHAnsi"/>
                <w:lang w:val="en-US" w:eastAsia="en-US"/>
              </w:rPr>
            </w:pPr>
          </w:p>
        </w:tc>
        <w:tc>
          <w:tcPr>
            <w:tcW w:w="43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textAlignment w:val="auto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Периодические расходы (от 1 до N) за период</w:t>
            </w:r>
            <w:r>
              <w:rPr>
                <w:rFonts w:eastAsiaTheme="minorHAnsi"/>
                <w:lang w:val="en-US" w:eastAsia="en-US"/>
              </w:rPr>
              <w:tab/>
            </w:r>
            <w:r>
              <w:rPr>
                <w:rFonts w:eastAsiaTheme="minorHAnsi"/>
                <w:lang w:val="en-US" w:eastAsia="en-US"/>
              </w:rPr>
              <w:t>г.г.:</w:t>
            </w:r>
          </w:p>
        </w:tc>
        <w:tc>
          <w:tcPr>
            <w:tcW w:w="19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textAlignment w:val="auto"/>
              <w:rPr>
                <w:rFonts w:eastAsiaTheme="minorHAnsi"/>
                <w:lang w:val="en-US"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3261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textAlignment w:val="auto"/>
              <w:rPr>
                <w:rFonts w:eastAsiaTheme="minorHAnsi"/>
                <w:lang w:val="en-US" w:eastAsia="en-US"/>
              </w:rPr>
            </w:pPr>
          </w:p>
        </w:tc>
        <w:tc>
          <w:tcPr>
            <w:tcW w:w="43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textAlignment w:val="auto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Возможные доходы (от 1 до N) за период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textAlignment w:val="auto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ab/>
            </w:r>
            <w:r>
              <w:rPr>
                <w:rFonts w:eastAsiaTheme="minorHAnsi"/>
                <w:lang w:val="en-US" w:eastAsia="en-US"/>
              </w:rPr>
              <w:t>г.г.:</w:t>
            </w:r>
          </w:p>
        </w:tc>
        <w:tc>
          <w:tcPr>
            <w:tcW w:w="19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textAlignment w:val="auto"/>
              <w:rPr>
                <w:rFonts w:eastAsiaTheme="minorHAnsi"/>
                <w:lang w:val="en-US"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3261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textAlignment w:val="auto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Функция (полномочие, обязанность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textAlignment w:val="auto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или право) 1.N</w:t>
            </w:r>
          </w:p>
        </w:tc>
        <w:tc>
          <w:tcPr>
            <w:tcW w:w="43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textAlignment w:val="auto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Единовременные расходы (от 1 до N) 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textAlignment w:val="auto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ab/>
            </w:r>
            <w:r>
              <w:rPr>
                <w:rFonts w:eastAsiaTheme="minorHAnsi"/>
                <w:lang w:val="en-US" w:eastAsia="en-US"/>
              </w:rPr>
              <w:t>г.:</w:t>
            </w:r>
          </w:p>
        </w:tc>
        <w:tc>
          <w:tcPr>
            <w:tcW w:w="19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textAlignment w:val="auto"/>
              <w:rPr>
                <w:rFonts w:eastAsiaTheme="minorHAnsi"/>
                <w:lang w:val="en-US"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3261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textAlignment w:val="auto"/>
              <w:rPr>
                <w:rFonts w:eastAsiaTheme="minorHAnsi"/>
                <w:lang w:val="en-US" w:eastAsia="en-US"/>
              </w:rPr>
            </w:pPr>
          </w:p>
        </w:tc>
        <w:tc>
          <w:tcPr>
            <w:tcW w:w="43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textAlignment w:val="auto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Периодические расходы (от 1 до N) за период</w:t>
            </w:r>
            <w:r>
              <w:rPr>
                <w:rFonts w:eastAsiaTheme="minorHAnsi"/>
                <w:lang w:val="en-US" w:eastAsia="en-US"/>
              </w:rPr>
              <w:tab/>
            </w:r>
            <w:r>
              <w:rPr>
                <w:rFonts w:eastAsiaTheme="minorHAnsi"/>
                <w:lang w:val="en-US" w:eastAsia="en-US"/>
              </w:rPr>
              <w:t>г.г.:</w:t>
            </w:r>
          </w:p>
        </w:tc>
        <w:tc>
          <w:tcPr>
            <w:tcW w:w="19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textAlignment w:val="auto"/>
              <w:rPr>
                <w:rFonts w:eastAsiaTheme="minorHAnsi"/>
                <w:lang w:val="en-US"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3261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textAlignment w:val="auto"/>
              <w:rPr>
                <w:rFonts w:eastAsiaTheme="minorHAnsi"/>
                <w:lang w:val="en-US" w:eastAsia="en-US"/>
              </w:rPr>
            </w:pPr>
          </w:p>
        </w:tc>
        <w:tc>
          <w:tcPr>
            <w:tcW w:w="43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textAlignment w:val="auto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Возможные доходы (от 1 до N) за период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textAlignment w:val="auto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ab/>
            </w:r>
            <w:r>
              <w:rPr>
                <w:rFonts w:eastAsiaTheme="minorHAnsi"/>
                <w:lang w:val="en-US" w:eastAsia="en-US"/>
              </w:rPr>
              <w:t>г.г.:</w:t>
            </w:r>
          </w:p>
        </w:tc>
        <w:tc>
          <w:tcPr>
            <w:tcW w:w="19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textAlignment w:val="auto"/>
              <w:rPr>
                <w:rFonts w:eastAsiaTheme="minorHAnsi"/>
                <w:lang w:val="en-US"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765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textAlignment w:val="auto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Итого единовременные расходы за период</w:t>
            </w:r>
            <w:r>
              <w:rPr>
                <w:rFonts w:eastAsiaTheme="minorHAnsi"/>
                <w:lang w:val="en-US" w:eastAsia="en-US"/>
              </w:rPr>
              <w:tab/>
            </w:r>
            <w:r>
              <w:rPr>
                <w:rFonts w:eastAsiaTheme="minorHAnsi"/>
                <w:lang w:val="en-US" w:eastAsia="en-US"/>
              </w:rPr>
              <w:t>г.г.:</w:t>
            </w:r>
          </w:p>
        </w:tc>
        <w:tc>
          <w:tcPr>
            <w:tcW w:w="19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textAlignment w:val="auto"/>
              <w:rPr>
                <w:rFonts w:eastAsiaTheme="minorHAnsi"/>
                <w:lang w:val="en-US"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765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textAlignment w:val="auto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Итого периодические расходы за период</w:t>
            </w:r>
            <w:r>
              <w:rPr>
                <w:rFonts w:eastAsiaTheme="minorHAnsi"/>
                <w:lang w:val="en-US" w:eastAsia="en-US"/>
              </w:rPr>
              <w:tab/>
            </w:r>
            <w:r>
              <w:rPr>
                <w:rFonts w:eastAsiaTheme="minorHAnsi"/>
                <w:lang w:val="en-US" w:eastAsia="en-US"/>
              </w:rPr>
              <w:t>г.г.:</w:t>
            </w:r>
          </w:p>
        </w:tc>
        <w:tc>
          <w:tcPr>
            <w:tcW w:w="19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textAlignment w:val="auto"/>
              <w:rPr>
                <w:rFonts w:eastAsiaTheme="minorHAnsi"/>
                <w:lang w:val="en-US"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765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textAlignment w:val="auto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Итого возможные доходы за период</w:t>
            </w:r>
            <w:r>
              <w:rPr>
                <w:rFonts w:eastAsiaTheme="minorHAnsi"/>
                <w:lang w:val="en-US" w:eastAsia="en-US"/>
              </w:rPr>
              <w:tab/>
            </w:r>
            <w:r>
              <w:rPr>
                <w:rFonts w:eastAsiaTheme="minorHAnsi"/>
                <w:lang w:val="en-US" w:eastAsia="en-US"/>
              </w:rPr>
              <w:t>г.г.:</w:t>
            </w:r>
          </w:p>
        </w:tc>
        <w:tc>
          <w:tcPr>
            <w:tcW w:w="19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textAlignment w:val="auto"/>
              <w:rPr>
                <w:rFonts w:eastAsiaTheme="minorHAnsi"/>
                <w:lang w:val="en-US" w:eastAsia="en-US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textAlignment w:val="auto"/>
      </w:pPr>
    </w:p>
    <w:p>
      <w:pPr>
        <w:pStyle w:val="43"/>
        <w:keepNext w:val="0"/>
        <w:keepLines w:val="0"/>
        <w:pageBreakBefore w:val="0"/>
        <w:numPr>
          <w:ilvl w:val="1"/>
          <w:numId w:val="1"/>
        </w:numPr>
        <w:kinsoku/>
        <w:wordWrap/>
        <w:overflowPunct/>
        <w:topLinePunct w:val="0"/>
        <w:bidi w:val="0"/>
        <w:adjustRightInd/>
        <w:snapToGrid/>
        <w:spacing w:line="288" w:lineRule="auto"/>
        <w:ind w:left="0" w:firstLine="567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Другие сведения о дополнительных расходах (доходах) государственного бюджета Республики Саха (Якутия) (местных бюджетов), возникающих в связи с введением предлагаемого правового регулирования: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textAlignment w:val="auto"/>
        <w:rPr>
          <w:highlight w:val="none"/>
        </w:rPr>
      </w:pPr>
      <w:r>
        <w:rPr>
          <w:highlight w:val="none"/>
        </w:rPr>
        <w:t>Не потребуется.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textAlignment w:val="auto"/>
        <w:rPr>
          <w:highlight w:val="none"/>
        </w:rPr>
      </w:pPr>
    </w:p>
    <w:p>
      <w:pPr>
        <w:pStyle w:val="43"/>
        <w:keepNext w:val="0"/>
        <w:keepLines w:val="0"/>
        <w:pageBreakBefore w:val="0"/>
        <w:numPr>
          <w:ilvl w:val="1"/>
          <w:numId w:val="1"/>
        </w:numPr>
        <w:kinsoku/>
        <w:wordWrap/>
        <w:overflowPunct/>
        <w:topLinePunct w:val="0"/>
        <w:bidi w:val="0"/>
        <w:adjustRightInd/>
        <w:snapToGrid/>
        <w:spacing w:line="288" w:lineRule="auto"/>
        <w:ind w:left="0" w:firstLine="567"/>
        <w:textAlignment w:val="auto"/>
        <w:rPr>
          <w:b/>
          <w:bCs/>
          <w:sz w:val="24"/>
          <w:szCs w:val="24"/>
          <w:highlight w:val="none"/>
        </w:rPr>
      </w:pPr>
      <w:r>
        <w:rPr>
          <w:b/>
          <w:bCs/>
          <w:sz w:val="24"/>
          <w:szCs w:val="24"/>
          <w:highlight w:val="none"/>
        </w:rPr>
        <w:t>Источники данных: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textAlignment w:val="auto"/>
        <w:rPr>
          <w:highlight w:val="none"/>
        </w:rPr>
      </w:pPr>
      <w:r>
        <w:rPr>
          <w:highlight w:val="none"/>
        </w:rPr>
        <w:t>Ведомственная информация уполномоченного органа.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284"/>
        <w:jc w:val="both"/>
        <w:textAlignment w:val="auto"/>
        <w:rPr>
          <w:b/>
          <w:bCs/>
        </w:rPr>
      </w:pPr>
    </w:p>
    <w:p>
      <w:pPr>
        <w:pStyle w:val="43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adjustRightInd/>
        <w:snapToGrid/>
        <w:spacing w:line="288" w:lineRule="auto"/>
        <w:ind w:left="0" w:firstLine="567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Style w:val="41"/>
        <w:tblpPr w:leftFromText="180" w:rightFromText="180" w:vertAnchor="text" w:horzAnchor="margin" w:tblpXSpec="center" w:tblpY="230"/>
        <w:tblW w:w="1011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64"/>
        <w:gridCol w:w="2552"/>
        <w:gridCol w:w="1701"/>
        <w:gridCol w:w="18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66" w:hRule="atLeast"/>
        </w:trPr>
        <w:tc>
          <w:tcPr>
            <w:tcW w:w="3964" w:type="dxa"/>
          </w:tcPr>
          <w:p>
            <w:pPr>
              <w:pStyle w:val="43"/>
              <w:keepNext w:val="0"/>
              <w:keepLines w:val="0"/>
              <w:pageBreakBefore w:val="0"/>
              <w:numPr>
                <w:ilvl w:val="1"/>
                <w:numId w:val="1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88" w:lineRule="auto"/>
              <w:ind w:left="0" w:firstLine="0"/>
              <w:jc w:val="center"/>
              <w:textAlignment w:val="auto"/>
              <w:rPr>
                <w:rFonts w:eastAsia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en-US"/>
              </w:rPr>
              <w:t>Группы потенциальных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b/>
                <w:bCs/>
                <w:lang w:val="en-US" w:eastAsia="en-US"/>
              </w:rPr>
              <w:t>адресатов предлагаемого правового регулирования (в соответствии с пп. 4.1 сводного отчета)</w:t>
            </w:r>
          </w:p>
        </w:tc>
        <w:tc>
          <w:tcPr>
            <w:tcW w:w="2552" w:type="dxa"/>
          </w:tcPr>
          <w:p>
            <w:pPr>
              <w:pStyle w:val="43"/>
              <w:keepNext w:val="0"/>
              <w:keepLines w:val="0"/>
              <w:pageBreakBefore w:val="0"/>
              <w:numPr>
                <w:ilvl w:val="1"/>
                <w:numId w:val="1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88" w:lineRule="auto"/>
              <w:ind w:left="3" w:right="300" w:hanging="290"/>
              <w:jc w:val="center"/>
              <w:textAlignment w:val="auto"/>
              <w:rPr>
                <w:rFonts w:eastAsia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en-US"/>
              </w:rPr>
              <w:t>Новые обязанности и ограничения, изменения существующих обязанностей 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ind w:left="3" w:right="300"/>
              <w:jc w:val="center"/>
              <w:textAlignment w:val="auto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b/>
                <w:bCs/>
                <w:lang w:val="en-US" w:eastAsia="en-US"/>
              </w:rPr>
              <w:t>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1701" w:type="dxa"/>
          </w:tcPr>
          <w:p>
            <w:pPr>
              <w:pStyle w:val="43"/>
              <w:keepNext w:val="0"/>
              <w:keepLines w:val="0"/>
              <w:pageBreakBefore w:val="0"/>
              <w:numPr>
                <w:ilvl w:val="1"/>
                <w:numId w:val="1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88" w:lineRule="auto"/>
              <w:ind w:left="-136" w:right="155" w:firstLine="136"/>
              <w:jc w:val="center"/>
              <w:textAlignment w:val="auto"/>
              <w:rPr>
                <w:rFonts w:eastAsia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en-US"/>
              </w:rPr>
              <w:t>Описание расходов и возможных доходов,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ind w:left="126" w:right="155"/>
              <w:jc w:val="center"/>
              <w:textAlignment w:val="auto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b/>
                <w:bCs/>
                <w:lang w:val="en-US" w:eastAsia="en-US"/>
              </w:rPr>
              <w:t>связанных с введением предлагаемого правового регулирования</w:t>
            </w:r>
          </w:p>
        </w:tc>
        <w:tc>
          <w:tcPr>
            <w:tcW w:w="1896" w:type="dxa"/>
          </w:tcPr>
          <w:p>
            <w:pPr>
              <w:pStyle w:val="43"/>
              <w:keepNext w:val="0"/>
              <w:keepLines w:val="0"/>
              <w:pageBreakBefore w:val="0"/>
              <w:numPr>
                <w:ilvl w:val="1"/>
                <w:numId w:val="1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88" w:lineRule="auto"/>
              <w:ind w:left="0" w:right="151" w:firstLine="0"/>
              <w:textAlignment w:val="auto"/>
              <w:rPr>
                <w:rFonts w:eastAsia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en-US"/>
              </w:rPr>
              <w:t>Количественная оценка, млн рублей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3" w:hRule="atLeast"/>
        </w:trPr>
        <w:tc>
          <w:tcPr>
            <w:tcW w:w="39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textAlignment w:val="auto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highlight w:val="none"/>
                <w:lang w:val="ru-RU" w:eastAsia="en-US"/>
              </w:rPr>
              <w:t>Государственное унитарное предприятие «Жилищно</w:t>
            </w:r>
            <w:r>
              <w:rPr>
                <w:rFonts w:hint="default" w:eastAsiaTheme="minorHAnsi"/>
                <w:highlight w:val="none"/>
                <w:lang w:val="ru-RU" w:eastAsia="en-US"/>
              </w:rPr>
              <w:t>-</w:t>
            </w:r>
            <w:r>
              <w:rPr>
                <w:rFonts w:eastAsiaTheme="minorHAnsi"/>
                <w:highlight w:val="none"/>
                <w:lang w:val="ru-RU" w:eastAsia="en-US"/>
              </w:rPr>
              <w:t>коммунальное хозяйство Республики Саха (Якутия) согласно распоряжению Правительства Республики Саха (Якутия) от 25.08.2020 № 735-р «О программе строительства объекта «Полигон размещения твердых коммунальных отходов в г. Якутске Республики Саха (Якутия)».</w:t>
            </w:r>
          </w:p>
        </w:tc>
        <w:tc>
          <w:tcPr>
            <w:tcW w:w="255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textAlignment w:val="auto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textAlignment w:val="auto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Расходы не предполагаются</w:t>
            </w:r>
          </w:p>
        </w:tc>
        <w:tc>
          <w:tcPr>
            <w:tcW w:w="18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textAlignment w:val="auto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-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textAlignment w:val="auto"/>
      </w:pPr>
    </w:p>
    <w:p>
      <w:pPr>
        <w:pStyle w:val="43"/>
        <w:keepNext w:val="0"/>
        <w:keepLines w:val="0"/>
        <w:pageBreakBefore w:val="0"/>
        <w:numPr>
          <w:ilvl w:val="1"/>
          <w:numId w:val="1"/>
        </w:numPr>
        <w:kinsoku/>
        <w:wordWrap/>
        <w:overflowPunct/>
        <w:topLinePunct w:val="0"/>
        <w:bidi w:val="0"/>
        <w:adjustRightInd/>
        <w:snapToGrid/>
        <w:spacing w:line="288" w:lineRule="auto"/>
        <w:ind w:left="0" w:firstLine="567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Издержки и выгоды адресатов предлагаемого правового регулирования, не поддающиеся количественной оценке: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textAlignment w:val="auto"/>
        <w:rPr>
          <w:highlight w:val="none"/>
        </w:rPr>
      </w:pPr>
      <w:r>
        <w:rPr>
          <w:highlight w:val="none"/>
        </w:rPr>
        <w:t>Отсутствует.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textAlignment w:val="auto"/>
        <w:rPr>
          <w:highlight w:val="none"/>
        </w:rPr>
      </w:pPr>
    </w:p>
    <w:p>
      <w:pPr>
        <w:pStyle w:val="43"/>
        <w:keepNext w:val="0"/>
        <w:keepLines w:val="0"/>
        <w:pageBreakBefore w:val="0"/>
        <w:numPr>
          <w:ilvl w:val="1"/>
          <w:numId w:val="1"/>
        </w:numPr>
        <w:kinsoku/>
        <w:wordWrap/>
        <w:overflowPunct/>
        <w:topLinePunct w:val="0"/>
        <w:bidi w:val="0"/>
        <w:adjustRightInd/>
        <w:snapToGrid/>
        <w:spacing w:line="288" w:lineRule="auto"/>
        <w:ind w:left="0" w:firstLine="567"/>
        <w:textAlignment w:val="auto"/>
        <w:rPr>
          <w:b/>
          <w:bCs/>
          <w:sz w:val="24"/>
          <w:szCs w:val="24"/>
          <w:highlight w:val="none"/>
        </w:rPr>
      </w:pPr>
      <w:r>
        <w:rPr>
          <w:b/>
          <w:bCs/>
          <w:sz w:val="24"/>
          <w:szCs w:val="24"/>
          <w:highlight w:val="none"/>
        </w:rPr>
        <w:t>Источники данных: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textAlignment w:val="auto"/>
        <w:rPr>
          <w:highlight w:val="none"/>
        </w:rPr>
      </w:pPr>
      <w:r>
        <w:rPr>
          <w:highlight w:val="none"/>
        </w:rPr>
        <w:t>Отсутствует.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textAlignment w:val="auto"/>
        <w:rPr>
          <w:highlight w:val="none"/>
        </w:rPr>
      </w:pPr>
    </w:p>
    <w:p>
      <w:pPr>
        <w:pStyle w:val="43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adjustRightInd/>
        <w:snapToGrid/>
        <w:spacing w:line="288" w:lineRule="auto"/>
        <w:ind w:left="0" w:firstLine="567"/>
        <w:textAlignment w:val="auto"/>
        <w:rPr>
          <w:b/>
          <w:bCs/>
          <w:sz w:val="24"/>
          <w:szCs w:val="24"/>
          <w:highlight w:val="none"/>
        </w:rPr>
      </w:pPr>
      <w:r>
        <w:rPr>
          <w:b/>
          <w:bCs/>
          <w:sz w:val="24"/>
          <w:szCs w:val="24"/>
          <w:highlight w:val="none"/>
        </w:rPr>
        <w:t>Оценка рисков неблагоприятных последствий применения предлагаемого правового регулирования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textAlignment w:val="auto"/>
        <w:rPr>
          <w:highlight w:val="none"/>
        </w:rPr>
      </w:pPr>
    </w:p>
    <w:tbl>
      <w:tblPr>
        <w:tblStyle w:val="41"/>
        <w:tblW w:w="9623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22"/>
        <w:gridCol w:w="2381"/>
        <w:gridCol w:w="2410"/>
        <w:gridCol w:w="24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3" w:hRule="atLeast"/>
        </w:trPr>
        <w:tc>
          <w:tcPr>
            <w:tcW w:w="2422" w:type="dxa"/>
          </w:tcPr>
          <w:p>
            <w:pPr>
              <w:pStyle w:val="43"/>
              <w:keepNext w:val="0"/>
              <w:keepLines w:val="0"/>
              <w:pageBreakBefore w:val="0"/>
              <w:numPr>
                <w:ilvl w:val="1"/>
                <w:numId w:val="1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88" w:lineRule="auto"/>
              <w:ind w:left="154"/>
              <w:jc w:val="center"/>
              <w:textAlignment w:val="auto"/>
              <w:rPr>
                <w:rFonts w:eastAsiaTheme="minorHAnsi"/>
                <w:b/>
                <w:bCs/>
                <w:sz w:val="24"/>
                <w:szCs w:val="24"/>
                <w:highlight w:val="none"/>
                <w:lang w:val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highlight w:val="none"/>
                <w:lang w:val="en-US"/>
              </w:rPr>
              <w:t>Виды рисков</w:t>
            </w:r>
          </w:p>
        </w:tc>
        <w:tc>
          <w:tcPr>
            <w:tcW w:w="2381" w:type="dxa"/>
          </w:tcPr>
          <w:p>
            <w:pPr>
              <w:pStyle w:val="43"/>
              <w:keepNext w:val="0"/>
              <w:keepLines w:val="0"/>
              <w:pageBreakBefore w:val="0"/>
              <w:numPr>
                <w:ilvl w:val="1"/>
                <w:numId w:val="1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88" w:lineRule="auto"/>
              <w:ind w:left="134" w:firstLine="142"/>
              <w:jc w:val="center"/>
              <w:textAlignment w:val="auto"/>
              <w:rPr>
                <w:rFonts w:eastAsiaTheme="minorHAnsi"/>
                <w:b/>
                <w:bCs/>
                <w:sz w:val="24"/>
                <w:szCs w:val="24"/>
                <w:highlight w:val="none"/>
                <w:lang w:val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highlight w:val="none"/>
                <w:lang w:val="en-US"/>
              </w:rPr>
              <w:t>Оценка вероятности наступления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ind w:left="134" w:firstLine="142"/>
              <w:jc w:val="center"/>
              <w:textAlignment w:val="auto"/>
              <w:rPr>
                <w:rFonts w:eastAsiaTheme="minorHAnsi"/>
                <w:highlight w:val="none"/>
                <w:lang w:val="en-US" w:eastAsia="en-US"/>
              </w:rPr>
            </w:pPr>
            <w:r>
              <w:rPr>
                <w:rFonts w:eastAsiaTheme="minorHAnsi"/>
                <w:b/>
                <w:bCs/>
                <w:highlight w:val="none"/>
                <w:lang w:val="en-US" w:eastAsia="en-US"/>
              </w:rPr>
              <w:t>неблагоприятных последствий</w:t>
            </w:r>
          </w:p>
        </w:tc>
        <w:tc>
          <w:tcPr>
            <w:tcW w:w="2410" w:type="dxa"/>
          </w:tcPr>
          <w:p>
            <w:pPr>
              <w:pStyle w:val="43"/>
              <w:keepNext w:val="0"/>
              <w:keepLines w:val="0"/>
              <w:pageBreakBefore w:val="0"/>
              <w:numPr>
                <w:ilvl w:val="1"/>
                <w:numId w:val="1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88" w:lineRule="auto"/>
              <w:ind w:left="17" w:firstLine="0"/>
              <w:jc w:val="center"/>
              <w:textAlignment w:val="auto"/>
              <w:rPr>
                <w:rFonts w:eastAsiaTheme="minorHAnsi"/>
                <w:b/>
                <w:bCs/>
                <w:sz w:val="24"/>
                <w:szCs w:val="24"/>
                <w:highlight w:val="none"/>
                <w:lang w:val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highlight w:val="none"/>
                <w:lang w:val="en-US"/>
              </w:rPr>
              <w:t>Методы контроля рисков</w:t>
            </w:r>
          </w:p>
        </w:tc>
        <w:tc>
          <w:tcPr>
            <w:tcW w:w="2410" w:type="dxa"/>
          </w:tcPr>
          <w:p>
            <w:pPr>
              <w:pStyle w:val="43"/>
              <w:keepNext w:val="0"/>
              <w:keepLines w:val="0"/>
              <w:pageBreakBefore w:val="0"/>
              <w:numPr>
                <w:ilvl w:val="1"/>
                <w:numId w:val="1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88" w:lineRule="auto"/>
              <w:ind w:left="0" w:firstLine="13"/>
              <w:textAlignment w:val="auto"/>
              <w:rPr>
                <w:rFonts w:eastAsiaTheme="minorHAnsi"/>
                <w:b/>
                <w:bCs/>
                <w:sz w:val="24"/>
                <w:szCs w:val="24"/>
                <w:highlight w:val="none"/>
                <w:lang w:val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highlight w:val="none"/>
                <w:lang w:val="en-US"/>
              </w:rPr>
              <w:t>Степень контроля рисков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ind w:firstLine="13"/>
              <w:textAlignment w:val="auto"/>
              <w:rPr>
                <w:rFonts w:eastAsiaTheme="minorHAnsi"/>
                <w:b/>
                <w:bCs/>
                <w:highlight w:val="none"/>
                <w:lang w:val="en-US" w:eastAsia="en-US"/>
              </w:rPr>
            </w:pPr>
            <w:r>
              <w:rPr>
                <w:rFonts w:eastAsiaTheme="minorHAnsi"/>
                <w:b/>
                <w:bCs/>
                <w:highlight w:val="none"/>
                <w:lang w:val="en-US" w:eastAsia="en-US"/>
              </w:rPr>
              <w:t>(полный/частичный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ind w:firstLine="13"/>
              <w:textAlignment w:val="auto"/>
              <w:rPr>
                <w:rFonts w:eastAsiaTheme="minorHAnsi"/>
                <w:highlight w:val="none"/>
                <w:lang w:val="en-US" w:eastAsia="en-US"/>
              </w:rPr>
            </w:pPr>
            <w:r>
              <w:rPr>
                <w:rFonts w:eastAsiaTheme="minorHAnsi"/>
                <w:b/>
                <w:bCs/>
                <w:highlight w:val="none"/>
                <w:lang w:val="en-US" w:eastAsia="en-US"/>
              </w:rPr>
              <w:t>/отсутствует)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24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textAlignment w:val="auto"/>
              <w:rPr>
                <w:rFonts w:eastAsiaTheme="minorHAnsi"/>
                <w:highlight w:val="none"/>
                <w:lang w:val="en-US" w:eastAsia="en-US"/>
              </w:rPr>
            </w:pPr>
            <w:r>
              <w:rPr>
                <w:rFonts w:eastAsiaTheme="minorHAnsi"/>
                <w:highlight w:val="none"/>
                <w:lang w:val="en-US" w:eastAsia="en-US"/>
              </w:rPr>
              <w:t>Риск 1</w:t>
            </w:r>
          </w:p>
        </w:tc>
        <w:tc>
          <w:tcPr>
            <w:tcW w:w="23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textAlignment w:val="auto"/>
              <w:rPr>
                <w:rFonts w:eastAsiaTheme="minorHAnsi"/>
                <w:highlight w:val="none"/>
                <w:lang w:val="en-US" w:eastAsia="en-US"/>
              </w:rPr>
            </w:pPr>
            <w:r>
              <w:rPr>
                <w:rFonts w:eastAsiaTheme="minorHAnsi"/>
                <w:highlight w:val="none"/>
                <w:lang w:val="en-US" w:eastAsia="en-US"/>
              </w:rPr>
              <w:t>Нет</w:t>
            </w:r>
          </w:p>
        </w:tc>
        <w:tc>
          <w:tcPr>
            <w:tcW w:w="24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textAlignment w:val="auto"/>
              <w:rPr>
                <w:rFonts w:eastAsiaTheme="minorHAnsi"/>
                <w:highlight w:val="none"/>
                <w:lang w:val="en-US" w:eastAsia="en-US"/>
              </w:rPr>
            </w:pPr>
            <w:r>
              <w:rPr>
                <w:rFonts w:eastAsiaTheme="minorHAnsi"/>
                <w:highlight w:val="none"/>
                <w:lang w:val="en-US" w:eastAsia="en-US"/>
              </w:rPr>
              <w:t>Нет</w:t>
            </w:r>
          </w:p>
        </w:tc>
        <w:tc>
          <w:tcPr>
            <w:tcW w:w="24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textAlignment w:val="auto"/>
              <w:rPr>
                <w:rFonts w:eastAsiaTheme="minorHAnsi"/>
                <w:highlight w:val="none"/>
                <w:lang w:val="en-US" w:eastAsia="en-US"/>
              </w:rPr>
            </w:pPr>
            <w:r>
              <w:rPr>
                <w:rFonts w:eastAsiaTheme="minorHAnsi"/>
                <w:highlight w:val="none"/>
                <w:lang w:val="en-US" w:eastAsia="en-US"/>
              </w:rPr>
              <w:t>Нет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textAlignment w:val="auto"/>
        <w:rPr>
          <w:highlight w:val="none"/>
        </w:rPr>
      </w:pPr>
    </w:p>
    <w:p>
      <w:pPr>
        <w:pStyle w:val="43"/>
        <w:keepNext w:val="0"/>
        <w:keepLines w:val="0"/>
        <w:pageBreakBefore w:val="0"/>
        <w:numPr>
          <w:ilvl w:val="1"/>
          <w:numId w:val="1"/>
        </w:numPr>
        <w:kinsoku/>
        <w:wordWrap/>
        <w:overflowPunct/>
        <w:topLinePunct w:val="0"/>
        <w:bidi w:val="0"/>
        <w:adjustRightInd/>
        <w:snapToGrid/>
        <w:spacing w:line="288" w:lineRule="auto"/>
        <w:ind w:left="0" w:firstLine="567"/>
        <w:textAlignment w:val="auto"/>
        <w:rPr>
          <w:b/>
          <w:bCs/>
          <w:sz w:val="24"/>
          <w:szCs w:val="24"/>
          <w:highlight w:val="none"/>
        </w:rPr>
      </w:pPr>
      <w:r>
        <w:rPr>
          <w:b/>
          <w:bCs/>
          <w:sz w:val="24"/>
          <w:szCs w:val="24"/>
          <w:highlight w:val="none"/>
        </w:rPr>
        <w:t>Источники данных: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textAlignment w:val="auto"/>
        <w:rPr>
          <w:highlight w:val="none"/>
        </w:rPr>
      </w:pPr>
      <w:r>
        <w:rPr>
          <w:highlight w:val="none"/>
        </w:rPr>
        <w:t>Отсутствует.</w:t>
      </w:r>
    </w:p>
    <w:p>
      <w:pPr>
        <w:pStyle w:val="43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adjustRightInd/>
        <w:snapToGrid/>
        <w:spacing w:line="288" w:lineRule="auto"/>
        <w:ind w:left="0" w:firstLine="567"/>
        <w:textAlignment w:val="auto"/>
        <w:rPr>
          <w:b/>
          <w:bCs/>
          <w:sz w:val="24"/>
          <w:szCs w:val="24"/>
          <w:highlight w:val="none"/>
        </w:rPr>
      </w:pPr>
      <w:r>
        <w:rPr>
          <w:b/>
          <w:bCs/>
          <w:sz w:val="24"/>
          <w:szCs w:val="24"/>
          <w:highlight w:val="none"/>
        </w:rPr>
        <w:t>Сравнение возможных вариантов решения проблемы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textAlignment w:val="auto"/>
      </w:pPr>
    </w:p>
    <w:tbl>
      <w:tblPr>
        <w:tblStyle w:val="41"/>
        <w:tblW w:w="9924" w:type="dxa"/>
        <w:tblInd w:w="-4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50"/>
        <w:gridCol w:w="2977"/>
        <w:gridCol w:w="31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3750" w:type="dxa"/>
            <w:tcBorders>
              <w:left w:val="single" w:color="000000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ind w:left="144"/>
              <w:textAlignment w:val="auto"/>
              <w:rPr>
                <w:rFonts w:eastAsiaTheme="minorHAnsi"/>
                <w:lang w:val="en-US" w:eastAsia="en-US"/>
              </w:rPr>
            </w:pPr>
          </w:p>
        </w:tc>
        <w:tc>
          <w:tcPr>
            <w:tcW w:w="29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textAlignment w:val="auto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Вариант 1</w:t>
            </w:r>
          </w:p>
        </w:tc>
        <w:tc>
          <w:tcPr>
            <w:tcW w:w="31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textAlignment w:val="auto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Вариант 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63" w:hRule="atLeast"/>
        </w:trPr>
        <w:tc>
          <w:tcPr>
            <w:tcW w:w="3750" w:type="dxa"/>
            <w:tcBorders>
              <w:left w:val="single" w:color="000000" w:sz="6" w:space="0"/>
            </w:tcBorders>
          </w:tcPr>
          <w:p>
            <w:pPr>
              <w:pStyle w:val="43"/>
              <w:keepNext w:val="0"/>
              <w:keepLines w:val="0"/>
              <w:pageBreakBefore w:val="0"/>
              <w:numPr>
                <w:ilvl w:val="1"/>
                <w:numId w:val="1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88" w:lineRule="auto"/>
              <w:ind w:left="144" w:right="196" w:firstLine="0"/>
              <w:textAlignment w:val="auto"/>
              <w:rPr>
                <w:rFonts w:eastAsia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en-US"/>
              </w:rPr>
              <w:t>Содержание</w:t>
            </w:r>
            <w:r>
              <w:rPr>
                <w:rFonts w:eastAsiaTheme="minorHAnsi"/>
                <w:b/>
                <w:bCs/>
                <w:sz w:val="24"/>
                <w:szCs w:val="24"/>
                <w:lang w:val="en-US"/>
              </w:rPr>
              <w:tab/>
            </w:r>
            <w:r>
              <w:rPr>
                <w:rFonts w:eastAsiaTheme="minorHAnsi"/>
                <w:b/>
                <w:bCs/>
                <w:sz w:val="24"/>
                <w:szCs w:val="24"/>
                <w:lang w:val="en-US"/>
              </w:rPr>
              <w:t>варианта</w:t>
            </w:r>
            <w:r>
              <w:rPr>
                <w:rFonts w:eastAsiaTheme="minorHAnsi"/>
                <w:b/>
                <w:bCs/>
                <w:sz w:val="24"/>
                <w:szCs w:val="24"/>
                <w:lang w:val="en-US"/>
              </w:rPr>
              <w:tab/>
            </w:r>
            <w:r>
              <w:rPr>
                <w:rFonts w:eastAsiaTheme="minorHAnsi"/>
                <w:b/>
                <w:bCs/>
                <w:sz w:val="24"/>
                <w:szCs w:val="24"/>
                <w:lang w:val="en-US"/>
              </w:rPr>
              <w:t>решения проблемы</w:t>
            </w:r>
          </w:p>
        </w:tc>
        <w:tc>
          <w:tcPr>
            <w:tcW w:w="29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textAlignment w:val="auto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Принятие настоящего проекта</w:t>
            </w:r>
          </w:p>
        </w:tc>
        <w:tc>
          <w:tcPr>
            <w:tcW w:w="31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textAlignment w:val="auto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Не вносить изменения в Порядок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3" w:hRule="atLeast"/>
        </w:trPr>
        <w:tc>
          <w:tcPr>
            <w:tcW w:w="3750" w:type="dxa"/>
            <w:tcBorders>
              <w:left w:val="single" w:color="000000" w:sz="6" w:space="0"/>
            </w:tcBorders>
          </w:tcPr>
          <w:p>
            <w:pPr>
              <w:pStyle w:val="43"/>
              <w:keepNext w:val="0"/>
              <w:keepLines w:val="0"/>
              <w:pageBreakBefore w:val="0"/>
              <w:numPr>
                <w:ilvl w:val="1"/>
                <w:numId w:val="1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88" w:lineRule="auto"/>
              <w:ind w:left="144" w:right="196" w:firstLine="0"/>
              <w:textAlignment w:val="auto"/>
              <w:rPr>
                <w:rFonts w:eastAsia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en-US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9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textAlignment w:val="auto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Своевременное и обоснованное предоставление субсиди</w:t>
            </w:r>
            <w:r>
              <w:rPr>
                <w:rFonts w:eastAsiaTheme="minorHAnsi"/>
                <w:lang w:val="ru-RU" w:eastAsia="en-US"/>
              </w:rPr>
              <w:t>и</w:t>
            </w:r>
            <w:r>
              <w:rPr>
                <w:rFonts w:eastAsiaTheme="minorHAnsi"/>
                <w:lang w:val="en-US" w:eastAsia="en-US"/>
              </w:rPr>
              <w:t>.</w:t>
            </w:r>
          </w:p>
        </w:tc>
        <w:tc>
          <w:tcPr>
            <w:tcW w:w="31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textAlignment w:val="auto"/>
              <w:rPr>
                <w:rFonts w:hint="default" w:eastAsiaTheme="minorHAnsi"/>
                <w:lang w:val="ru-RU"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Увеличение убытков </w:t>
            </w:r>
            <w:r>
              <w:rPr>
                <w:rFonts w:eastAsiaTheme="minorHAnsi"/>
                <w:lang w:val="ru-RU" w:eastAsia="en-US"/>
              </w:rPr>
              <w:t>предприятия</w:t>
            </w:r>
            <w:r>
              <w:rPr>
                <w:rFonts w:hint="default" w:eastAsiaTheme="minorHAnsi"/>
                <w:lang w:val="ru-RU" w:eastAsia="en-US"/>
              </w:rPr>
              <w:t xml:space="preserve"> </w:t>
            </w:r>
            <w:r>
              <w:rPr>
                <w:rFonts w:eastAsiaTheme="minorHAnsi"/>
                <w:lang w:val="ru-RU" w:eastAsia="en-US"/>
              </w:rPr>
              <w:t>ГУП</w:t>
            </w:r>
            <w:r>
              <w:rPr>
                <w:rFonts w:hint="default" w:eastAsiaTheme="minorHAnsi"/>
                <w:lang w:val="ru-RU" w:eastAsia="en-US"/>
              </w:rPr>
              <w:t xml:space="preserve"> «ЖКХ РС (Я)»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textAlignment w:val="auto"/>
              <w:rPr>
                <w:rFonts w:hint="default" w:eastAsiaTheme="minorHAnsi"/>
                <w:lang w:val="ru-RU"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755" w:hRule="atLeast"/>
        </w:trPr>
        <w:tc>
          <w:tcPr>
            <w:tcW w:w="3750" w:type="dxa"/>
            <w:tcBorders>
              <w:left w:val="single" w:color="000000" w:sz="6" w:space="0"/>
            </w:tcBorders>
          </w:tcPr>
          <w:p>
            <w:pPr>
              <w:pStyle w:val="43"/>
              <w:keepNext w:val="0"/>
              <w:keepLines w:val="0"/>
              <w:pageBreakBefore w:val="0"/>
              <w:numPr>
                <w:ilvl w:val="1"/>
                <w:numId w:val="1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88" w:lineRule="auto"/>
              <w:ind w:left="144" w:right="196" w:firstLine="0"/>
              <w:textAlignment w:val="auto"/>
              <w:rPr>
                <w:rFonts w:eastAsia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en-US"/>
              </w:rPr>
              <w:t>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9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textAlignment w:val="auto"/>
              <w:rPr>
                <w:rFonts w:eastAsiaTheme="minorHAnsi"/>
                <w:highlight w:val="none"/>
                <w:lang w:val="en-US" w:eastAsia="en-US"/>
              </w:rPr>
            </w:pPr>
            <w:r>
              <w:rPr>
                <w:rFonts w:eastAsiaTheme="minorHAnsi"/>
                <w:highlight w:val="none"/>
                <w:lang w:val="en-US" w:eastAsia="en-US"/>
              </w:rPr>
              <w:t>Нет</w:t>
            </w:r>
          </w:p>
        </w:tc>
        <w:tc>
          <w:tcPr>
            <w:tcW w:w="31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textAlignment w:val="auto"/>
              <w:rPr>
                <w:rFonts w:eastAsiaTheme="minorHAnsi"/>
                <w:highlight w:val="none"/>
                <w:lang w:val="en-US" w:eastAsia="en-US"/>
              </w:rPr>
            </w:pPr>
            <w:r>
              <w:rPr>
                <w:rFonts w:eastAsiaTheme="minorHAnsi"/>
                <w:highlight w:val="none"/>
                <w:lang w:val="en-US" w:eastAsia="en-US"/>
              </w:rPr>
              <w:t>Нет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 w:hRule="atLeast"/>
        </w:trPr>
        <w:tc>
          <w:tcPr>
            <w:tcW w:w="3750" w:type="dxa"/>
            <w:tcBorders>
              <w:left w:val="single" w:color="000000" w:sz="6" w:space="0"/>
            </w:tcBorders>
          </w:tcPr>
          <w:p>
            <w:pPr>
              <w:pStyle w:val="43"/>
              <w:keepNext w:val="0"/>
              <w:keepLines w:val="0"/>
              <w:pageBreakBefore w:val="0"/>
              <w:numPr>
                <w:ilvl w:val="1"/>
                <w:numId w:val="1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88" w:lineRule="auto"/>
              <w:ind w:left="144" w:right="196" w:firstLine="0"/>
              <w:textAlignment w:val="auto"/>
              <w:rPr>
                <w:rFonts w:eastAsia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en-US"/>
              </w:rPr>
              <w:t>Оценка расходов (доходов) государственного бюджета Республики Саха (Якутия), связанных с введением предлагаемого правового регулирования</w:t>
            </w:r>
          </w:p>
        </w:tc>
        <w:tc>
          <w:tcPr>
            <w:tcW w:w="29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textAlignment w:val="auto"/>
              <w:rPr>
                <w:rFonts w:eastAsiaTheme="minorHAnsi"/>
                <w:highlight w:val="none"/>
                <w:lang w:val="en-US" w:eastAsia="en-US"/>
              </w:rPr>
            </w:pPr>
            <w:r>
              <w:rPr>
                <w:rFonts w:eastAsiaTheme="minorHAnsi"/>
                <w:highlight w:val="none"/>
                <w:lang w:val="en-US" w:eastAsia="en-US"/>
              </w:rPr>
              <w:t>В пределах средств, предусмотренных на 202</w:t>
            </w:r>
            <w:r>
              <w:rPr>
                <w:rFonts w:hint="default" w:eastAsiaTheme="minorHAnsi"/>
                <w:highlight w:val="none"/>
                <w:lang w:val="ru-RU" w:eastAsia="en-US"/>
              </w:rPr>
              <w:t>4</w:t>
            </w:r>
            <w:r>
              <w:rPr>
                <w:rFonts w:eastAsiaTheme="minorHAnsi"/>
                <w:highlight w:val="none"/>
                <w:lang w:val="en-US" w:eastAsia="en-US"/>
              </w:rPr>
              <w:t xml:space="preserve"> год</w:t>
            </w:r>
          </w:p>
        </w:tc>
        <w:tc>
          <w:tcPr>
            <w:tcW w:w="31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textAlignment w:val="auto"/>
              <w:rPr>
                <w:rFonts w:eastAsiaTheme="minorHAnsi"/>
                <w:highlight w:val="none"/>
                <w:lang w:val="en-US" w:eastAsia="en-US"/>
              </w:rPr>
            </w:pPr>
            <w:r>
              <w:rPr>
                <w:rFonts w:eastAsiaTheme="minorHAnsi"/>
                <w:highlight w:val="none"/>
                <w:lang w:val="en-US" w:eastAsia="en-US"/>
              </w:rPr>
              <w:t>В пределах средств, предусмотренных на 202</w:t>
            </w:r>
            <w:r>
              <w:rPr>
                <w:rFonts w:hint="default" w:eastAsiaTheme="minorHAnsi"/>
                <w:highlight w:val="none"/>
                <w:lang w:val="ru-RU" w:eastAsia="en-US"/>
              </w:rPr>
              <w:t>4</w:t>
            </w:r>
            <w:r>
              <w:rPr>
                <w:rFonts w:eastAsiaTheme="minorHAnsi"/>
                <w:highlight w:val="none"/>
                <w:lang w:val="en-US" w:eastAsia="en-US"/>
              </w:rPr>
              <w:t xml:space="preserve"> год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353" w:hRule="atLeast"/>
        </w:trPr>
        <w:tc>
          <w:tcPr>
            <w:tcW w:w="3750" w:type="dxa"/>
            <w:tcBorders>
              <w:left w:val="single" w:color="000000" w:sz="6" w:space="0"/>
            </w:tcBorders>
          </w:tcPr>
          <w:p>
            <w:pPr>
              <w:pStyle w:val="43"/>
              <w:keepNext w:val="0"/>
              <w:keepLines w:val="0"/>
              <w:pageBreakBefore w:val="0"/>
              <w:numPr>
                <w:ilvl w:val="1"/>
                <w:numId w:val="1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88" w:lineRule="auto"/>
              <w:ind w:left="144" w:right="196" w:firstLine="0"/>
              <w:textAlignment w:val="auto"/>
              <w:rPr>
                <w:rFonts w:eastAsia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en-US"/>
              </w:rPr>
              <w:t>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9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textAlignment w:val="auto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эффективно</w:t>
            </w:r>
          </w:p>
        </w:tc>
        <w:tc>
          <w:tcPr>
            <w:tcW w:w="31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textAlignment w:val="auto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не эффективно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3" w:hRule="atLeast"/>
        </w:trPr>
        <w:tc>
          <w:tcPr>
            <w:tcW w:w="3750" w:type="dxa"/>
            <w:tcBorders>
              <w:left w:val="single" w:color="000000" w:sz="6" w:space="0"/>
            </w:tcBorders>
          </w:tcPr>
          <w:p>
            <w:pPr>
              <w:pStyle w:val="43"/>
              <w:keepNext w:val="0"/>
              <w:keepLines w:val="0"/>
              <w:pageBreakBefore w:val="0"/>
              <w:numPr>
                <w:ilvl w:val="1"/>
                <w:numId w:val="1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88" w:lineRule="auto"/>
              <w:ind w:left="144" w:right="196" w:firstLine="0"/>
              <w:textAlignment w:val="auto"/>
              <w:rPr>
                <w:rFonts w:eastAsia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en-US"/>
              </w:rPr>
              <w:t>Оценка рисков неблагоприятных последствий</w:t>
            </w:r>
          </w:p>
        </w:tc>
        <w:tc>
          <w:tcPr>
            <w:tcW w:w="29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textAlignment w:val="auto"/>
              <w:rPr>
                <w:rFonts w:hint="default" w:eastAsiaTheme="minorHAnsi"/>
                <w:highlight w:val="none"/>
                <w:lang w:val="ru-RU" w:eastAsia="en-US"/>
              </w:rPr>
            </w:pPr>
            <w:r>
              <w:rPr>
                <w:rFonts w:hint="default" w:eastAsiaTheme="minorHAnsi"/>
                <w:highlight w:val="none"/>
                <w:lang w:val="ru-RU" w:eastAsia="en-US"/>
              </w:rPr>
              <w:t>Отсутствие убытков предприятия ГУП «ЖКХ РС (Я)», устойчивая финансово-хозяйственная деятельность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eastAsiaTheme="minorHAnsi"/>
                <w:highlight w:val="yellow"/>
                <w:lang w:val="ru-RU" w:eastAsia="en-US"/>
              </w:rPr>
            </w:pPr>
          </w:p>
        </w:tc>
        <w:tc>
          <w:tcPr>
            <w:tcW w:w="31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textAlignment w:val="auto"/>
              <w:rPr>
                <w:rFonts w:hint="default" w:eastAsiaTheme="minorHAnsi"/>
                <w:highlight w:val="none"/>
                <w:lang w:val="ru-RU" w:eastAsia="en-US"/>
              </w:rPr>
            </w:pPr>
            <w:r>
              <w:rPr>
                <w:rFonts w:hint="default" w:eastAsiaTheme="minorHAnsi"/>
                <w:highlight w:val="none"/>
                <w:lang w:val="ru-RU" w:eastAsia="en-US"/>
              </w:rPr>
              <w:t>Убытки предприятия ГУП «ЖКХ РС (Я)», неустойчивая финансово-хозяйственная деятельность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textAlignment w:val="auto"/>
              <w:rPr>
                <w:rFonts w:hint="default" w:eastAsiaTheme="minorHAnsi"/>
                <w:highlight w:val="yellow"/>
                <w:lang w:val="ru-RU"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7" w:hRule="atLeast"/>
        </w:trPr>
        <w:tc>
          <w:tcPr>
            <w:tcW w:w="3750" w:type="dxa"/>
            <w:tcBorders>
              <w:left w:val="single" w:color="000000" w:sz="6" w:space="0"/>
            </w:tcBorders>
          </w:tcPr>
          <w:p>
            <w:pPr>
              <w:pStyle w:val="43"/>
              <w:keepNext w:val="0"/>
              <w:keepLines w:val="0"/>
              <w:pageBreakBefore w:val="0"/>
              <w:numPr>
                <w:ilvl w:val="1"/>
                <w:numId w:val="1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88" w:lineRule="auto"/>
              <w:ind w:left="144" w:right="196" w:firstLine="0"/>
              <w:textAlignment w:val="auto"/>
              <w:rPr>
                <w:rFonts w:eastAsia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en-US"/>
              </w:rPr>
              <w:t>Необходимые для достижения заявленных целей регулирования организационно-технические, методологические, информационные</w:t>
            </w:r>
            <w:r>
              <w:rPr>
                <w:rFonts w:eastAsiaTheme="minorHAnsi"/>
                <w:b/>
                <w:bCs/>
                <w:sz w:val="24"/>
                <w:szCs w:val="24"/>
                <w:lang w:val="en-US"/>
              </w:rPr>
              <w:tab/>
            </w:r>
            <w:r>
              <w:rPr>
                <w:rFonts w:eastAsiaTheme="minorHAnsi"/>
                <w:b/>
                <w:bCs/>
                <w:sz w:val="24"/>
                <w:szCs w:val="24"/>
                <w:lang w:val="en-US"/>
              </w:rPr>
              <w:t>и иные мероприятия, общий объем затрат</w:t>
            </w:r>
          </w:p>
        </w:tc>
        <w:tc>
          <w:tcPr>
            <w:tcW w:w="29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textAlignment w:val="auto"/>
              <w:rPr>
                <w:rFonts w:eastAsiaTheme="minorHAnsi"/>
                <w:highlight w:val="none"/>
                <w:lang w:val="en-US" w:eastAsia="en-US"/>
              </w:rPr>
            </w:pPr>
            <w:r>
              <w:rPr>
                <w:rFonts w:eastAsiaTheme="minorHAnsi"/>
                <w:highlight w:val="none"/>
                <w:lang w:val="en-US" w:eastAsia="en-US"/>
              </w:rPr>
              <w:t>нет</w:t>
            </w:r>
          </w:p>
        </w:tc>
        <w:tc>
          <w:tcPr>
            <w:tcW w:w="31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textAlignment w:val="auto"/>
              <w:rPr>
                <w:rFonts w:eastAsiaTheme="minorHAnsi"/>
                <w:highlight w:val="none"/>
                <w:lang w:val="en-US" w:eastAsia="en-US"/>
              </w:rPr>
            </w:pPr>
            <w:r>
              <w:rPr>
                <w:rFonts w:eastAsiaTheme="minorHAnsi"/>
                <w:highlight w:val="none"/>
                <w:lang w:val="en-US" w:eastAsia="en-US"/>
              </w:rPr>
              <w:t>нет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textAlignment w:val="auto"/>
      </w:pPr>
    </w:p>
    <w:p>
      <w:pPr>
        <w:pStyle w:val="43"/>
        <w:keepNext w:val="0"/>
        <w:keepLines w:val="0"/>
        <w:pageBreakBefore w:val="0"/>
        <w:numPr>
          <w:ilvl w:val="1"/>
          <w:numId w:val="1"/>
        </w:numPr>
        <w:kinsoku/>
        <w:wordWrap/>
        <w:overflowPunct/>
        <w:topLinePunct w:val="0"/>
        <w:bidi w:val="0"/>
        <w:adjustRightInd/>
        <w:snapToGrid/>
        <w:spacing w:line="288" w:lineRule="auto"/>
        <w:ind w:left="0" w:firstLine="567"/>
        <w:textAlignment w:val="auto"/>
        <w:rPr>
          <w:sz w:val="24"/>
          <w:szCs w:val="24"/>
        </w:rPr>
      </w:pPr>
      <w:r>
        <w:rPr>
          <w:b/>
          <w:bCs/>
          <w:sz w:val="24"/>
          <w:szCs w:val="24"/>
        </w:rPr>
        <w:t>Обоснование выбора предпочтительного варианта решения выявленной проблемы</w:t>
      </w:r>
      <w:r>
        <w:rPr>
          <w:sz w:val="24"/>
          <w:szCs w:val="24"/>
        </w:rPr>
        <w:t>: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jc w:val="both"/>
        <w:textAlignment w:val="auto"/>
        <w:rPr>
          <w:rFonts w:hint="default"/>
          <w:highlight w:val="none"/>
          <w:lang w:val="ru-RU"/>
        </w:rPr>
      </w:pPr>
      <w:r>
        <w:rPr>
          <w:highlight w:val="none"/>
        </w:rPr>
        <w:t xml:space="preserve">Первый вариант предпочтительнее в целях снижения убыточности </w:t>
      </w:r>
      <w:r>
        <w:rPr>
          <w:highlight w:val="none"/>
          <w:lang w:val="ru-RU"/>
        </w:rPr>
        <w:t>предприятия</w:t>
      </w:r>
      <w:r>
        <w:rPr>
          <w:rFonts w:hint="default"/>
          <w:highlight w:val="none"/>
          <w:lang w:val="ru-RU"/>
        </w:rPr>
        <w:t xml:space="preserve"> ГУП «ЖКХ РС (Я</w:t>
      </w:r>
      <w:r>
        <w:rPr>
          <w:highlight w:val="none"/>
        </w:rPr>
        <w:t>)</w:t>
      </w:r>
      <w:r>
        <w:rPr>
          <w:rFonts w:hint="default"/>
          <w:highlight w:val="none"/>
          <w:lang w:val="ru-RU"/>
        </w:rPr>
        <w:t>».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textAlignment w:val="auto"/>
      </w:pPr>
    </w:p>
    <w:p>
      <w:pPr>
        <w:pStyle w:val="43"/>
        <w:keepNext w:val="0"/>
        <w:keepLines w:val="0"/>
        <w:pageBreakBefore w:val="0"/>
        <w:numPr>
          <w:ilvl w:val="1"/>
          <w:numId w:val="1"/>
        </w:numPr>
        <w:kinsoku/>
        <w:wordWrap/>
        <w:overflowPunct/>
        <w:topLinePunct w:val="0"/>
        <w:bidi w:val="0"/>
        <w:adjustRightInd/>
        <w:snapToGrid/>
        <w:spacing w:line="288" w:lineRule="auto"/>
        <w:ind w:left="0" w:firstLine="567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Детальное описание предлагаемого варианта решения проблемы: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jc w:val="both"/>
        <w:textAlignment w:val="auto"/>
        <w:rPr>
          <w:rFonts w:hint="default"/>
          <w:lang w:val="ru-RU"/>
        </w:rPr>
      </w:pPr>
      <w:r>
        <w:t xml:space="preserve">В целях </w:t>
      </w:r>
      <w:r>
        <w:rPr>
          <w:lang w:val="en-US" w:eastAsia="zh-CN"/>
        </w:rPr>
        <w:t>возмещени</w:t>
      </w:r>
      <w:r>
        <w:rPr>
          <w:lang w:val="ru-RU" w:eastAsia="zh-CN"/>
        </w:rPr>
        <w:t>я</w:t>
      </w:r>
      <w:r>
        <w:rPr>
          <w:lang w:val="en-US" w:eastAsia="zh-CN"/>
        </w:rPr>
        <w:t xml:space="preserve"> </w:t>
      </w:r>
      <w:r>
        <w:rPr>
          <w:lang w:val="ru-RU" w:eastAsia="zh-CN"/>
        </w:rPr>
        <w:t>предприятию</w:t>
      </w:r>
      <w:r>
        <w:rPr>
          <w:rFonts w:hint="default"/>
          <w:lang w:val="ru-RU" w:eastAsia="zh-CN"/>
        </w:rPr>
        <w:t xml:space="preserve"> ГУП «ЖКХ РС (Я)» </w:t>
      </w:r>
      <w:r>
        <w:rPr>
          <w:lang w:val="ru-RU" w:eastAsia="zh-CN"/>
        </w:rPr>
        <w:t>понесенных</w:t>
      </w:r>
      <w:r>
        <w:rPr>
          <w:rFonts w:hint="default"/>
          <w:lang w:val="ru-RU" w:eastAsia="zh-CN"/>
        </w:rPr>
        <w:t xml:space="preserve"> </w:t>
      </w:r>
      <w:r>
        <w:rPr>
          <w:lang w:val="en-US" w:eastAsia="zh-CN"/>
        </w:rPr>
        <w:t xml:space="preserve">затрат, </w:t>
      </w:r>
      <w:r>
        <w:t xml:space="preserve">необходимо принять Порядок </w:t>
      </w:r>
      <w:r>
        <w:rPr>
          <w:lang w:val="en-US" w:eastAsia="zh-CN"/>
        </w:rPr>
        <w:t xml:space="preserve">предоставления субсидии на </w:t>
      </w:r>
      <w:r>
        <w:rPr>
          <w:lang w:val="ru-RU" w:eastAsia="zh-CN"/>
        </w:rPr>
        <w:t>увеличение</w:t>
      </w:r>
      <w:r>
        <w:rPr>
          <w:rFonts w:hint="default"/>
          <w:lang w:val="ru-RU" w:eastAsia="zh-CN"/>
        </w:rPr>
        <w:t xml:space="preserve"> уставного фондна ГУП «Жилищно-коммунальное хозяйство Республики Саха (Якутия)» на возмещение затрат</w:t>
      </w:r>
      <w:r>
        <w:rPr>
          <w:lang w:val="en-US" w:eastAsia="zh-CN"/>
        </w:rPr>
        <w:t>, связанных со строительством объекта «Полигон размещения твёрдых коммунальных отходов в городе Якутске</w:t>
      </w:r>
      <w:r>
        <w:t>»</w:t>
      </w:r>
      <w:r>
        <w:rPr>
          <w:rFonts w:hint="default"/>
          <w:lang w:val="ru-RU"/>
        </w:rPr>
        <w:t>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jc w:val="both"/>
        <w:textAlignment w:val="auto"/>
      </w:pPr>
      <w:r>
        <w:t xml:space="preserve">В противном случае </w:t>
      </w:r>
      <w:r>
        <w:rPr>
          <w:lang w:val="ru-RU"/>
        </w:rPr>
        <w:t>могут</w:t>
      </w:r>
      <w:r>
        <w:rPr>
          <w:rFonts w:hint="default"/>
          <w:lang w:val="ru-RU"/>
        </w:rPr>
        <w:t xml:space="preserve"> возникнуть у</w:t>
      </w:r>
      <w:r>
        <w:rPr>
          <w:rFonts w:hint="default"/>
          <w:lang w:val="ru-RU" w:eastAsia="en-US"/>
        </w:rPr>
        <w:t>бытки предприятия ГУП «ЖКХ РС (Я)» и неустойчивая финансово-хозяйственная деятельность предприятия</w:t>
      </w:r>
      <w:r>
        <w:t>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textAlignment w:val="auto"/>
      </w:pPr>
      <w: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201295</wp:posOffset>
                </wp:positionV>
                <wp:extent cx="5715000" cy="1270"/>
                <wp:effectExtent l="13335" t="11430" r="5715" b="6350"/>
                <wp:wrapTopAndBottom/>
                <wp:docPr id="1639989299" name="Полилиния: фигур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00"/>
                            <a:gd name="T2" fmla="+- 0 10701 1701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: фигура 1" o:spid="_x0000_s1026" o:spt="100" style="position:absolute;left:0pt;margin-left:85.05pt;margin-top:15.85pt;height:0.1pt;width:450pt;mso-position-horizontal-relative:page;mso-wrap-distance-bottom:0pt;mso-wrap-distance-top:0pt;z-index:-251655168;mso-width-relative:page;mso-height-relative:page;" filled="f" stroked="t" coordsize="9000,1" o:gfxdata="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" path="m0,0l9000,0e">
                <v:path o:connectlocs="0,0;5715000,0" o:connectangles="0,0"/>
                <v:fill on="f" focussize="0,0"/>
                <v:stroke weight="0.48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pStyle w:val="43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adjustRightInd/>
        <w:snapToGrid/>
        <w:spacing w:line="288" w:lineRule="auto"/>
        <w:ind w:left="0" w:firstLine="567"/>
        <w:jc w:val="center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jc w:val="center"/>
        <w:textAlignment w:val="auto"/>
        <w:rPr>
          <w:b/>
          <w:bCs/>
        </w:rPr>
      </w:pPr>
      <w:r>
        <w:rPr>
          <w:b/>
          <w:bCs/>
        </w:rPr>
        <w:t>ПРАВОВОГО РЕГУЛИРОВАНИЯ НА РАНЕЕ ВОЗНИКШИЕ ОТНОШЕНИЯ: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textAlignment w:val="auto"/>
      </w:pPr>
    </w:p>
    <w:p>
      <w:pPr>
        <w:pStyle w:val="43"/>
        <w:keepNext w:val="0"/>
        <w:keepLines w:val="0"/>
        <w:pageBreakBefore w:val="0"/>
        <w:numPr>
          <w:ilvl w:val="1"/>
          <w:numId w:val="1"/>
        </w:numPr>
        <w:kinsoku/>
        <w:wordWrap/>
        <w:overflowPunct/>
        <w:topLinePunct w:val="0"/>
        <w:bidi w:val="0"/>
        <w:adjustRightInd/>
        <w:snapToGrid/>
        <w:spacing w:line="288" w:lineRule="auto"/>
        <w:ind w:left="0" w:firstLine="567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Предполагаемая дата вступления в силу нормативного правового акта:</w:t>
      </w:r>
    </w:p>
    <w:p>
      <w:pPr>
        <w:pStyle w:val="4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288" w:lineRule="auto"/>
        <w:ind w:left="567" w:leftChars="0"/>
        <w:textAlignment w:val="auto"/>
        <w:rPr>
          <w:sz w:val="24"/>
          <w:szCs w:val="24"/>
          <w:highlight w:val="none"/>
        </w:rPr>
      </w:pPr>
      <w:r>
        <w:rPr>
          <w:rFonts w:hint="default"/>
          <w:sz w:val="24"/>
          <w:szCs w:val="24"/>
          <w:highlight w:val="none"/>
          <w:lang w:val="ru-RU"/>
        </w:rPr>
        <w:t xml:space="preserve">1 апреля </w:t>
      </w:r>
      <w:r>
        <w:rPr>
          <w:sz w:val="24"/>
          <w:szCs w:val="24"/>
          <w:highlight w:val="none"/>
        </w:rPr>
        <w:t>202</w:t>
      </w:r>
      <w:r>
        <w:rPr>
          <w:rFonts w:hint="default"/>
          <w:sz w:val="24"/>
          <w:szCs w:val="24"/>
          <w:highlight w:val="none"/>
          <w:lang w:val="ru-RU"/>
        </w:rPr>
        <w:t>4</w:t>
      </w:r>
      <w:r>
        <w:rPr>
          <w:sz w:val="24"/>
          <w:szCs w:val="24"/>
          <w:highlight w:val="none"/>
        </w:rPr>
        <w:t xml:space="preserve"> года.</w:t>
      </w:r>
    </w:p>
    <w:p>
      <w:pPr>
        <w:pStyle w:val="43"/>
        <w:keepNext w:val="0"/>
        <w:keepLines w:val="0"/>
        <w:pageBreakBefore w:val="0"/>
        <w:numPr>
          <w:ilvl w:val="1"/>
          <w:numId w:val="1"/>
        </w:numPr>
        <w:kinsoku/>
        <w:wordWrap/>
        <w:overflowPunct/>
        <w:topLinePunct w:val="0"/>
        <w:bidi w:val="0"/>
        <w:adjustRightInd/>
        <w:snapToGrid/>
        <w:spacing w:line="288" w:lineRule="auto"/>
        <w:ind w:left="0" w:firstLine="567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Необходимость установления переходного периода и (или) отсрочки введения предлагаемого правового регулирования: нет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textAlignment w:val="auto"/>
      </w:pPr>
      <w:r>
        <w:t>а) срок переходного периода: нет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textAlignment w:val="auto"/>
      </w:pPr>
      <w:r>
        <w:t>б) отсрочка введения предлагаемого правового регулирования: нет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textAlignment w:val="auto"/>
      </w:pPr>
    </w:p>
    <w:p>
      <w:pPr>
        <w:pStyle w:val="43"/>
        <w:keepNext w:val="0"/>
        <w:keepLines w:val="0"/>
        <w:pageBreakBefore w:val="0"/>
        <w:numPr>
          <w:ilvl w:val="1"/>
          <w:numId w:val="1"/>
        </w:numPr>
        <w:kinsoku/>
        <w:wordWrap/>
        <w:overflowPunct/>
        <w:topLinePunct w:val="0"/>
        <w:bidi w:val="0"/>
        <w:adjustRightInd/>
        <w:snapToGrid/>
        <w:spacing w:line="288" w:lineRule="auto"/>
        <w:ind w:left="0" w:firstLine="567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Необходимость распространения предлагаемого правового регулирования на ранее возникшие отношения: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textAlignment w:val="auto"/>
        <w:rPr>
          <w:highlight w:val="none"/>
        </w:rPr>
      </w:pPr>
      <w:r>
        <w:rPr>
          <w:highlight w:val="none"/>
        </w:rPr>
        <w:t>не ранее 01.01.202</w:t>
      </w:r>
      <w:r>
        <w:rPr>
          <w:rFonts w:hint="default"/>
          <w:highlight w:val="none"/>
          <w:lang w:val="ru-RU"/>
        </w:rPr>
        <w:t>0</w:t>
      </w:r>
      <w:r>
        <w:rPr>
          <w:highlight w:val="none"/>
        </w:rPr>
        <w:t xml:space="preserve"> года.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textAlignment w:val="auto"/>
        <w:rPr>
          <w:highlight w:val="none"/>
        </w:rPr>
      </w:pPr>
    </w:p>
    <w:p>
      <w:pPr>
        <w:pStyle w:val="43"/>
        <w:keepNext w:val="0"/>
        <w:keepLines w:val="0"/>
        <w:pageBreakBefore w:val="0"/>
        <w:numPr>
          <w:ilvl w:val="2"/>
          <w:numId w:val="1"/>
        </w:numPr>
        <w:kinsoku/>
        <w:wordWrap/>
        <w:overflowPunct/>
        <w:topLinePunct w:val="0"/>
        <w:bidi w:val="0"/>
        <w:adjustRightInd/>
        <w:snapToGrid/>
        <w:spacing w:line="288" w:lineRule="auto"/>
        <w:ind w:left="0" w:firstLine="567"/>
        <w:textAlignment w:val="auto"/>
        <w:rPr>
          <w:b/>
          <w:bCs/>
          <w:sz w:val="24"/>
          <w:szCs w:val="24"/>
          <w:highlight w:val="none"/>
        </w:rPr>
      </w:pPr>
      <w:r>
        <w:rPr>
          <w:b/>
          <w:bCs/>
          <w:sz w:val="24"/>
          <w:szCs w:val="24"/>
          <w:highlight w:val="none"/>
        </w:rPr>
        <w:t>Период распространения на ранее возникшие отношения: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textAlignment w:val="auto"/>
        <w:rPr>
          <w:highlight w:val="none"/>
        </w:rPr>
      </w:pPr>
      <w:r>
        <w:rPr>
          <w:highlight w:val="none"/>
        </w:rPr>
        <w:t>не ранее 01.01.202</w:t>
      </w:r>
      <w:r>
        <w:rPr>
          <w:rFonts w:hint="default"/>
          <w:highlight w:val="none"/>
          <w:lang w:val="ru-RU"/>
        </w:rPr>
        <w:t>0</w:t>
      </w:r>
      <w:r>
        <w:rPr>
          <w:highlight w:val="none"/>
        </w:rPr>
        <w:t xml:space="preserve"> года.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textAlignment w:val="auto"/>
      </w:pPr>
    </w:p>
    <w:p>
      <w:pPr>
        <w:pStyle w:val="43"/>
        <w:keepNext w:val="0"/>
        <w:keepLines w:val="0"/>
        <w:pageBreakBefore w:val="0"/>
        <w:numPr>
          <w:ilvl w:val="1"/>
          <w:numId w:val="1"/>
        </w:numPr>
        <w:kinsoku/>
        <w:wordWrap/>
        <w:overflowPunct/>
        <w:topLinePunct w:val="0"/>
        <w:bidi w:val="0"/>
        <w:adjustRightInd/>
        <w:snapToGrid/>
        <w:spacing w:line="288" w:lineRule="auto"/>
        <w:ind w:left="0" w:firstLine="567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Обоснование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textAlignment w:val="auto"/>
      </w:pPr>
      <w:r>
        <w:t>Отсутствует.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jc w:val="both"/>
        <w:textAlignment w:val="auto"/>
      </w:pPr>
      <w:r>
        <w:t>Заполняется по итогам проведения публичных консультаций по проекту нормативного правового акта и сводного отчета: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textAlignment w:val="auto"/>
      </w:pPr>
    </w:p>
    <w:p>
      <w:pPr>
        <w:pStyle w:val="43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adjustRightInd/>
        <w:snapToGrid/>
        <w:spacing w:line="288" w:lineRule="auto"/>
        <w:ind w:left="0" w:firstLine="567"/>
        <w:jc w:val="center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ИНФОРМАЦИЯ О СРОКАХ ПРОВЕДЕНИЯ ПУБЛИЧНЫХ КОНСУЛЬТАЦИЙ ПО ПРОЕКТУ НОРМАТИВНОГО ПРАВОВОГО АКТА И СВОДНОМУ ОТЧЕТУ: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textAlignment w:val="auto"/>
      </w:pPr>
    </w:p>
    <w:p>
      <w:pPr>
        <w:pStyle w:val="43"/>
        <w:keepNext w:val="0"/>
        <w:keepLines w:val="0"/>
        <w:pageBreakBefore w:val="0"/>
        <w:numPr>
          <w:ilvl w:val="1"/>
          <w:numId w:val="1"/>
        </w:numPr>
        <w:kinsoku/>
        <w:wordWrap/>
        <w:overflowPunct/>
        <w:topLinePunct w:val="0"/>
        <w:bidi w:val="0"/>
        <w:adjustRightInd/>
        <w:snapToGrid/>
        <w:spacing w:line="288" w:lineRule="auto"/>
        <w:ind w:left="0" w:firstLine="567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воздействия: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jc w:val="both"/>
        <w:textAlignment w:val="auto"/>
        <w:rPr>
          <w:rFonts w:hint="default"/>
          <w:lang w:val="ru-RU"/>
        </w:rPr>
      </w:pPr>
      <w:r>
        <w:t xml:space="preserve">начало: </w:t>
      </w:r>
      <w:bookmarkStart w:id="4" w:name="_GoBack"/>
      <w:bookmarkEnd w:id="4"/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jc w:val="both"/>
        <w:textAlignment w:val="auto"/>
        <w:rPr>
          <w:rFonts w:hint="default"/>
          <w:lang w:val="ru-RU"/>
        </w:rPr>
      </w:pPr>
      <w:r>
        <w:t xml:space="preserve">окончание: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textAlignment w:val="auto"/>
      </w:pPr>
    </w:p>
    <w:p>
      <w:pPr>
        <w:pStyle w:val="43"/>
        <w:keepNext w:val="0"/>
        <w:keepLines w:val="0"/>
        <w:pageBreakBefore w:val="0"/>
        <w:numPr>
          <w:ilvl w:val="1"/>
          <w:numId w:val="1"/>
        </w:numPr>
        <w:kinsoku/>
        <w:wordWrap/>
        <w:overflowPunct/>
        <w:topLinePunct w:val="0"/>
        <w:bidi w:val="0"/>
        <w:adjustRightInd/>
        <w:snapToGrid/>
        <w:spacing w:line="288" w:lineRule="auto"/>
        <w:ind w:left="0" w:firstLine="567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 о количестве замечаний и предложений, полученных в ходе публичных консультаций по проекту нормативного правового акта: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jc w:val="both"/>
        <w:textAlignment w:val="auto"/>
      </w:pPr>
      <w:r>
        <w:t>Всего замечаний и предложений:_____, из них учтено: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jc w:val="both"/>
        <w:textAlignment w:val="auto"/>
      </w:pPr>
      <w:r>
        <w:t>полностью: ______ , учтено частично: __________.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88" w:lineRule="auto"/>
        <w:ind w:firstLine="567"/>
        <w:textAlignment w:val="auto"/>
      </w:pPr>
    </w:p>
    <w:p>
      <w:pPr>
        <w:pStyle w:val="43"/>
        <w:keepNext w:val="0"/>
        <w:keepLines w:val="0"/>
        <w:pageBreakBefore w:val="0"/>
        <w:numPr>
          <w:ilvl w:val="1"/>
          <w:numId w:val="1"/>
        </w:numPr>
        <w:kinsoku/>
        <w:wordWrap/>
        <w:overflowPunct/>
        <w:topLinePunct w:val="0"/>
        <w:bidi w:val="0"/>
        <w:adjustRightInd/>
        <w:snapToGrid/>
        <w:spacing w:line="288" w:lineRule="auto"/>
        <w:ind w:left="0" w:firstLine="567"/>
        <w:textAlignment w:val="auto"/>
      </w:pPr>
      <w:r>
        <w:rPr>
          <w:b/>
          <w:bCs/>
          <w:sz w:val="24"/>
          <w:szCs w:val="24"/>
        </w:rPr>
        <w:t>Полный электронный адрес размещения сводки предложений, поступивших по итогам проведения публичных консультаций по проекту нормативного правового акта:</w:t>
      </w:r>
      <w:r>
        <w:t xml:space="preserve"> </w:t>
      </w:r>
    </w:p>
    <w:p>
      <w:pPr>
        <w:pStyle w:val="43"/>
        <w:spacing w:line="276" w:lineRule="auto"/>
        <w:ind w:left="567" w:firstLine="0"/>
      </w:pPr>
    </w:p>
    <w:p>
      <w:pPr>
        <w:pStyle w:val="43"/>
        <w:spacing w:line="276" w:lineRule="auto"/>
        <w:ind w:left="567" w:firstLine="0"/>
      </w:pPr>
    </w:p>
    <w:tbl>
      <w:tblPr>
        <w:tblStyle w:val="1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0"/>
        <w:gridCol w:w="4329"/>
        <w:gridCol w:w="28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190" w:type="dxa"/>
          </w:tcPr>
          <w:p>
            <w:pPr>
              <w:spacing w:after="160" w:line="259" w:lineRule="auto"/>
              <w:jc w:val="center"/>
            </w:pPr>
            <w:bookmarkStart w:id="1" w:name="SIGNERPOST1"/>
            <w:r>
              <w:t>Должность</w:t>
            </w:r>
            <w:bookmarkEnd w:id="1"/>
          </w:p>
        </w:tc>
        <w:tc>
          <w:tcPr>
            <w:tcW w:w="4329" w:type="dxa"/>
          </w:tcPr>
          <w:p>
            <w:pPr>
              <w:spacing w:after="160" w:line="259" w:lineRule="auto"/>
            </w:pPr>
            <w:bookmarkStart w:id="2" w:name="SIGNERSTAMP1"/>
            <w:bookmarkEnd w:id="2"/>
          </w:p>
        </w:tc>
        <w:tc>
          <w:tcPr>
            <w:tcW w:w="2836" w:type="dxa"/>
          </w:tcPr>
          <w:p>
            <w:pPr>
              <w:spacing w:after="160" w:line="259" w:lineRule="auto"/>
              <w:jc w:val="center"/>
            </w:pPr>
            <w:bookmarkStart w:id="3" w:name="SIGNERNAME1"/>
            <w:r>
              <w:t xml:space="preserve">      ФИО</w:t>
            </w:r>
            <w:bookmarkEnd w:id="3"/>
          </w:p>
        </w:tc>
      </w:tr>
    </w:tbl>
    <w:p>
      <w:pPr>
        <w:jc w:val="both"/>
      </w:pPr>
    </w:p>
    <w:sectPr>
      <w:footerReference r:id="rId5" w:type="first"/>
      <w:headerReference r:id="rId3" w:type="even"/>
      <w:footerReference r:id="rId4" w:type="even"/>
      <w:pgSz w:w="11906" w:h="16838"/>
      <w:pgMar w:top="851" w:right="850" w:bottom="993" w:left="1701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altName w:val="Times New Roman"/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黑体">
    <w:altName w:val="Times New Roman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altName w:val="Arimo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mo">
    <w:panose1 w:val="020B0604020202020204"/>
    <w:charset w:val="00"/>
    <w:family w:val="auto"/>
    <w:pitch w:val="default"/>
    <w:sig w:usb0="E0000AFF" w:usb1="500078FF" w:usb2="00000021" w:usb3="00000000" w:csb0="600001BF" w:csb1="DFF7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Times New Roman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Cambria">
    <w:altName w:val="Noto Sans Syriac Eastern"/>
    <w:panose1 w:val="02040503050406030204"/>
    <w:charset w:val="CC"/>
    <w:family w:val="roman"/>
    <w:pitch w:val="default"/>
    <w:sig w:usb0="00000000" w:usb1="00000000" w:usb2="02000000" w:usb3="00000000" w:csb0="0000019F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Tahoma">
    <w:panose1 w:val="020B0604030504040204"/>
    <w:charset w:val="CC"/>
    <w:family w:val="swiss"/>
    <w:pitch w:val="default"/>
    <w:sig w:usb0="800022EF" w:usb1="C000205A" w:usb2="00000008" w:usb3="00000000" w:csb0="20000057" w:csb1="000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57</w:t>
    </w:r>
    <w:r>
      <w:rPr>
        <w:rStyle w:val="10"/>
      </w:rPr>
      <w:fldChar w:fldCharType="end"/>
    </w:r>
  </w:p>
  <w:p>
    <w:pPr>
      <w:pStyle w:val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jc w:val="center"/>
    </w:pPr>
    <w:r>
      <w:t>(Документ создан в электронной форме в Министерстве жилищно-коммунального хозяйства и энергетики Республики Саха (Якутия)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19</w:t>
    </w:r>
    <w:r>
      <w:rPr>
        <w:rStyle w:val="10"/>
      </w:rPr>
      <w:fldChar w:fldCharType="end"/>
    </w:r>
  </w:p>
  <w:p>
    <w:pPr>
      <w:pStyle w:val="1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C6060A6"/>
    <w:multiLevelType w:val="multilevel"/>
    <w:tmpl w:val="3C6060A6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 w:tentative="0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D6C"/>
    <w:rsid w:val="0000067F"/>
    <w:rsid w:val="00000CF9"/>
    <w:rsid w:val="0000458F"/>
    <w:rsid w:val="000046EF"/>
    <w:rsid w:val="00012144"/>
    <w:rsid w:val="00012654"/>
    <w:rsid w:val="00013361"/>
    <w:rsid w:val="00014153"/>
    <w:rsid w:val="000148B2"/>
    <w:rsid w:val="00017948"/>
    <w:rsid w:val="00021872"/>
    <w:rsid w:val="00023A40"/>
    <w:rsid w:val="00026775"/>
    <w:rsid w:val="0003045A"/>
    <w:rsid w:val="00031441"/>
    <w:rsid w:val="00034BFB"/>
    <w:rsid w:val="000374FC"/>
    <w:rsid w:val="0003795C"/>
    <w:rsid w:val="0004112C"/>
    <w:rsid w:val="00041999"/>
    <w:rsid w:val="00041D48"/>
    <w:rsid w:val="0004313D"/>
    <w:rsid w:val="000468B0"/>
    <w:rsid w:val="000505E7"/>
    <w:rsid w:val="00051127"/>
    <w:rsid w:val="00054537"/>
    <w:rsid w:val="00054F93"/>
    <w:rsid w:val="00056258"/>
    <w:rsid w:val="00061741"/>
    <w:rsid w:val="000647B1"/>
    <w:rsid w:val="00064CBD"/>
    <w:rsid w:val="000666BA"/>
    <w:rsid w:val="00070C0A"/>
    <w:rsid w:val="00072FE4"/>
    <w:rsid w:val="00074671"/>
    <w:rsid w:val="00074702"/>
    <w:rsid w:val="00074A2E"/>
    <w:rsid w:val="000813F5"/>
    <w:rsid w:val="00081B0B"/>
    <w:rsid w:val="00082CE9"/>
    <w:rsid w:val="00090373"/>
    <w:rsid w:val="00093684"/>
    <w:rsid w:val="000936A8"/>
    <w:rsid w:val="000A30A1"/>
    <w:rsid w:val="000A3AB5"/>
    <w:rsid w:val="000A4E86"/>
    <w:rsid w:val="000A714A"/>
    <w:rsid w:val="000B7437"/>
    <w:rsid w:val="000B7F4B"/>
    <w:rsid w:val="000C1294"/>
    <w:rsid w:val="000C3211"/>
    <w:rsid w:val="000C3CC5"/>
    <w:rsid w:val="000C6E1D"/>
    <w:rsid w:val="000C701C"/>
    <w:rsid w:val="000C7BF3"/>
    <w:rsid w:val="000D003F"/>
    <w:rsid w:val="000D0611"/>
    <w:rsid w:val="000D3680"/>
    <w:rsid w:val="000D4C59"/>
    <w:rsid w:val="000D655F"/>
    <w:rsid w:val="000E0CEA"/>
    <w:rsid w:val="000E63F0"/>
    <w:rsid w:val="000F3724"/>
    <w:rsid w:val="00106A34"/>
    <w:rsid w:val="00110153"/>
    <w:rsid w:val="00114162"/>
    <w:rsid w:val="00115140"/>
    <w:rsid w:val="00115D84"/>
    <w:rsid w:val="00116352"/>
    <w:rsid w:val="00116C57"/>
    <w:rsid w:val="001173E3"/>
    <w:rsid w:val="00121761"/>
    <w:rsid w:val="00121B3F"/>
    <w:rsid w:val="001227AB"/>
    <w:rsid w:val="00122BC7"/>
    <w:rsid w:val="0012682E"/>
    <w:rsid w:val="00132A2E"/>
    <w:rsid w:val="00136209"/>
    <w:rsid w:val="00137973"/>
    <w:rsid w:val="0014069E"/>
    <w:rsid w:val="00143A8C"/>
    <w:rsid w:val="001465D8"/>
    <w:rsid w:val="00146CDC"/>
    <w:rsid w:val="001470D7"/>
    <w:rsid w:val="001504D5"/>
    <w:rsid w:val="001513E7"/>
    <w:rsid w:val="0015165C"/>
    <w:rsid w:val="00152D04"/>
    <w:rsid w:val="001563B9"/>
    <w:rsid w:val="00160B9C"/>
    <w:rsid w:val="0017348B"/>
    <w:rsid w:val="00180459"/>
    <w:rsid w:val="00186E45"/>
    <w:rsid w:val="00187FD0"/>
    <w:rsid w:val="001906FB"/>
    <w:rsid w:val="001926FC"/>
    <w:rsid w:val="0019363B"/>
    <w:rsid w:val="00193C2B"/>
    <w:rsid w:val="00195B0C"/>
    <w:rsid w:val="00197226"/>
    <w:rsid w:val="001A252C"/>
    <w:rsid w:val="001A5EC2"/>
    <w:rsid w:val="001B19C1"/>
    <w:rsid w:val="001B7294"/>
    <w:rsid w:val="001C06D0"/>
    <w:rsid w:val="001C1E5D"/>
    <w:rsid w:val="001C699A"/>
    <w:rsid w:val="001C7E9F"/>
    <w:rsid w:val="001E0CCF"/>
    <w:rsid w:val="001E0E5C"/>
    <w:rsid w:val="001E15D0"/>
    <w:rsid w:val="001E22C1"/>
    <w:rsid w:val="001E6821"/>
    <w:rsid w:val="001F1619"/>
    <w:rsid w:val="001F3901"/>
    <w:rsid w:val="001F5258"/>
    <w:rsid w:val="001F7405"/>
    <w:rsid w:val="00200C5B"/>
    <w:rsid w:val="002019A9"/>
    <w:rsid w:val="00207671"/>
    <w:rsid w:val="002079A8"/>
    <w:rsid w:val="00207A5F"/>
    <w:rsid w:val="00207BEB"/>
    <w:rsid w:val="0021474A"/>
    <w:rsid w:val="00214B7F"/>
    <w:rsid w:val="002162E3"/>
    <w:rsid w:val="00220050"/>
    <w:rsid w:val="002207AD"/>
    <w:rsid w:val="00220E99"/>
    <w:rsid w:val="002214BF"/>
    <w:rsid w:val="002230F0"/>
    <w:rsid w:val="002235C1"/>
    <w:rsid w:val="00223F71"/>
    <w:rsid w:val="002252A0"/>
    <w:rsid w:val="00225AC0"/>
    <w:rsid w:val="002261DB"/>
    <w:rsid w:val="002309C2"/>
    <w:rsid w:val="00233412"/>
    <w:rsid w:val="00242D9A"/>
    <w:rsid w:val="00244366"/>
    <w:rsid w:val="0024467B"/>
    <w:rsid w:val="00244ED0"/>
    <w:rsid w:val="0024562E"/>
    <w:rsid w:val="00246083"/>
    <w:rsid w:val="00250DC9"/>
    <w:rsid w:val="00251DF9"/>
    <w:rsid w:val="00253CE3"/>
    <w:rsid w:val="0025694E"/>
    <w:rsid w:val="00257AE1"/>
    <w:rsid w:val="00262A33"/>
    <w:rsid w:val="00263594"/>
    <w:rsid w:val="00264CFB"/>
    <w:rsid w:val="002651EC"/>
    <w:rsid w:val="00271ACC"/>
    <w:rsid w:val="00274873"/>
    <w:rsid w:val="00275699"/>
    <w:rsid w:val="00277D45"/>
    <w:rsid w:val="002800F4"/>
    <w:rsid w:val="0028078B"/>
    <w:rsid w:val="00284F5E"/>
    <w:rsid w:val="00287393"/>
    <w:rsid w:val="0029022B"/>
    <w:rsid w:val="00291474"/>
    <w:rsid w:val="00291E62"/>
    <w:rsid w:val="002950FD"/>
    <w:rsid w:val="00295319"/>
    <w:rsid w:val="00296929"/>
    <w:rsid w:val="0029736D"/>
    <w:rsid w:val="002A042A"/>
    <w:rsid w:val="002A3418"/>
    <w:rsid w:val="002A4D30"/>
    <w:rsid w:val="002B3D59"/>
    <w:rsid w:val="002B7DAE"/>
    <w:rsid w:val="002C08D2"/>
    <w:rsid w:val="002C1CEE"/>
    <w:rsid w:val="002C2762"/>
    <w:rsid w:val="002C4507"/>
    <w:rsid w:val="002C4FFC"/>
    <w:rsid w:val="002C5A82"/>
    <w:rsid w:val="002D567E"/>
    <w:rsid w:val="002D6EAB"/>
    <w:rsid w:val="002E522E"/>
    <w:rsid w:val="002E5D6C"/>
    <w:rsid w:val="003006A3"/>
    <w:rsid w:val="00302AE3"/>
    <w:rsid w:val="003066D7"/>
    <w:rsid w:val="003116B8"/>
    <w:rsid w:val="003135FD"/>
    <w:rsid w:val="00313EAE"/>
    <w:rsid w:val="00315885"/>
    <w:rsid w:val="003170CC"/>
    <w:rsid w:val="00326909"/>
    <w:rsid w:val="00327244"/>
    <w:rsid w:val="003310A5"/>
    <w:rsid w:val="00332E45"/>
    <w:rsid w:val="00333376"/>
    <w:rsid w:val="00335CD6"/>
    <w:rsid w:val="00340474"/>
    <w:rsid w:val="0034229B"/>
    <w:rsid w:val="00342FC6"/>
    <w:rsid w:val="00343DC9"/>
    <w:rsid w:val="0034633E"/>
    <w:rsid w:val="00346F6B"/>
    <w:rsid w:val="00347DB4"/>
    <w:rsid w:val="0035229E"/>
    <w:rsid w:val="0035291C"/>
    <w:rsid w:val="00352F10"/>
    <w:rsid w:val="00355A1D"/>
    <w:rsid w:val="00355C78"/>
    <w:rsid w:val="00356392"/>
    <w:rsid w:val="003575A6"/>
    <w:rsid w:val="0036477D"/>
    <w:rsid w:val="003709BE"/>
    <w:rsid w:val="00373ABD"/>
    <w:rsid w:val="0037507D"/>
    <w:rsid w:val="0037667A"/>
    <w:rsid w:val="003849A0"/>
    <w:rsid w:val="003865AB"/>
    <w:rsid w:val="00391BBA"/>
    <w:rsid w:val="00395AD3"/>
    <w:rsid w:val="00396422"/>
    <w:rsid w:val="003A0E89"/>
    <w:rsid w:val="003A2EBD"/>
    <w:rsid w:val="003A5A9E"/>
    <w:rsid w:val="003A6FEA"/>
    <w:rsid w:val="003A7941"/>
    <w:rsid w:val="003B7B6B"/>
    <w:rsid w:val="003C0208"/>
    <w:rsid w:val="003C0A97"/>
    <w:rsid w:val="003C15A6"/>
    <w:rsid w:val="003C25D6"/>
    <w:rsid w:val="003C28A1"/>
    <w:rsid w:val="003D0C25"/>
    <w:rsid w:val="003D1A4D"/>
    <w:rsid w:val="003D32D2"/>
    <w:rsid w:val="003D6F56"/>
    <w:rsid w:val="003D7495"/>
    <w:rsid w:val="003E165D"/>
    <w:rsid w:val="003E525F"/>
    <w:rsid w:val="003E613E"/>
    <w:rsid w:val="003E66D3"/>
    <w:rsid w:val="003F3E15"/>
    <w:rsid w:val="003F71AC"/>
    <w:rsid w:val="00400E85"/>
    <w:rsid w:val="00403165"/>
    <w:rsid w:val="0040547A"/>
    <w:rsid w:val="0041050B"/>
    <w:rsid w:val="0041402E"/>
    <w:rsid w:val="00416177"/>
    <w:rsid w:val="0041635D"/>
    <w:rsid w:val="004164CC"/>
    <w:rsid w:val="0041721C"/>
    <w:rsid w:val="004252D7"/>
    <w:rsid w:val="00425390"/>
    <w:rsid w:val="00426FF5"/>
    <w:rsid w:val="00427D66"/>
    <w:rsid w:val="00430D8C"/>
    <w:rsid w:val="00430D8E"/>
    <w:rsid w:val="004312B1"/>
    <w:rsid w:val="004335B7"/>
    <w:rsid w:val="0044058A"/>
    <w:rsid w:val="00441E9B"/>
    <w:rsid w:val="004440AD"/>
    <w:rsid w:val="004457EE"/>
    <w:rsid w:val="0044755E"/>
    <w:rsid w:val="00451D0E"/>
    <w:rsid w:val="004544FC"/>
    <w:rsid w:val="00456AC2"/>
    <w:rsid w:val="00457A2F"/>
    <w:rsid w:val="00457DB1"/>
    <w:rsid w:val="00473E3E"/>
    <w:rsid w:val="00475FAA"/>
    <w:rsid w:val="0047766A"/>
    <w:rsid w:val="00477B1C"/>
    <w:rsid w:val="0048005A"/>
    <w:rsid w:val="00480E9D"/>
    <w:rsid w:val="00484672"/>
    <w:rsid w:val="004855F8"/>
    <w:rsid w:val="00485E8F"/>
    <w:rsid w:val="00487EC6"/>
    <w:rsid w:val="00494E2A"/>
    <w:rsid w:val="00495E1A"/>
    <w:rsid w:val="004A0DF7"/>
    <w:rsid w:val="004A1A46"/>
    <w:rsid w:val="004A383B"/>
    <w:rsid w:val="004A54C7"/>
    <w:rsid w:val="004B2F8B"/>
    <w:rsid w:val="004B3449"/>
    <w:rsid w:val="004B5C0F"/>
    <w:rsid w:val="004C0F0C"/>
    <w:rsid w:val="004C2A00"/>
    <w:rsid w:val="004C3791"/>
    <w:rsid w:val="004C3871"/>
    <w:rsid w:val="004C477B"/>
    <w:rsid w:val="004C65D0"/>
    <w:rsid w:val="004C7B00"/>
    <w:rsid w:val="004C7CBF"/>
    <w:rsid w:val="004D1421"/>
    <w:rsid w:val="004D4F59"/>
    <w:rsid w:val="004D5DA1"/>
    <w:rsid w:val="004D64C9"/>
    <w:rsid w:val="004E0A23"/>
    <w:rsid w:val="004E0AE9"/>
    <w:rsid w:val="004E1019"/>
    <w:rsid w:val="004E16F4"/>
    <w:rsid w:val="004E321D"/>
    <w:rsid w:val="004E4B7B"/>
    <w:rsid w:val="004F381A"/>
    <w:rsid w:val="005015E2"/>
    <w:rsid w:val="005026A8"/>
    <w:rsid w:val="005051EC"/>
    <w:rsid w:val="00506093"/>
    <w:rsid w:val="00511340"/>
    <w:rsid w:val="0051152C"/>
    <w:rsid w:val="00511FD5"/>
    <w:rsid w:val="005124FE"/>
    <w:rsid w:val="005143FC"/>
    <w:rsid w:val="00515306"/>
    <w:rsid w:val="005165A5"/>
    <w:rsid w:val="005170A0"/>
    <w:rsid w:val="00517567"/>
    <w:rsid w:val="005216F6"/>
    <w:rsid w:val="005225C9"/>
    <w:rsid w:val="0052436D"/>
    <w:rsid w:val="005245C0"/>
    <w:rsid w:val="00530022"/>
    <w:rsid w:val="005311F6"/>
    <w:rsid w:val="0053226F"/>
    <w:rsid w:val="00533066"/>
    <w:rsid w:val="005333AE"/>
    <w:rsid w:val="00534217"/>
    <w:rsid w:val="0053570B"/>
    <w:rsid w:val="005362AF"/>
    <w:rsid w:val="005368D0"/>
    <w:rsid w:val="00547308"/>
    <w:rsid w:val="00547AF1"/>
    <w:rsid w:val="00550657"/>
    <w:rsid w:val="00551047"/>
    <w:rsid w:val="005512DF"/>
    <w:rsid w:val="005522B8"/>
    <w:rsid w:val="005547BA"/>
    <w:rsid w:val="00556138"/>
    <w:rsid w:val="00556511"/>
    <w:rsid w:val="00562002"/>
    <w:rsid w:val="005653E1"/>
    <w:rsid w:val="005670F3"/>
    <w:rsid w:val="00571F06"/>
    <w:rsid w:val="00572A6E"/>
    <w:rsid w:val="005740A2"/>
    <w:rsid w:val="00575330"/>
    <w:rsid w:val="0057543E"/>
    <w:rsid w:val="005755E4"/>
    <w:rsid w:val="005760AD"/>
    <w:rsid w:val="005762E8"/>
    <w:rsid w:val="00576368"/>
    <w:rsid w:val="005800DF"/>
    <w:rsid w:val="0058032E"/>
    <w:rsid w:val="005820D3"/>
    <w:rsid w:val="005824A8"/>
    <w:rsid w:val="00582F0F"/>
    <w:rsid w:val="00586F7D"/>
    <w:rsid w:val="00591DD9"/>
    <w:rsid w:val="0059205E"/>
    <w:rsid w:val="00593139"/>
    <w:rsid w:val="00597F56"/>
    <w:rsid w:val="005A100B"/>
    <w:rsid w:val="005A42E1"/>
    <w:rsid w:val="005A442E"/>
    <w:rsid w:val="005A4AA2"/>
    <w:rsid w:val="005A5E8E"/>
    <w:rsid w:val="005B21E0"/>
    <w:rsid w:val="005B24A2"/>
    <w:rsid w:val="005B283E"/>
    <w:rsid w:val="005B5AE6"/>
    <w:rsid w:val="005B6040"/>
    <w:rsid w:val="005B7713"/>
    <w:rsid w:val="005B7B1B"/>
    <w:rsid w:val="005C0A34"/>
    <w:rsid w:val="005C18B5"/>
    <w:rsid w:val="005C2577"/>
    <w:rsid w:val="005C28D6"/>
    <w:rsid w:val="005C359E"/>
    <w:rsid w:val="005C432D"/>
    <w:rsid w:val="005C7255"/>
    <w:rsid w:val="005C74D7"/>
    <w:rsid w:val="005C788C"/>
    <w:rsid w:val="005D154F"/>
    <w:rsid w:val="005D28AA"/>
    <w:rsid w:val="005D2A93"/>
    <w:rsid w:val="005D2FD9"/>
    <w:rsid w:val="005D4D9A"/>
    <w:rsid w:val="005D6FBD"/>
    <w:rsid w:val="005E05C0"/>
    <w:rsid w:val="005E289B"/>
    <w:rsid w:val="005E2A57"/>
    <w:rsid w:val="005E4517"/>
    <w:rsid w:val="005E4A13"/>
    <w:rsid w:val="005E64E6"/>
    <w:rsid w:val="005E75D1"/>
    <w:rsid w:val="005E775A"/>
    <w:rsid w:val="005F2FBF"/>
    <w:rsid w:val="005F3F1A"/>
    <w:rsid w:val="005F441F"/>
    <w:rsid w:val="005F557F"/>
    <w:rsid w:val="005F6910"/>
    <w:rsid w:val="0060254A"/>
    <w:rsid w:val="006027A4"/>
    <w:rsid w:val="006037B0"/>
    <w:rsid w:val="00607EC9"/>
    <w:rsid w:val="00610FC4"/>
    <w:rsid w:val="006122C1"/>
    <w:rsid w:val="00612323"/>
    <w:rsid w:val="006128B7"/>
    <w:rsid w:val="00613041"/>
    <w:rsid w:val="00616587"/>
    <w:rsid w:val="006175FD"/>
    <w:rsid w:val="0062090F"/>
    <w:rsid w:val="00621DBA"/>
    <w:rsid w:val="00622218"/>
    <w:rsid w:val="006229F3"/>
    <w:rsid w:val="00623DE9"/>
    <w:rsid w:val="00625947"/>
    <w:rsid w:val="00627AB9"/>
    <w:rsid w:val="00630F3B"/>
    <w:rsid w:val="00631812"/>
    <w:rsid w:val="00633B37"/>
    <w:rsid w:val="006357E0"/>
    <w:rsid w:val="00635D6B"/>
    <w:rsid w:val="0063774F"/>
    <w:rsid w:val="006438CE"/>
    <w:rsid w:val="00644A7D"/>
    <w:rsid w:val="00644AB7"/>
    <w:rsid w:val="00645ECA"/>
    <w:rsid w:val="00653CC7"/>
    <w:rsid w:val="00660E12"/>
    <w:rsid w:val="00660E38"/>
    <w:rsid w:val="006634EA"/>
    <w:rsid w:val="00665380"/>
    <w:rsid w:val="006655D3"/>
    <w:rsid w:val="006672EB"/>
    <w:rsid w:val="0067459D"/>
    <w:rsid w:val="006755AB"/>
    <w:rsid w:val="00675DF9"/>
    <w:rsid w:val="00677923"/>
    <w:rsid w:val="00683891"/>
    <w:rsid w:val="00685BAC"/>
    <w:rsid w:val="00686594"/>
    <w:rsid w:val="006925DE"/>
    <w:rsid w:val="0069363D"/>
    <w:rsid w:val="006960AD"/>
    <w:rsid w:val="00696AC4"/>
    <w:rsid w:val="006A0122"/>
    <w:rsid w:val="006A0BBE"/>
    <w:rsid w:val="006A3EF9"/>
    <w:rsid w:val="006A40CF"/>
    <w:rsid w:val="006A4B44"/>
    <w:rsid w:val="006B41CD"/>
    <w:rsid w:val="006B4C5A"/>
    <w:rsid w:val="006B5582"/>
    <w:rsid w:val="006C175A"/>
    <w:rsid w:val="006C51C0"/>
    <w:rsid w:val="006C5E80"/>
    <w:rsid w:val="006D2384"/>
    <w:rsid w:val="006D6A06"/>
    <w:rsid w:val="006E1C84"/>
    <w:rsid w:val="006E2247"/>
    <w:rsid w:val="006E35A5"/>
    <w:rsid w:val="006E3E7D"/>
    <w:rsid w:val="006E4778"/>
    <w:rsid w:val="006E774B"/>
    <w:rsid w:val="006F2294"/>
    <w:rsid w:val="006F25E9"/>
    <w:rsid w:val="006F31B0"/>
    <w:rsid w:val="006F3F1E"/>
    <w:rsid w:val="006F7EB6"/>
    <w:rsid w:val="00700148"/>
    <w:rsid w:val="00704B46"/>
    <w:rsid w:val="0070507A"/>
    <w:rsid w:val="00705A16"/>
    <w:rsid w:val="00705C1E"/>
    <w:rsid w:val="00705E83"/>
    <w:rsid w:val="00707AF7"/>
    <w:rsid w:val="00711AE9"/>
    <w:rsid w:val="00711BE8"/>
    <w:rsid w:val="00713024"/>
    <w:rsid w:val="007144D8"/>
    <w:rsid w:val="00716B83"/>
    <w:rsid w:val="0072098D"/>
    <w:rsid w:val="00720F51"/>
    <w:rsid w:val="00721C92"/>
    <w:rsid w:val="0072232A"/>
    <w:rsid w:val="0072267E"/>
    <w:rsid w:val="0072473F"/>
    <w:rsid w:val="00725006"/>
    <w:rsid w:val="00725D7E"/>
    <w:rsid w:val="00731657"/>
    <w:rsid w:val="0073240E"/>
    <w:rsid w:val="007344EE"/>
    <w:rsid w:val="00735B9E"/>
    <w:rsid w:val="007377EB"/>
    <w:rsid w:val="0074037F"/>
    <w:rsid w:val="0074474D"/>
    <w:rsid w:val="00747EDE"/>
    <w:rsid w:val="007502C3"/>
    <w:rsid w:val="00750761"/>
    <w:rsid w:val="0075659C"/>
    <w:rsid w:val="007606FB"/>
    <w:rsid w:val="00765FEF"/>
    <w:rsid w:val="00770050"/>
    <w:rsid w:val="00770A7E"/>
    <w:rsid w:val="007719D8"/>
    <w:rsid w:val="007728B9"/>
    <w:rsid w:val="00772D4A"/>
    <w:rsid w:val="00773D76"/>
    <w:rsid w:val="0077609F"/>
    <w:rsid w:val="007815AD"/>
    <w:rsid w:val="007868B7"/>
    <w:rsid w:val="00791631"/>
    <w:rsid w:val="00795909"/>
    <w:rsid w:val="00796BD7"/>
    <w:rsid w:val="00797DBD"/>
    <w:rsid w:val="00797E14"/>
    <w:rsid w:val="007A0E58"/>
    <w:rsid w:val="007A70D2"/>
    <w:rsid w:val="007A7EB9"/>
    <w:rsid w:val="007B252B"/>
    <w:rsid w:val="007C1CF8"/>
    <w:rsid w:val="007C24FB"/>
    <w:rsid w:val="007C26CB"/>
    <w:rsid w:val="007C3280"/>
    <w:rsid w:val="007D1C61"/>
    <w:rsid w:val="007D3086"/>
    <w:rsid w:val="007D483A"/>
    <w:rsid w:val="007D5516"/>
    <w:rsid w:val="007D5E50"/>
    <w:rsid w:val="007D6C3B"/>
    <w:rsid w:val="007E3050"/>
    <w:rsid w:val="00800044"/>
    <w:rsid w:val="00802E6C"/>
    <w:rsid w:val="00803AE3"/>
    <w:rsid w:val="0080492D"/>
    <w:rsid w:val="008127C6"/>
    <w:rsid w:val="008128F2"/>
    <w:rsid w:val="00814D71"/>
    <w:rsid w:val="00815534"/>
    <w:rsid w:val="008163BC"/>
    <w:rsid w:val="008209CF"/>
    <w:rsid w:val="00824F3D"/>
    <w:rsid w:val="0083518E"/>
    <w:rsid w:val="00836B73"/>
    <w:rsid w:val="008371CC"/>
    <w:rsid w:val="00837C68"/>
    <w:rsid w:val="008403DE"/>
    <w:rsid w:val="00841F87"/>
    <w:rsid w:val="00850486"/>
    <w:rsid w:val="00850B3D"/>
    <w:rsid w:val="0085594C"/>
    <w:rsid w:val="00856A7D"/>
    <w:rsid w:val="00857796"/>
    <w:rsid w:val="0086077D"/>
    <w:rsid w:val="00861AD3"/>
    <w:rsid w:val="0086290E"/>
    <w:rsid w:val="008663B1"/>
    <w:rsid w:val="0086690E"/>
    <w:rsid w:val="00870876"/>
    <w:rsid w:val="008721A8"/>
    <w:rsid w:val="0087563C"/>
    <w:rsid w:val="00880AFA"/>
    <w:rsid w:val="00881BCF"/>
    <w:rsid w:val="00881D1E"/>
    <w:rsid w:val="008828F5"/>
    <w:rsid w:val="00882BD6"/>
    <w:rsid w:val="00883F3E"/>
    <w:rsid w:val="00885541"/>
    <w:rsid w:val="00890427"/>
    <w:rsid w:val="00892505"/>
    <w:rsid w:val="008926ED"/>
    <w:rsid w:val="00895426"/>
    <w:rsid w:val="008A7B8A"/>
    <w:rsid w:val="008B3E08"/>
    <w:rsid w:val="008B589A"/>
    <w:rsid w:val="008B7501"/>
    <w:rsid w:val="008C1545"/>
    <w:rsid w:val="008C1797"/>
    <w:rsid w:val="008C3D70"/>
    <w:rsid w:val="008C3E08"/>
    <w:rsid w:val="008C613E"/>
    <w:rsid w:val="008D0FCC"/>
    <w:rsid w:val="008D1A5A"/>
    <w:rsid w:val="008D4C93"/>
    <w:rsid w:val="008D5077"/>
    <w:rsid w:val="008E1523"/>
    <w:rsid w:val="008E5A4B"/>
    <w:rsid w:val="008E5A69"/>
    <w:rsid w:val="008E7CFD"/>
    <w:rsid w:val="008F1FFF"/>
    <w:rsid w:val="008F22F3"/>
    <w:rsid w:val="008F2CC4"/>
    <w:rsid w:val="008F60C9"/>
    <w:rsid w:val="008F65EC"/>
    <w:rsid w:val="008F7B8D"/>
    <w:rsid w:val="00907711"/>
    <w:rsid w:val="00907D97"/>
    <w:rsid w:val="009119E7"/>
    <w:rsid w:val="00913088"/>
    <w:rsid w:val="0091677A"/>
    <w:rsid w:val="00917401"/>
    <w:rsid w:val="00920A9D"/>
    <w:rsid w:val="00921FBB"/>
    <w:rsid w:val="00922E29"/>
    <w:rsid w:val="00922F4F"/>
    <w:rsid w:val="00923432"/>
    <w:rsid w:val="00925140"/>
    <w:rsid w:val="00931E62"/>
    <w:rsid w:val="00933006"/>
    <w:rsid w:val="0093584A"/>
    <w:rsid w:val="009363E0"/>
    <w:rsid w:val="00940766"/>
    <w:rsid w:val="00941B11"/>
    <w:rsid w:val="00943798"/>
    <w:rsid w:val="00944989"/>
    <w:rsid w:val="00945425"/>
    <w:rsid w:val="00946D3A"/>
    <w:rsid w:val="00947786"/>
    <w:rsid w:val="00953481"/>
    <w:rsid w:val="00954EC0"/>
    <w:rsid w:val="0095716B"/>
    <w:rsid w:val="00961637"/>
    <w:rsid w:val="00965A8A"/>
    <w:rsid w:val="00966249"/>
    <w:rsid w:val="00967604"/>
    <w:rsid w:val="00976041"/>
    <w:rsid w:val="0097729B"/>
    <w:rsid w:val="00984075"/>
    <w:rsid w:val="00985A4B"/>
    <w:rsid w:val="00985D15"/>
    <w:rsid w:val="009902A1"/>
    <w:rsid w:val="00990BE4"/>
    <w:rsid w:val="00993C69"/>
    <w:rsid w:val="00994D07"/>
    <w:rsid w:val="009955F1"/>
    <w:rsid w:val="009A56EF"/>
    <w:rsid w:val="009A638D"/>
    <w:rsid w:val="009A6550"/>
    <w:rsid w:val="009A6ED7"/>
    <w:rsid w:val="009B22EB"/>
    <w:rsid w:val="009B5011"/>
    <w:rsid w:val="009C1B78"/>
    <w:rsid w:val="009C2BDD"/>
    <w:rsid w:val="009E3613"/>
    <w:rsid w:val="009E3617"/>
    <w:rsid w:val="009E5282"/>
    <w:rsid w:val="009E731C"/>
    <w:rsid w:val="009F01CA"/>
    <w:rsid w:val="009F367B"/>
    <w:rsid w:val="009F3CD0"/>
    <w:rsid w:val="009F5F8F"/>
    <w:rsid w:val="009F6378"/>
    <w:rsid w:val="00A03A69"/>
    <w:rsid w:val="00A0659C"/>
    <w:rsid w:val="00A079CA"/>
    <w:rsid w:val="00A12F9E"/>
    <w:rsid w:val="00A14923"/>
    <w:rsid w:val="00A15806"/>
    <w:rsid w:val="00A1626C"/>
    <w:rsid w:val="00A174E4"/>
    <w:rsid w:val="00A21704"/>
    <w:rsid w:val="00A219AF"/>
    <w:rsid w:val="00A21C5E"/>
    <w:rsid w:val="00A22988"/>
    <w:rsid w:val="00A24FA2"/>
    <w:rsid w:val="00A3002A"/>
    <w:rsid w:val="00A3207E"/>
    <w:rsid w:val="00A3235D"/>
    <w:rsid w:val="00A33D2E"/>
    <w:rsid w:val="00A352C3"/>
    <w:rsid w:val="00A36042"/>
    <w:rsid w:val="00A364E7"/>
    <w:rsid w:val="00A43FBA"/>
    <w:rsid w:val="00A468D1"/>
    <w:rsid w:val="00A52D45"/>
    <w:rsid w:val="00A54313"/>
    <w:rsid w:val="00A54DC4"/>
    <w:rsid w:val="00A552E7"/>
    <w:rsid w:val="00A564A3"/>
    <w:rsid w:val="00A61472"/>
    <w:rsid w:val="00A63391"/>
    <w:rsid w:val="00A65ADD"/>
    <w:rsid w:val="00A70A76"/>
    <w:rsid w:val="00A70B53"/>
    <w:rsid w:val="00A76177"/>
    <w:rsid w:val="00A77A3C"/>
    <w:rsid w:val="00A8775E"/>
    <w:rsid w:val="00A87923"/>
    <w:rsid w:val="00A9158D"/>
    <w:rsid w:val="00A94C57"/>
    <w:rsid w:val="00A95804"/>
    <w:rsid w:val="00AA1919"/>
    <w:rsid w:val="00AA1AF6"/>
    <w:rsid w:val="00AA23A2"/>
    <w:rsid w:val="00AA29D7"/>
    <w:rsid w:val="00AA5848"/>
    <w:rsid w:val="00AB0F0D"/>
    <w:rsid w:val="00AB559C"/>
    <w:rsid w:val="00AB61E2"/>
    <w:rsid w:val="00AB65ED"/>
    <w:rsid w:val="00AB7F6F"/>
    <w:rsid w:val="00AC0DA4"/>
    <w:rsid w:val="00AC1374"/>
    <w:rsid w:val="00AC3FD0"/>
    <w:rsid w:val="00AC5754"/>
    <w:rsid w:val="00AD3F9E"/>
    <w:rsid w:val="00AD671D"/>
    <w:rsid w:val="00AD70AF"/>
    <w:rsid w:val="00AE109A"/>
    <w:rsid w:val="00AE28AB"/>
    <w:rsid w:val="00AE35BD"/>
    <w:rsid w:val="00AE75AB"/>
    <w:rsid w:val="00AE7E7D"/>
    <w:rsid w:val="00AF01CF"/>
    <w:rsid w:val="00AF0B0F"/>
    <w:rsid w:val="00AF184F"/>
    <w:rsid w:val="00AF1ABD"/>
    <w:rsid w:val="00AF3D40"/>
    <w:rsid w:val="00AF47D6"/>
    <w:rsid w:val="00AF71AC"/>
    <w:rsid w:val="00AF7978"/>
    <w:rsid w:val="00B006AC"/>
    <w:rsid w:val="00B0454B"/>
    <w:rsid w:val="00B0513D"/>
    <w:rsid w:val="00B160C1"/>
    <w:rsid w:val="00B168DE"/>
    <w:rsid w:val="00B16A17"/>
    <w:rsid w:val="00B17D28"/>
    <w:rsid w:val="00B17E38"/>
    <w:rsid w:val="00B21A89"/>
    <w:rsid w:val="00B22FAF"/>
    <w:rsid w:val="00B2474C"/>
    <w:rsid w:val="00B2515A"/>
    <w:rsid w:val="00B324B0"/>
    <w:rsid w:val="00B34993"/>
    <w:rsid w:val="00B34CBB"/>
    <w:rsid w:val="00B35D3A"/>
    <w:rsid w:val="00B41A0B"/>
    <w:rsid w:val="00B42C02"/>
    <w:rsid w:val="00B4608F"/>
    <w:rsid w:val="00B46502"/>
    <w:rsid w:val="00B467AE"/>
    <w:rsid w:val="00B470F0"/>
    <w:rsid w:val="00B50EB9"/>
    <w:rsid w:val="00B5129C"/>
    <w:rsid w:val="00B51D72"/>
    <w:rsid w:val="00B53786"/>
    <w:rsid w:val="00B56D89"/>
    <w:rsid w:val="00B6010D"/>
    <w:rsid w:val="00B617FD"/>
    <w:rsid w:val="00B620BA"/>
    <w:rsid w:val="00B6265E"/>
    <w:rsid w:val="00B64CE4"/>
    <w:rsid w:val="00B67DB5"/>
    <w:rsid w:val="00B75118"/>
    <w:rsid w:val="00B76B0A"/>
    <w:rsid w:val="00B813E1"/>
    <w:rsid w:val="00B81B26"/>
    <w:rsid w:val="00B81ED0"/>
    <w:rsid w:val="00B82C58"/>
    <w:rsid w:val="00B83EE5"/>
    <w:rsid w:val="00B87791"/>
    <w:rsid w:val="00B90A15"/>
    <w:rsid w:val="00B92104"/>
    <w:rsid w:val="00B93E59"/>
    <w:rsid w:val="00B9439A"/>
    <w:rsid w:val="00B959B2"/>
    <w:rsid w:val="00B97BA8"/>
    <w:rsid w:val="00BA280F"/>
    <w:rsid w:val="00BA3415"/>
    <w:rsid w:val="00BB02EB"/>
    <w:rsid w:val="00BB087E"/>
    <w:rsid w:val="00BB3220"/>
    <w:rsid w:val="00BB438D"/>
    <w:rsid w:val="00BB5846"/>
    <w:rsid w:val="00BB69DB"/>
    <w:rsid w:val="00BC0508"/>
    <w:rsid w:val="00BC1CFF"/>
    <w:rsid w:val="00BC28A8"/>
    <w:rsid w:val="00BC2DA4"/>
    <w:rsid w:val="00BC3BBF"/>
    <w:rsid w:val="00BC41BF"/>
    <w:rsid w:val="00BC58AE"/>
    <w:rsid w:val="00BD3819"/>
    <w:rsid w:val="00BD47A7"/>
    <w:rsid w:val="00BD7975"/>
    <w:rsid w:val="00BE374B"/>
    <w:rsid w:val="00BE4E0E"/>
    <w:rsid w:val="00BE5424"/>
    <w:rsid w:val="00BE5694"/>
    <w:rsid w:val="00BE5ADD"/>
    <w:rsid w:val="00BE747C"/>
    <w:rsid w:val="00C00066"/>
    <w:rsid w:val="00C01EF3"/>
    <w:rsid w:val="00C02A2B"/>
    <w:rsid w:val="00C02AAE"/>
    <w:rsid w:val="00C0440B"/>
    <w:rsid w:val="00C14353"/>
    <w:rsid w:val="00C23A6F"/>
    <w:rsid w:val="00C242AC"/>
    <w:rsid w:val="00C24847"/>
    <w:rsid w:val="00C270D3"/>
    <w:rsid w:val="00C30D3D"/>
    <w:rsid w:val="00C3123B"/>
    <w:rsid w:val="00C313E5"/>
    <w:rsid w:val="00C327F3"/>
    <w:rsid w:val="00C332A5"/>
    <w:rsid w:val="00C34936"/>
    <w:rsid w:val="00C35D1C"/>
    <w:rsid w:val="00C36307"/>
    <w:rsid w:val="00C43A48"/>
    <w:rsid w:val="00C47AE2"/>
    <w:rsid w:val="00C47FDE"/>
    <w:rsid w:val="00C51A4C"/>
    <w:rsid w:val="00C52E83"/>
    <w:rsid w:val="00C54866"/>
    <w:rsid w:val="00C54A69"/>
    <w:rsid w:val="00C565E8"/>
    <w:rsid w:val="00C57EF6"/>
    <w:rsid w:val="00C634B1"/>
    <w:rsid w:val="00C63A92"/>
    <w:rsid w:val="00C666E8"/>
    <w:rsid w:val="00C72E1F"/>
    <w:rsid w:val="00C73790"/>
    <w:rsid w:val="00C746F1"/>
    <w:rsid w:val="00C81BE2"/>
    <w:rsid w:val="00C82F5F"/>
    <w:rsid w:val="00C83F23"/>
    <w:rsid w:val="00C86225"/>
    <w:rsid w:val="00C906A2"/>
    <w:rsid w:val="00C909EF"/>
    <w:rsid w:val="00C91237"/>
    <w:rsid w:val="00C91513"/>
    <w:rsid w:val="00C91DA6"/>
    <w:rsid w:val="00CA0662"/>
    <w:rsid w:val="00CA0B20"/>
    <w:rsid w:val="00CA198D"/>
    <w:rsid w:val="00CA2765"/>
    <w:rsid w:val="00CA29E0"/>
    <w:rsid w:val="00CA56E7"/>
    <w:rsid w:val="00CA75DA"/>
    <w:rsid w:val="00CA79F8"/>
    <w:rsid w:val="00CA7F16"/>
    <w:rsid w:val="00CB7D42"/>
    <w:rsid w:val="00CC068D"/>
    <w:rsid w:val="00CC069A"/>
    <w:rsid w:val="00CC521E"/>
    <w:rsid w:val="00CC72E9"/>
    <w:rsid w:val="00CD419A"/>
    <w:rsid w:val="00CE65EF"/>
    <w:rsid w:val="00CE6F0C"/>
    <w:rsid w:val="00CF3D33"/>
    <w:rsid w:val="00CF4042"/>
    <w:rsid w:val="00CF56D3"/>
    <w:rsid w:val="00CF6856"/>
    <w:rsid w:val="00CF77D9"/>
    <w:rsid w:val="00D045C1"/>
    <w:rsid w:val="00D10F47"/>
    <w:rsid w:val="00D13031"/>
    <w:rsid w:val="00D14BFF"/>
    <w:rsid w:val="00D170D3"/>
    <w:rsid w:val="00D200A4"/>
    <w:rsid w:val="00D21EEC"/>
    <w:rsid w:val="00D2436F"/>
    <w:rsid w:val="00D30120"/>
    <w:rsid w:val="00D37BF0"/>
    <w:rsid w:val="00D42AE0"/>
    <w:rsid w:val="00D467CD"/>
    <w:rsid w:val="00D539A6"/>
    <w:rsid w:val="00D548AE"/>
    <w:rsid w:val="00D56C3A"/>
    <w:rsid w:val="00D57F80"/>
    <w:rsid w:val="00D601CE"/>
    <w:rsid w:val="00D60D2D"/>
    <w:rsid w:val="00D60E8C"/>
    <w:rsid w:val="00D63A9E"/>
    <w:rsid w:val="00D64A48"/>
    <w:rsid w:val="00D67D98"/>
    <w:rsid w:val="00D67F36"/>
    <w:rsid w:val="00D700C6"/>
    <w:rsid w:val="00D7188D"/>
    <w:rsid w:val="00D74368"/>
    <w:rsid w:val="00D76018"/>
    <w:rsid w:val="00D7641B"/>
    <w:rsid w:val="00D764A2"/>
    <w:rsid w:val="00D776B9"/>
    <w:rsid w:val="00D83B8A"/>
    <w:rsid w:val="00D878BB"/>
    <w:rsid w:val="00D9123F"/>
    <w:rsid w:val="00D93E74"/>
    <w:rsid w:val="00D9427F"/>
    <w:rsid w:val="00D94629"/>
    <w:rsid w:val="00DA2490"/>
    <w:rsid w:val="00DA2C71"/>
    <w:rsid w:val="00DA7E57"/>
    <w:rsid w:val="00DB0A57"/>
    <w:rsid w:val="00DB1C12"/>
    <w:rsid w:val="00DB21C4"/>
    <w:rsid w:val="00DB3EC4"/>
    <w:rsid w:val="00DB45C1"/>
    <w:rsid w:val="00DB4F89"/>
    <w:rsid w:val="00DB5034"/>
    <w:rsid w:val="00DB561D"/>
    <w:rsid w:val="00DB7505"/>
    <w:rsid w:val="00DC4B7F"/>
    <w:rsid w:val="00DC7955"/>
    <w:rsid w:val="00DC7F67"/>
    <w:rsid w:val="00DD2B5F"/>
    <w:rsid w:val="00DD6BC5"/>
    <w:rsid w:val="00DD6E11"/>
    <w:rsid w:val="00DE24D8"/>
    <w:rsid w:val="00DE2D59"/>
    <w:rsid w:val="00DE2FA9"/>
    <w:rsid w:val="00DE36C9"/>
    <w:rsid w:val="00DE5273"/>
    <w:rsid w:val="00DE6EC6"/>
    <w:rsid w:val="00DF6344"/>
    <w:rsid w:val="00E0153A"/>
    <w:rsid w:val="00E018BC"/>
    <w:rsid w:val="00E02FCC"/>
    <w:rsid w:val="00E02FE6"/>
    <w:rsid w:val="00E0395E"/>
    <w:rsid w:val="00E03C2C"/>
    <w:rsid w:val="00E042C6"/>
    <w:rsid w:val="00E07129"/>
    <w:rsid w:val="00E14A09"/>
    <w:rsid w:val="00E1555D"/>
    <w:rsid w:val="00E1637C"/>
    <w:rsid w:val="00E200E7"/>
    <w:rsid w:val="00E22E1A"/>
    <w:rsid w:val="00E243BE"/>
    <w:rsid w:val="00E250E3"/>
    <w:rsid w:val="00E271F9"/>
    <w:rsid w:val="00E27435"/>
    <w:rsid w:val="00E27AFC"/>
    <w:rsid w:val="00E30545"/>
    <w:rsid w:val="00E31576"/>
    <w:rsid w:val="00E3194D"/>
    <w:rsid w:val="00E31DC1"/>
    <w:rsid w:val="00E32EE2"/>
    <w:rsid w:val="00E379C8"/>
    <w:rsid w:val="00E37E72"/>
    <w:rsid w:val="00E466FD"/>
    <w:rsid w:val="00E508CF"/>
    <w:rsid w:val="00E5221C"/>
    <w:rsid w:val="00E53029"/>
    <w:rsid w:val="00E5659D"/>
    <w:rsid w:val="00E56C54"/>
    <w:rsid w:val="00E607AA"/>
    <w:rsid w:val="00E60B70"/>
    <w:rsid w:val="00E6101C"/>
    <w:rsid w:val="00E619EF"/>
    <w:rsid w:val="00E6305E"/>
    <w:rsid w:val="00E6512A"/>
    <w:rsid w:val="00E65ADC"/>
    <w:rsid w:val="00E66494"/>
    <w:rsid w:val="00E727AF"/>
    <w:rsid w:val="00E7424B"/>
    <w:rsid w:val="00E74C5E"/>
    <w:rsid w:val="00E804B8"/>
    <w:rsid w:val="00E82173"/>
    <w:rsid w:val="00E832B4"/>
    <w:rsid w:val="00E84BAA"/>
    <w:rsid w:val="00E85FDC"/>
    <w:rsid w:val="00E86B38"/>
    <w:rsid w:val="00E92F69"/>
    <w:rsid w:val="00E930E9"/>
    <w:rsid w:val="00E9533C"/>
    <w:rsid w:val="00E95DFE"/>
    <w:rsid w:val="00E95F13"/>
    <w:rsid w:val="00E96364"/>
    <w:rsid w:val="00E965C6"/>
    <w:rsid w:val="00EA01B0"/>
    <w:rsid w:val="00EA0562"/>
    <w:rsid w:val="00EA0A1E"/>
    <w:rsid w:val="00EA0C40"/>
    <w:rsid w:val="00EA1933"/>
    <w:rsid w:val="00EA2061"/>
    <w:rsid w:val="00EA3EFB"/>
    <w:rsid w:val="00EA61DD"/>
    <w:rsid w:val="00EB06FC"/>
    <w:rsid w:val="00EB2BAE"/>
    <w:rsid w:val="00EB45CF"/>
    <w:rsid w:val="00EB49E9"/>
    <w:rsid w:val="00EB4AA1"/>
    <w:rsid w:val="00EB5B2B"/>
    <w:rsid w:val="00EB67C6"/>
    <w:rsid w:val="00EC21D5"/>
    <w:rsid w:val="00EC27D6"/>
    <w:rsid w:val="00EC4017"/>
    <w:rsid w:val="00ED720D"/>
    <w:rsid w:val="00ED7A46"/>
    <w:rsid w:val="00EE07BA"/>
    <w:rsid w:val="00EE0AC7"/>
    <w:rsid w:val="00EE0FA6"/>
    <w:rsid w:val="00EE16AC"/>
    <w:rsid w:val="00EE2537"/>
    <w:rsid w:val="00EE26C5"/>
    <w:rsid w:val="00EE524E"/>
    <w:rsid w:val="00EE7C16"/>
    <w:rsid w:val="00EF098F"/>
    <w:rsid w:val="00EF66A3"/>
    <w:rsid w:val="00EF7D40"/>
    <w:rsid w:val="00F0167D"/>
    <w:rsid w:val="00F01EFA"/>
    <w:rsid w:val="00F03E73"/>
    <w:rsid w:val="00F1094B"/>
    <w:rsid w:val="00F10EEC"/>
    <w:rsid w:val="00F23501"/>
    <w:rsid w:val="00F25286"/>
    <w:rsid w:val="00F25E94"/>
    <w:rsid w:val="00F26401"/>
    <w:rsid w:val="00F27284"/>
    <w:rsid w:val="00F31E32"/>
    <w:rsid w:val="00F3536A"/>
    <w:rsid w:val="00F36BA0"/>
    <w:rsid w:val="00F471E4"/>
    <w:rsid w:val="00F51025"/>
    <w:rsid w:val="00F516A6"/>
    <w:rsid w:val="00F51986"/>
    <w:rsid w:val="00F6419C"/>
    <w:rsid w:val="00F77E3D"/>
    <w:rsid w:val="00F81293"/>
    <w:rsid w:val="00F83C20"/>
    <w:rsid w:val="00F83FAF"/>
    <w:rsid w:val="00F84240"/>
    <w:rsid w:val="00F86CD7"/>
    <w:rsid w:val="00F90E22"/>
    <w:rsid w:val="00F91942"/>
    <w:rsid w:val="00F93AC9"/>
    <w:rsid w:val="00F94D17"/>
    <w:rsid w:val="00F9617C"/>
    <w:rsid w:val="00FA60D5"/>
    <w:rsid w:val="00FA7D6C"/>
    <w:rsid w:val="00FB1142"/>
    <w:rsid w:val="00FB1C2D"/>
    <w:rsid w:val="00FB323B"/>
    <w:rsid w:val="00FB3E3E"/>
    <w:rsid w:val="00FC07FD"/>
    <w:rsid w:val="00FC282E"/>
    <w:rsid w:val="00FC2948"/>
    <w:rsid w:val="00FC43DC"/>
    <w:rsid w:val="00FC577D"/>
    <w:rsid w:val="00FD1C04"/>
    <w:rsid w:val="00FD48D6"/>
    <w:rsid w:val="00FE057C"/>
    <w:rsid w:val="00FE2091"/>
    <w:rsid w:val="00FE2284"/>
    <w:rsid w:val="00FE2BC7"/>
    <w:rsid w:val="00FE3F38"/>
    <w:rsid w:val="00FE407B"/>
    <w:rsid w:val="00FE6C78"/>
    <w:rsid w:val="00FF078E"/>
    <w:rsid w:val="00FF0B87"/>
    <w:rsid w:val="00FF16BD"/>
    <w:rsid w:val="00FF1A21"/>
    <w:rsid w:val="00FF2692"/>
    <w:rsid w:val="00FF4A3F"/>
    <w:rsid w:val="073F738C"/>
    <w:rsid w:val="17ED6879"/>
    <w:rsid w:val="1D7A6BB9"/>
    <w:rsid w:val="1EEF6EAF"/>
    <w:rsid w:val="2BCFF02A"/>
    <w:rsid w:val="30FF68BC"/>
    <w:rsid w:val="35AF5A93"/>
    <w:rsid w:val="395DD38A"/>
    <w:rsid w:val="3B57DF00"/>
    <w:rsid w:val="3CEBDB56"/>
    <w:rsid w:val="3FAE055A"/>
    <w:rsid w:val="3FE631C3"/>
    <w:rsid w:val="3FEFDD13"/>
    <w:rsid w:val="3FF5F571"/>
    <w:rsid w:val="43FF7048"/>
    <w:rsid w:val="4E73AF08"/>
    <w:rsid w:val="4FF9EF30"/>
    <w:rsid w:val="51CE1339"/>
    <w:rsid w:val="52EF1D64"/>
    <w:rsid w:val="55D65C98"/>
    <w:rsid w:val="55D69522"/>
    <w:rsid w:val="57960D2C"/>
    <w:rsid w:val="59CF5BDD"/>
    <w:rsid w:val="5CE9239E"/>
    <w:rsid w:val="5DEF9176"/>
    <w:rsid w:val="5EEEAED1"/>
    <w:rsid w:val="5F5EB362"/>
    <w:rsid w:val="60EF7ADB"/>
    <w:rsid w:val="60FA14C7"/>
    <w:rsid w:val="66FFDE9A"/>
    <w:rsid w:val="69FEDB0B"/>
    <w:rsid w:val="6C0F6D55"/>
    <w:rsid w:val="6D7E7E1E"/>
    <w:rsid w:val="6FDD596D"/>
    <w:rsid w:val="7747C32F"/>
    <w:rsid w:val="7754C3D2"/>
    <w:rsid w:val="77FF0C6C"/>
    <w:rsid w:val="78BB31B2"/>
    <w:rsid w:val="79D319D0"/>
    <w:rsid w:val="7ADB029A"/>
    <w:rsid w:val="7AFDA2DF"/>
    <w:rsid w:val="7BD7A0B3"/>
    <w:rsid w:val="7BDC4DC6"/>
    <w:rsid w:val="7C5FD36B"/>
    <w:rsid w:val="7DEECE0B"/>
    <w:rsid w:val="7DEF777F"/>
    <w:rsid w:val="7EDFE888"/>
    <w:rsid w:val="7EF1C46D"/>
    <w:rsid w:val="7F570974"/>
    <w:rsid w:val="7F7316BA"/>
    <w:rsid w:val="7FB3F34B"/>
    <w:rsid w:val="7FBB541A"/>
    <w:rsid w:val="7FCF8603"/>
    <w:rsid w:val="7FDDE447"/>
    <w:rsid w:val="7FEFB39D"/>
    <w:rsid w:val="7FFAC536"/>
    <w:rsid w:val="7FFDEEC0"/>
    <w:rsid w:val="7FFEE644"/>
    <w:rsid w:val="A3FFE881"/>
    <w:rsid w:val="AC5F0DDD"/>
    <w:rsid w:val="AF1F8C87"/>
    <w:rsid w:val="B39EE037"/>
    <w:rsid w:val="B3AF21A8"/>
    <w:rsid w:val="B5E7B65E"/>
    <w:rsid w:val="B6ED3564"/>
    <w:rsid w:val="BCFF8556"/>
    <w:rsid w:val="BDBFFC3D"/>
    <w:rsid w:val="BDEF7AE0"/>
    <w:rsid w:val="BECF1F44"/>
    <w:rsid w:val="BF1F15FB"/>
    <w:rsid w:val="CB67B5B2"/>
    <w:rsid w:val="D6AFCA38"/>
    <w:rsid w:val="D7F750CA"/>
    <w:rsid w:val="D9EE4271"/>
    <w:rsid w:val="DA9F8553"/>
    <w:rsid w:val="DF6F6BFD"/>
    <w:rsid w:val="DFFBB741"/>
    <w:rsid w:val="DFFF893D"/>
    <w:rsid w:val="E7F30116"/>
    <w:rsid w:val="EDBF3D47"/>
    <w:rsid w:val="EECB9FE5"/>
    <w:rsid w:val="EEDC4E83"/>
    <w:rsid w:val="EF568796"/>
    <w:rsid w:val="EFDF7EAE"/>
    <w:rsid w:val="F21BEB80"/>
    <w:rsid w:val="F43FCB3A"/>
    <w:rsid w:val="F5E796BF"/>
    <w:rsid w:val="F5FFA097"/>
    <w:rsid w:val="F6BE98E1"/>
    <w:rsid w:val="F6E7B4CB"/>
    <w:rsid w:val="F97F2206"/>
    <w:rsid w:val="F9ABF8D1"/>
    <w:rsid w:val="F9EE748E"/>
    <w:rsid w:val="FBF6A260"/>
    <w:rsid w:val="FBFF73AD"/>
    <w:rsid w:val="FCCF2CBF"/>
    <w:rsid w:val="FDD4E0B3"/>
    <w:rsid w:val="FDFBB28E"/>
    <w:rsid w:val="FDFF0B89"/>
    <w:rsid w:val="FE9FA26E"/>
    <w:rsid w:val="FEA7D484"/>
    <w:rsid w:val="FEEF1143"/>
    <w:rsid w:val="FF31E37A"/>
    <w:rsid w:val="FFDE8DB3"/>
    <w:rsid w:val="FFF70763"/>
    <w:rsid w:val="FFF752CA"/>
    <w:rsid w:val="FFFF7156"/>
    <w:rsid w:val="FFFF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 w:locked="1"/>
    <w:lsdException w:qFormat="1" w:uiPriority="9" w:semiHidden="0" w:name="heading 3" w:locked="1"/>
    <w:lsdException w:qFormat="1" w:uiPriority="9" w:semiHidden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qFormat="1" w:unhideWhenUsed="0" w:uiPriority="39" w:semiHidden="0" w:name="toc 1" w:locked="1"/>
    <w:lsdException w:qFormat="1" w:unhideWhenUsed="0" w:uiPriority="39" w:semiHidden="0" w:name="toc 2" w:locked="1"/>
    <w:lsdException w:qFormat="1" w:unhideWhenUsed="0" w:uiPriority="39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99" w:semiHidden="0" w:name="Normal Indent"/>
    <w:lsdException w:unhideWhenUsed="0" w:uiPriority="99" w:semiHidden="0" w:name="footnote text"/>
    <w:lsdException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99" w:semiHidden="0" w:name="index heading"/>
    <w:lsdException w:qFormat="1" w:uiPriority="0" w:name="caption" w:locked="1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unhideWhenUsed="0" w:uiPriority="99" w:semiHidden="0" w:name="footnote reference"/>
    <w:lsdException w:unhideWhenUsed="0" w:uiPriority="99" w:semiHidden="0" w:name="annotation reference"/>
    <w:lsdException w:unhideWhenUsed="0" w:uiPriority="99" w:semiHidden="0" w:name="line number"/>
    <w:lsdException w:qFormat="1" w:unhideWhenUsed="0"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unhideWhenUsed="0" w:uiPriority="99" w:semiHidden="0" w:name="table of authorities"/>
    <w:lsdException w:unhideWhenUsed="0" w:uiPriority="99" w:semiHidden="0" w:name="macro"/>
    <w:lsdException w:unhideWhenUsed="0" w:uiPriority="99" w:semiHidden="0" w:name="toa heading"/>
    <w:lsdException w:unhideWhenUsed="0" w:uiPriority="99" w:semiHidden="0" w:name="List"/>
    <w:lsdException w:unhideWhenUsed="0" w:uiPriority="99" w:semiHidden="0" w:name="List Bullet"/>
    <w:lsdException w:uiPriority="99" w:name="List Number"/>
    <w:lsdException w:unhideWhenUsed="0" w:uiPriority="99" w:semiHidden="0" w:name="List 2"/>
    <w:lsdException w:unhideWhenUsed="0" w:uiPriority="99" w:semiHidden="0" w:name="List 3"/>
    <w:lsdException w:uiPriority="99" w:name="List 4"/>
    <w:lsdException w:uiPriority="99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qFormat="1" w:unhideWhenUsed="0" w:uiPriority="0" w:semiHidden="0" w:name="Title" w:locked="1"/>
    <w:lsdException w:unhideWhenUsed="0" w:uiPriority="99" w:semiHidden="0" w:name="Closing"/>
    <w:lsdException w:unhideWhenUsed="0" w:uiPriority="99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99" w:semiHidden="0" w:name="Body Text Indent"/>
    <w:lsdException w:unhideWhenUsed="0" w:uiPriority="99" w:semiHidden="0" w:name="List Continue"/>
    <w:lsdException w:unhideWhenUsed="0" w:uiPriority="99" w:semiHidden="0" w:name="List Continue 2"/>
    <w:lsdException w:unhideWhenUsed="0" w:uiPriority="99" w:semiHidden="0" w:name="List Continue 3"/>
    <w:lsdException w:unhideWhenUsed="0" w:uiPriority="99" w:semiHidden="0" w:name="List Continue 4"/>
    <w:lsdException w:unhideWhenUsed="0" w:uiPriority="99" w:semiHidden="0" w:name="List Continue 5"/>
    <w:lsdException w:unhideWhenUsed="0" w:uiPriority="99" w:semiHidden="0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unhideWhenUsed="0" w:uiPriority="99" w:semiHidden="0" w:name="Body Text Indent 3"/>
    <w:lsdException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99" w:semiHidden="0" w:name="Document Map"/>
    <w:lsdException w:unhideWhenUsed="0" w:uiPriority="99" w:semiHidden="0" w:name="Plain Text"/>
    <w:lsdException w:unhideWhenUsed="0" w:uiPriority="99" w:semiHidden="0" w:name="E-mail Signature"/>
    <w:lsdException w:unhideWhenUsed="0" w:uiPriority="99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nhideWhenUsed="0" w:uiPriority="99" w:semiHidden="0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qFormat="1" w:uiPriority="99" w:name="Normal Table"/>
    <w:lsdException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ind w:right="-1333"/>
      <w:outlineLvl w:val="0"/>
    </w:pPr>
    <w:rPr>
      <w:sz w:val="28"/>
    </w:rPr>
  </w:style>
  <w:style w:type="paragraph" w:styleId="3">
    <w:name w:val="heading 2"/>
    <w:basedOn w:val="1"/>
    <w:next w:val="1"/>
    <w:link w:val="20"/>
    <w:unhideWhenUsed/>
    <w:qFormat/>
    <w:locked/>
    <w:uiPriority w:val="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21"/>
    <w:unhideWhenUsed/>
    <w:qFormat/>
    <w:locked/>
    <w:uiPriority w:val="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4"/>
    <w:basedOn w:val="1"/>
    <w:next w:val="1"/>
    <w:link w:val="22"/>
    <w:unhideWhenUsed/>
    <w:qFormat/>
    <w:locked/>
    <w:uiPriority w:val="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6"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styleId="10">
    <w:name w:val="page number"/>
    <w:basedOn w:val="6"/>
    <w:qFormat/>
    <w:uiPriority w:val="99"/>
    <w:rPr>
      <w:rFonts w:cs="Times New Roman"/>
    </w:rPr>
  </w:style>
  <w:style w:type="paragraph" w:styleId="11">
    <w:name w:val="Balloon Text"/>
    <w:basedOn w:val="1"/>
    <w:link w:val="30"/>
    <w:semiHidden/>
    <w:qFormat/>
    <w:uiPriority w:val="99"/>
    <w:rPr>
      <w:rFonts w:ascii="Tahoma" w:hAnsi="Tahoma" w:cs="Tahoma"/>
      <w:sz w:val="16"/>
      <w:szCs w:val="16"/>
    </w:rPr>
  </w:style>
  <w:style w:type="paragraph" w:styleId="12">
    <w:name w:val="header"/>
    <w:basedOn w:val="1"/>
    <w:link w:val="23"/>
    <w:qFormat/>
    <w:uiPriority w:val="99"/>
    <w:pPr>
      <w:tabs>
        <w:tab w:val="center" w:pos="4677"/>
        <w:tab w:val="right" w:pos="9355"/>
      </w:tabs>
    </w:pPr>
  </w:style>
  <w:style w:type="paragraph" w:styleId="13">
    <w:name w:val="Body Text"/>
    <w:basedOn w:val="1"/>
    <w:link w:val="42"/>
    <w:qFormat/>
    <w:uiPriority w:val="1"/>
    <w:pPr>
      <w:widowControl w:val="0"/>
      <w:autoSpaceDE w:val="0"/>
      <w:autoSpaceDN w:val="0"/>
    </w:pPr>
    <w:rPr>
      <w:lang w:eastAsia="en-US"/>
    </w:rPr>
  </w:style>
  <w:style w:type="paragraph" w:styleId="14">
    <w:name w:val="toc 1"/>
    <w:basedOn w:val="1"/>
    <w:next w:val="1"/>
    <w:qFormat/>
    <w:locked/>
    <w:uiPriority w:val="39"/>
    <w:pPr>
      <w:tabs>
        <w:tab w:val="right" w:leader="dot" w:pos="9836"/>
      </w:tabs>
    </w:pPr>
  </w:style>
  <w:style w:type="paragraph" w:styleId="15">
    <w:name w:val="toc 3"/>
    <w:basedOn w:val="1"/>
    <w:next w:val="1"/>
    <w:qFormat/>
    <w:locked/>
    <w:uiPriority w:val="39"/>
    <w:pPr>
      <w:tabs>
        <w:tab w:val="right" w:leader="dot" w:pos="9836"/>
      </w:tabs>
      <w:ind w:left="480"/>
    </w:pPr>
  </w:style>
  <w:style w:type="paragraph" w:styleId="16">
    <w:name w:val="toc 2"/>
    <w:basedOn w:val="1"/>
    <w:next w:val="1"/>
    <w:qFormat/>
    <w:locked/>
    <w:uiPriority w:val="39"/>
    <w:pPr>
      <w:ind w:left="240"/>
    </w:pPr>
  </w:style>
  <w:style w:type="paragraph" w:styleId="17">
    <w:name w:val="footer"/>
    <w:basedOn w:val="1"/>
    <w:link w:val="28"/>
    <w:qFormat/>
    <w:uiPriority w:val="99"/>
    <w:pPr>
      <w:tabs>
        <w:tab w:val="center" w:pos="4677"/>
        <w:tab w:val="right" w:pos="9355"/>
      </w:tabs>
    </w:pPr>
  </w:style>
  <w:style w:type="table" w:styleId="18">
    <w:name w:val="Table Grid"/>
    <w:basedOn w:val="7"/>
    <w:qFormat/>
    <w:uiPriority w:val="39"/>
    <w:rPr>
      <w:rFonts w:ascii="Times New Roman" w:hAnsi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9">
    <w:name w:val="Заголовок 1 Знак"/>
    <w:basedOn w:val="6"/>
    <w:link w:val="2"/>
    <w:qFormat/>
    <w:locked/>
    <w:uiPriority w:val="99"/>
    <w:rPr>
      <w:rFonts w:ascii="Times New Roman" w:hAnsi="Times New Roman" w:cs="Times New Roman"/>
      <w:sz w:val="24"/>
      <w:lang w:val="zh-CN" w:eastAsia="ru-RU"/>
    </w:rPr>
  </w:style>
  <w:style w:type="character" w:customStyle="1" w:styleId="20">
    <w:name w:val="Заголовок 2 Знак"/>
    <w:basedOn w:val="6"/>
    <w:link w:val="3"/>
    <w:qFormat/>
    <w:locked/>
    <w:uiPriority w:val="9"/>
    <w:rPr>
      <w:rFonts w:ascii="Cambria" w:hAnsi="Cambria" w:cs="Times New Roman"/>
      <w:b/>
      <w:i/>
      <w:sz w:val="28"/>
    </w:rPr>
  </w:style>
  <w:style w:type="character" w:customStyle="1" w:styleId="21">
    <w:name w:val="Заголовок 3 Знак"/>
    <w:basedOn w:val="6"/>
    <w:link w:val="4"/>
    <w:qFormat/>
    <w:locked/>
    <w:uiPriority w:val="9"/>
    <w:rPr>
      <w:rFonts w:ascii="Cambria" w:hAnsi="Cambria" w:cs="Times New Roman"/>
      <w:b/>
      <w:sz w:val="26"/>
    </w:rPr>
  </w:style>
  <w:style w:type="character" w:customStyle="1" w:styleId="22">
    <w:name w:val="Заголовок 4 Знак"/>
    <w:basedOn w:val="6"/>
    <w:link w:val="5"/>
    <w:qFormat/>
    <w:locked/>
    <w:uiPriority w:val="9"/>
    <w:rPr>
      <w:rFonts w:ascii="Calibri" w:hAnsi="Calibri" w:cs="Times New Roman"/>
      <w:b/>
      <w:sz w:val="28"/>
    </w:rPr>
  </w:style>
  <w:style w:type="character" w:customStyle="1" w:styleId="23">
    <w:name w:val="Верхний колонтитул Знак"/>
    <w:basedOn w:val="6"/>
    <w:link w:val="12"/>
    <w:qFormat/>
    <w:locked/>
    <w:uiPriority w:val="99"/>
    <w:rPr>
      <w:rFonts w:ascii="Times New Roman" w:hAnsi="Times New Roman" w:cs="Times New Roman"/>
      <w:sz w:val="24"/>
      <w:lang w:val="zh-CN" w:eastAsia="ru-RU"/>
    </w:rPr>
  </w:style>
  <w:style w:type="paragraph" w:customStyle="1" w:styleId="24">
    <w:name w:val="ConsNonformat"/>
    <w:qFormat/>
    <w:uiPriority w:val="99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25">
    <w:name w:val="ConsTitle"/>
    <w:qFormat/>
    <w:uiPriority w:val="99"/>
    <w:pPr>
      <w:widowControl w:val="0"/>
      <w:autoSpaceDE w:val="0"/>
      <w:autoSpaceDN w:val="0"/>
      <w:adjustRightInd w:val="0"/>
    </w:pPr>
    <w:rPr>
      <w:rFonts w:ascii="Arial" w:hAnsi="Arial" w:eastAsia="Times New Roman" w:cs="Arial"/>
      <w:b/>
      <w:bCs/>
      <w:lang w:val="ru-RU" w:eastAsia="ru-RU" w:bidi="ar-SA"/>
    </w:rPr>
  </w:style>
  <w:style w:type="paragraph" w:customStyle="1" w:styleId="26">
    <w:name w:val="ConsNormal"/>
    <w:qFormat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paragraph" w:customStyle="1" w:styleId="27">
    <w:name w:val="ConsCell"/>
    <w:qFormat/>
    <w:uiPriority w:val="99"/>
    <w:pPr>
      <w:widowControl w:val="0"/>
      <w:autoSpaceDE w:val="0"/>
      <w:autoSpaceDN w:val="0"/>
      <w:adjustRightInd w:val="0"/>
    </w:pPr>
    <w:rPr>
      <w:rFonts w:ascii="Arial" w:hAnsi="Arial" w:eastAsia="Times New Roman" w:cs="Arial"/>
      <w:lang w:val="ru-RU" w:eastAsia="ru-RU" w:bidi="ar-SA"/>
    </w:rPr>
  </w:style>
  <w:style w:type="character" w:customStyle="1" w:styleId="28">
    <w:name w:val="Нижний колонтитул Знак"/>
    <w:basedOn w:val="6"/>
    <w:link w:val="17"/>
    <w:qFormat/>
    <w:locked/>
    <w:uiPriority w:val="99"/>
    <w:rPr>
      <w:rFonts w:ascii="Times New Roman" w:hAnsi="Times New Roman" w:cs="Times New Roman"/>
      <w:sz w:val="24"/>
      <w:lang w:val="zh-CN" w:eastAsia="ru-RU"/>
    </w:rPr>
  </w:style>
  <w:style w:type="paragraph" w:customStyle="1" w:styleId="29">
    <w:name w:val="ConsPlusNormal"/>
    <w:qFormat/>
    <w:uiPriority w:val="0"/>
    <w:pPr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character" w:customStyle="1" w:styleId="30">
    <w:name w:val="Текст выноски Знак"/>
    <w:basedOn w:val="6"/>
    <w:link w:val="11"/>
    <w:semiHidden/>
    <w:qFormat/>
    <w:locked/>
    <w:uiPriority w:val="99"/>
    <w:rPr>
      <w:rFonts w:ascii="Tahoma" w:hAnsi="Tahoma" w:cs="Times New Roman"/>
      <w:sz w:val="16"/>
      <w:lang w:val="zh-CN" w:eastAsia="ru-RU"/>
    </w:rPr>
  </w:style>
  <w:style w:type="paragraph" w:customStyle="1" w:styleId="31">
    <w:name w:val="ConsPlusNonformat"/>
    <w:qFormat/>
    <w:uiPriority w:val="0"/>
    <w:pPr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32">
    <w:name w:val="ConsPlusTitle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Times New Roman" w:cs="Arial"/>
      <w:b/>
      <w:bCs/>
      <w:lang w:val="ru-RU" w:eastAsia="ru-RU" w:bidi="ar-SA"/>
    </w:rPr>
  </w:style>
  <w:style w:type="paragraph" w:customStyle="1" w:styleId="33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customStyle="1" w:styleId="34">
    <w:name w:val="Заголовок оглавления1"/>
    <w:basedOn w:val="2"/>
    <w:next w:val="1"/>
    <w:unhideWhenUsed/>
    <w:qFormat/>
    <w:uiPriority w:val="39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</w:rPr>
  </w:style>
  <w:style w:type="character" w:customStyle="1" w:styleId="35">
    <w:name w:val="Название книги1"/>
    <w:basedOn w:val="6"/>
    <w:qFormat/>
    <w:uiPriority w:val="33"/>
    <w:rPr>
      <w:rFonts w:cs="Times New Roman"/>
      <w:b/>
      <w:smallCaps/>
      <w:spacing w:val="5"/>
    </w:rPr>
  </w:style>
  <w:style w:type="table" w:customStyle="1" w:styleId="36">
    <w:name w:val="Сетка таблицы1"/>
    <w:basedOn w:val="7"/>
    <w:qFormat/>
    <w:uiPriority w:val="99"/>
    <w:rPr>
      <w:rFonts w:ascii="Times New Roman" w:hAnsi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37">
    <w:name w:val="Стиль1"/>
    <w:basedOn w:val="2"/>
    <w:link w:val="38"/>
    <w:qFormat/>
    <w:uiPriority w:val="0"/>
    <w:pPr>
      <w:tabs>
        <w:tab w:val="left" w:pos="9923"/>
      </w:tabs>
      <w:spacing w:line="360" w:lineRule="auto"/>
      <w:ind w:right="-77"/>
      <w:jc w:val="center"/>
    </w:pPr>
    <w:rPr>
      <w:b/>
      <w:sz w:val="24"/>
      <w:lang w:val="en-US"/>
    </w:rPr>
  </w:style>
  <w:style w:type="character" w:customStyle="1" w:styleId="38">
    <w:name w:val="Стиль1 Знак"/>
    <w:link w:val="37"/>
    <w:qFormat/>
    <w:locked/>
    <w:uiPriority w:val="0"/>
    <w:rPr>
      <w:rFonts w:ascii="Times New Roman" w:hAnsi="Times New Roman"/>
      <w:b/>
      <w:sz w:val="24"/>
      <w:lang w:val="en-US" w:eastAsia="ru-RU"/>
    </w:rPr>
  </w:style>
  <w:style w:type="table" w:customStyle="1" w:styleId="39">
    <w:name w:val="Сетка таблицы2"/>
    <w:basedOn w:val="7"/>
    <w:qFormat/>
    <w:uiPriority w:val="39"/>
    <w:rPr>
      <w:rFonts w:cs="Times New Roman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0">
    <w:name w:val="Font Style13"/>
    <w:qFormat/>
    <w:uiPriority w:val="99"/>
    <w:rPr>
      <w:rFonts w:ascii="Times New Roman" w:hAnsi="Times New Roman"/>
      <w:sz w:val="20"/>
    </w:rPr>
  </w:style>
  <w:style w:type="table" w:customStyle="1" w:styleId="41">
    <w:name w:val="Table Normal"/>
    <w:semiHidden/>
    <w:unhideWhenUsed/>
    <w:qFormat/>
    <w:uiPriority w:val="2"/>
    <w:pPr>
      <w:widowControl w:val="0"/>
      <w:autoSpaceDE w:val="0"/>
      <w:autoSpaceDN w:val="0"/>
    </w:pPr>
    <w:rPr>
      <w:rFonts w:asciiTheme="minorHAnsi" w:hAnsiTheme="minorHAnsi" w:eastAsia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2">
    <w:name w:val="Основной текст Знак"/>
    <w:basedOn w:val="6"/>
    <w:link w:val="13"/>
    <w:qFormat/>
    <w:uiPriority w:val="1"/>
    <w:rPr>
      <w:rFonts w:ascii="Times New Roman" w:hAnsi="Times New Roman" w:cs="Times New Roman"/>
      <w:sz w:val="24"/>
      <w:szCs w:val="24"/>
      <w:lang w:eastAsia="en-US"/>
    </w:rPr>
  </w:style>
  <w:style w:type="paragraph" w:styleId="43">
    <w:name w:val="List Paragraph"/>
    <w:basedOn w:val="1"/>
    <w:qFormat/>
    <w:uiPriority w:val="1"/>
    <w:pPr>
      <w:widowControl w:val="0"/>
      <w:autoSpaceDE w:val="0"/>
      <w:autoSpaceDN w:val="0"/>
      <w:ind w:left="541" w:firstLine="709"/>
      <w:jc w:val="both"/>
    </w:pPr>
    <w:rPr>
      <w:sz w:val="22"/>
      <w:szCs w:val="22"/>
      <w:lang w:eastAsia="en-US"/>
    </w:rPr>
  </w:style>
  <w:style w:type="paragraph" w:customStyle="1" w:styleId="44">
    <w:name w:val="Table Paragraph"/>
    <w:basedOn w:val="1"/>
    <w:qFormat/>
    <w:uiPriority w:val="1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2757</Words>
  <Characters>20852</Characters>
  <Lines>173</Lines>
  <Paragraphs>47</Paragraphs>
  <TotalTime>146</TotalTime>
  <ScaleCrop>false</ScaleCrop>
  <LinksUpToDate>false</LinksUpToDate>
  <CharactersWithSpaces>23562</CharactersWithSpaces>
  <Application>WPS Office_11.1.0.11704_F1E327BC-269C-435d-A152-05C5408002CA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2023-07-01T16:11:00Z</dcterms:created>
  <dc:creator>Захарова</dc:creator>
  <cp:lastModifiedBy>hovrova_sn</cp:lastModifiedBy>
  <cp:lastPrinted>2023-07-01T19:09:00Z</cp:lastPrinted>
  <dcterms:modified xsi:type="dcterms:W3CDTF">2024-02-28T17:29:50Z</dcterms:modified>
  <dc:title>МИНИСТЕРСТВО ЖКХ и энергетики РС(Я)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1049-11.1.0.11704</vt:lpwstr>
  </property>
</Properties>
</file>