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1"/>
        <w:spacing w:lineRule="auto" w:line="240"/>
        <w:jc w:val="center"/>
        <w:rPr>
          <w:rFonts w:ascii="PT Astra Serif" w:hAnsi="PT Astra Serif"/>
          <w:sz w:val="24"/>
          <w:szCs w:val="24"/>
        </w:rPr>
      </w:pPr>
      <w:bookmarkStart w:id="0" w:name="P263"/>
      <w:bookmarkEnd w:id="0"/>
      <w:r>
        <w:rPr>
          <w:rFonts w:ascii="PT Astra Serif" w:hAnsi="PT Astra Serif"/>
          <w:sz w:val="24"/>
          <w:szCs w:val="24"/>
        </w:rPr>
        <w:t>СВОДНЫЙ ОТЧЕТ</w:t>
      </w:r>
    </w:p>
    <w:p>
      <w:pPr>
        <w:pStyle w:val="ConsPlusNonformat1"/>
        <w:spacing w:lineRule="auto" w:line="2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результатах проведения оценки регулирующего</w:t>
      </w:r>
    </w:p>
    <w:p>
      <w:pPr>
        <w:pStyle w:val="ConsPlusNonformat1"/>
        <w:spacing w:lineRule="auto" w:line="2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воздействия проекта нормативного правового акта</w:t>
      </w:r>
    </w:p>
    <w:p>
      <w:pPr>
        <w:pStyle w:val="ConsPlusNonformat1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</w:t>
        <w:tab/>
        <w:t>Общая информация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1.1.</w:t>
        <w:tab/>
        <w:t>Орган-разработчик: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 xml:space="preserve">Министерство по развитию Арктики и делам народов Севера Республики Саха (Якутия)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1.2.</w:t>
        <w:tab/>
        <w:t xml:space="preserve">Вид и наименование проекта нормативного правового акта: 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u w:val="single"/>
          <w:lang w:eastAsia="ru-RU"/>
        </w:rPr>
        <w:t>п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u w:val="none"/>
          <w:lang w:eastAsia="ru-RU"/>
        </w:rPr>
        <w:t xml:space="preserve">остановление Правительства Республики Саха (Якутия) «Об утверждении порядка предоставления субсидий из государственного бюджета Республики Саха (Якутия) на возмещение части затрат на модернизацию материально-технической базы хлебопекарен населенных пунктов Арктической зоны Республики Саха (Якутия)» (далее - проект)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1.3.</w:t>
        <w:tab/>
        <w:t>Краткое описание проблемы, на решение которой направлено предлагаемое правовое регулирование: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>На мероприятие «Модернизация материально-технической базы хлебопекарен» государственной программы Республики Саха (Якутия) «Развитие Арктической зоны Республики Саха (Якутия) и коренных малочисленных народов Севера Республики Саха (Якутия)» (КБК 20204127630310060811) в 2024 году предусмотрено 7 млн рублей.</w:t>
      </w:r>
    </w:p>
    <w:p>
      <w:pPr>
        <w:pStyle w:val="Normal"/>
        <w:shd w:val="clear" w:color="auto" w:fill="FFFFFF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 xml:space="preserve">В рамках указанного мероприятия  с 2022 г. отбор получателей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 проводился в соответствии с </w:t>
      </w:r>
      <w:bookmarkStart w:id="1" w:name="_Hlk158798663"/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 xml:space="preserve">приказом МинАрктики РС(Я) от 25 мая 2022 г. № 138-ОД </w:t>
      </w:r>
      <w:bookmarkEnd w:id="1"/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>«Об утверждении Порядка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(Якутия)».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 xml:space="preserve">В связи со вступлением в силу постановления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возникла необходимость приведения в соответствие с данным постановлением приказ МинАрктики РС(Я) от 25 мая 2022 г. № 138-ОД.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 xml:space="preserve">С учетом пункта 2 статьи 78 и пункта 4 статьи 78.5 Бюджетного кодекса Российской Федерации, пункта 8 </w:t>
      </w:r>
      <w:bookmarkStart w:id="2" w:name="_Hlk158797161"/>
      <w:r>
        <w:rPr>
          <w:rFonts w:ascii="PT Astra Serif" w:hAnsi="PT Astra Serif"/>
          <w:color w:val="333333"/>
          <w:sz w:val="24"/>
          <w:szCs w:val="24"/>
        </w:rPr>
        <w:t>постановления Правительства Российской Федерации от 25 октября 2023 г. № 1782, порядок отбора получателей субсидий и порядок предоставления субсидий следует принять в виде постановления Правительства.</w:t>
      </w:r>
    </w:p>
    <w:p>
      <w:pPr>
        <w:pStyle w:val="NormalWeb"/>
        <w:shd w:val="clear" w:color="auto" w:fill="FFFFFF"/>
        <w:tabs>
          <w:tab w:val="clear" w:pos="708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>В этой связи был разработан проект постановления Правительства Республики Саха (Якутия).</w:t>
      </w:r>
      <w:bookmarkEnd w:id="2"/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1.4.</w:t>
        <w:tab/>
        <w:t>Краткое описание целей предлагаемого правового регулирования:</w:t>
      </w:r>
    </w:p>
    <w:p>
      <w:pPr>
        <w:pStyle w:val="ConsPlusNormal2"/>
        <w:shd w:val="clear" w:color="auto" w:fill="FFFFFF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cs="Times New Roman" w:ascii="PT Astra Serif" w:hAnsi="PT Astra Serif"/>
          <w:color w:val="000000"/>
          <w:sz w:val="24"/>
          <w:szCs w:val="24"/>
          <w:lang w:eastAsia="ru-RU"/>
        </w:rPr>
        <w:t xml:space="preserve">Целью правового регулирования проекта является регулирование общественных отношений, связанных с предоставлением из государственного бюджета Республики Саха (Якутия) субсидии на возмещение части затрат на модернизацию материально-технической базы хлебопекарен населенных пунктов Арктической зоны Республики Саха (Якутия) </w:t>
      </w:r>
      <w:r>
        <w:rPr>
          <w:rFonts w:eastAsia="Times New Roman" w:cs="Times New Roman" w:ascii="PT Astra Serif" w:hAnsi="PT Astra Serif"/>
          <w:bCs/>
          <w:color w:val="000000"/>
          <w:sz w:val="24"/>
          <w:szCs w:val="24"/>
          <w:lang w:eastAsia="ru-RU"/>
        </w:rPr>
        <w:t xml:space="preserve">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</w:t>
      </w:r>
      <w:hyperlink r:id="rId2">
        <w:r>
          <w:rPr>
            <w:rFonts w:eastAsia="Times New Roman" w:cs="Times New Roman" w:ascii="PT Astra Serif" w:hAnsi="PT Astra Serif"/>
            <w:bCs/>
            <w:color w:val="000000"/>
            <w:sz w:val="24"/>
            <w:szCs w:val="24"/>
            <w:lang w:eastAsia="ru-RU"/>
          </w:rPr>
          <w:t>10.71.1</w:t>
        </w:r>
      </w:hyperlink>
      <w:r>
        <w:rPr>
          <w:rFonts w:eastAsia="Times New Roman" w:cs="Times New Roman" w:ascii="PT Astra Serif" w:hAnsi="PT Astra Serif"/>
          <w:bCs/>
          <w:color w:val="000000"/>
          <w:sz w:val="24"/>
          <w:szCs w:val="24"/>
          <w:lang w:eastAsia="ru-RU"/>
        </w:rPr>
        <w:t xml:space="preserve"> «Производство хлеба и хлебобулочных изделий недлительного хранения».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1.5.</w:t>
        <w:tab/>
        <w:t xml:space="preserve">Краткое описание содержания предлагаемого правового регулирования: 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Проект утверждает порядок </w:t>
      </w:r>
      <w:r>
        <w:rPr>
          <w:rFonts w:cs="Times New Roman" w:ascii="PT Astra Serif" w:hAnsi="PT Astra Serif"/>
          <w:color w:val="000000"/>
          <w:sz w:val="24"/>
          <w:szCs w:val="24"/>
        </w:rPr>
        <w:t>предоставления субсидий из государственного бюджета Республики Саха (Якутия) на возмещение части затрат на модернизацию материально-технической базы хлебопекарен населенных пунктов Арктической зоны Республики Саха (Якутия)</w:t>
      </w:r>
      <w:r>
        <w:rPr>
          <w:rFonts w:cs="Times New Roman" w:ascii="PT Astra Serif" w:hAnsi="PT Astra Serif"/>
          <w:sz w:val="24"/>
          <w:szCs w:val="24"/>
        </w:rPr>
        <w:t>»,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 который определяет: основные понятия, используемые в проекте, главного распорядителя бюджетных средств, категорию получателей субсидии,  способы предоставления субсидии и проведения отбора получателя, условия и порядок предоставления субсидии, требования о представлении отчетности, осуществления контроля (мониторинга) за соблюдением условий и порядка предоставления субсидий и ответственности за их нарушение,</w:t>
      </w:r>
      <w:r>
        <w:rPr>
          <w:rFonts w:cs="Times New Roman" w:ascii="PT Astra Serif" w:hAnsi="PT Astra Serif"/>
          <w:b/>
          <w:color w:val="000000"/>
          <w:sz w:val="24"/>
          <w:szCs w:val="24"/>
        </w:rPr>
        <w:t xml:space="preserve">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форму предложения </w:t>
      </w:r>
      <w:r>
        <w:rPr>
          <w:rFonts w:cs="Times New Roman" w:ascii="PT Astra Serif" w:hAnsi="PT Astra Serif"/>
          <w:sz w:val="24"/>
          <w:szCs w:val="24"/>
        </w:rPr>
        <w:t>для участия в отборе на получение субсидии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, форму сведения об </w:t>
      </w:r>
      <w:r>
        <w:rPr>
          <w:rFonts w:cs="Times New Roman" w:ascii="PT Astra Serif" w:hAnsi="PT Astra Serif"/>
          <w:sz w:val="24"/>
          <w:szCs w:val="24"/>
        </w:rPr>
        <w:t>объемах плановой (производимой) продукции за (предшествующий) месяц, форму реестра затрат, форму справки о соответствии участника требованиям отбора на день подачи предложения.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1.6.</w:t>
        <w:tab/>
        <w:t>Контактная информация исполнителя в органе-разработчике: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Ф.И.О:  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>Семенова Ия Геннадьевна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Должность: г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>лавный специалист департамента стратегического планирования и проектного управления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Телефон: , адрес электронной почты: </w:t>
      </w:r>
      <w:r>
        <w:rPr>
          <w:rFonts w:ascii="PT Astra Serif" w:hAnsi="PT Astra Serif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</w:rPr>
        <w:t>IP 61936, 507758, semenova.ig@sakha.gov.ru 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1.7.</w:t>
        <w:tab/>
        <w:t>Степень регулирующего воздействия проекта нормативного правового акта: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средняя степень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1.8.</w:t>
        <w:tab/>
        <w:t>Обоснование отнесения проекта нормативного правового акта к определенной степени регулирующего воздействия:</w:t>
      </w:r>
    </w:p>
    <w:p>
      <w:pPr>
        <w:pStyle w:val="Style26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sz w:val="24"/>
          <w:szCs w:val="24"/>
        </w:rPr>
        <w:t>Проект содержит положения, изменяющие ранее установленные обязательные требования, связанные с осуществлением предпринимательской деятельности, оценка соблюдения которых осуществляется в рамках государственного контроля (надзора), изменяющие ранее предусмотренные обязанности и запреты для субъектов предпринимательской деятельности.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1.9.  Наличие или отсутствие в проекте нормативного правового акта обязательных требований: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jc w:val="both"/>
        <w:rPr/>
      </w:pPr>
      <w:r>
        <w:rPr>
          <w:rFonts w:cs="Times New Roman" w:ascii="PT Astra Serif" w:hAnsi="PT Astra Serif"/>
          <w:sz w:val="24"/>
          <w:szCs w:val="24"/>
        </w:rPr>
        <w:t xml:space="preserve">Согласно </w:t>
      </w:r>
      <w:hyperlink r:id="rId3">
        <w:r>
          <w:rPr>
            <w:rFonts w:cs="Times New Roman" w:ascii="PT Astra Serif" w:hAnsi="PT Astra Serif"/>
            <w:sz w:val="24"/>
            <w:szCs w:val="24"/>
            <w:shd w:fill="FFFFFF" w:val="clear"/>
          </w:rPr>
          <w:t>пункту 4 части 2 статьи 1</w:t>
        </w:r>
      </w:hyperlink>
      <w:r>
        <w:rPr>
          <w:rFonts w:cs="Times New Roman" w:ascii="PT Astra Serif" w:hAnsi="PT Astra Serif"/>
          <w:sz w:val="24"/>
          <w:szCs w:val="24"/>
          <w:shd w:fill="FFFFFF" w:val="clear"/>
        </w:rPr>
        <w:t xml:space="preserve"> Федерального закона от 31 июля 2020 г. № 247-ФЗ «Об обязательных требованиях в Российской Федерации» указанный закон </w:t>
      </w:r>
      <w:r>
        <w:rPr>
          <w:rFonts w:cs="Times New Roman" w:ascii="PT Astra Serif" w:hAnsi="PT Astra Serif"/>
          <w:color w:val="000000"/>
          <w:sz w:val="24"/>
          <w:szCs w:val="24"/>
          <w:shd w:fill="FFFFFF" w:val="clear"/>
        </w:rPr>
        <w:t xml:space="preserve">не распространяется на отношения, связанные с установлением и оценкой применения обязательных требований в сфере действия бюджетного законодательства Российской Федерации. Соответственно, </w:t>
      </w:r>
      <w:r>
        <w:rPr>
          <w:rFonts w:eastAsia="Times New Roman" w:cs="Times New Roman" w:ascii="PT Astra Serif" w:hAnsi="PT Astra Serif"/>
          <w:color w:val="333333"/>
          <w:sz w:val="24"/>
          <w:szCs w:val="24"/>
          <w:lang w:eastAsia="ru-RU"/>
        </w:rPr>
        <w:t xml:space="preserve">оценка соответствия принципам установления и оценки применения </w:t>
      </w: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 xml:space="preserve">обязательных требований не проводится.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</w:t>
        <w:tab/>
        <w:t>Описание проблемы, на решение которой направлено предлагаемое правовое регулирование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2.1.</w:t>
        <w:tab/>
        <w:t>Формулировка проблемы: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333333"/>
          <w:sz w:val="24"/>
          <w:szCs w:val="24"/>
        </w:rPr>
        <w:t>С учетом пункта 2 статьи 78 и пункта 4 статьи 78.5 Бюджетного кодекса Российской Федерации, пункта 8 постановления Правительства Российской Федерации от 25 октября 2023 г. № 1782, порядок отбора получателей субсидий и порядок предоставления субсидий следует принять в виде постановления Правительства.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2.2.</w:t>
        <w:tab/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ConsPlusNormal2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bookmarkStart w:id="3" w:name="_GoBack"/>
      <w:bookmarkEnd w:id="3"/>
      <w:r>
        <w:rPr>
          <w:rFonts w:cs="Times New Roman" w:ascii="PT Astra Serif" w:hAnsi="PT Astra Serif"/>
          <w:caps w:val="false"/>
          <w:smallCaps w:val="false"/>
          <w:spacing w:val="0"/>
          <w:sz w:val="24"/>
          <w:szCs w:val="24"/>
        </w:rPr>
        <w:t xml:space="preserve">Согласно письму Прокуратуры Республики Саха (Якутия) от 29 декабря 2023 г.  № Исорг-73-9729-23/-20980001 необходимо актуализировать действующие региональные нормативные правовые акты, в том числе порядок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rmal2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aps w:val="false"/>
          <w:smallCaps w:val="false"/>
          <w:spacing w:val="0"/>
          <w:sz w:val="24"/>
          <w:szCs w:val="24"/>
        </w:rPr>
        <w:t xml:space="preserve">Меры принимаются впервые.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2.3.</w:t>
        <w:tab/>
        <w:t>Социальные группы, заинтересованные в устранении проблемы, их количественная оценка: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lang w:eastAsia="ru-RU"/>
        </w:rPr>
        <w:t>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2.4.</w:t>
        <w:tab/>
        <w:t xml:space="preserve">Характеристика негативных эффектов, возникающих в связи с наличием проблемы, их количественная оценка: 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lineRule="auto" w:line="240" w:beforeAutospacing="0" w:before="0" w:afterAutospacing="0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lang w:eastAsia="ru-RU"/>
        </w:rPr>
        <w:t>Не принятие</w:t>
      </w:r>
      <w:r>
        <w:rPr>
          <w:rFonts w:ascii="PT Astra Serif" w:hAnsi="PT Astra Serif"/>
          <w:b w:val="false"/>
          <w:color w:val="333333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b w:val="false"/>
          <w:color w:val="333333"/>
          <w:sz w:val="24"/>
          <w:szCs w:val="24"/>
          <w:lang w:eastAsia="ru-RU"/>
        </w:rPr>
        <w:t xml:space="preserve">Правительством Республики Саха (Якутия) указанного проекта влечет за собой невозможность проведения отбора получателей субсидий и предоставления субсидий. 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2.5.</w:t>
        <w:tab/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 w:before="0" w:after="0"/>
        <w:ind w:left="0" w:right="0" w:hanging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В связи со вступлением в силу постановления Правительства Российской Федерации от 25 октября 2023 г. № 1782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все иные нормативные правовые акты, регулировавшие данные отношения и действовавшие до принятия указанного постановления, признаны утратившими силу. В этой связи, </w:t>
      </w:r>
      <w:r>
        <w:rPr>
          <w:rFonts w:cs="Times New Roman" w:ascii="PT Astra Serif" w:hAnsi="PT Astra Serif"/>
          <w:caps w:val="false"/>
          <w:smallCaps w:val="false"/>
          <w:color w:val="000000"/>
          <w:spacing w:val="0"/>
          <w:sz w:val="24"/>
          <w:szCs w:val="24"/>
        </w:rPr>
        <w:t xml:space="preserve">необходимо актуализировать действующие региональные нормативные правовые акты, в том числе порядок предоставления субсидий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2.6.</w:t>
        <w:tab/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 соответствующих отношений не являются субъектами нормотворчества. Полномочия по правовому регулированию закреплены в Бюджетном кодексе РФ за государственными органами.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2.7.</w:t>
        <w:tab/>
        <w:t>Опыт решения аналогичных проблем в других субъектах Российской Федерации, иностранных государствах:</w:t>
      </w:r>
      <w:r>
        <w:rPr>
          <w:rFonts w:ascii="PT Astra Serif" w:hAnsi="PT Astra Serif"/>
          <w:sz w:val="24"/>
          <w:szCs w:val="24"/>
        </w:rPr>
        <w:t xml:space="preserve"> принятие нормативно-правовых актов. </w:t>
      </w:r>
    </w:p>
    <w:p>
      <w:pPr>
        <w:pStyle w:val="Style26"/>
        <w:tabs>
          <w:tab w:val="clear" w:pos="708"/>
          <w:tab w:val="left" w:pos="1134" w:leader="none"/>
        </w:tabs>
        <w:spacing w:lineRule="auto" w:line="240" w:before="165" w:after="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false"/>
          <w:sz w:val="24"/>
          <w:szCs w:val="24"/>
        </w:rPr>
        <w:t xml:space="preserve">В настоящее время по указанной проблеме отсутствует правоприменительная практика, опыт других субъектов Российской Федерации, так как проекты находятся на стадии разработки.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2.8.</w:t>
        <w:tab/>
        <w:t xml:space="preserve">Источники данных: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Бюджетный кодекс РФ, </w:t>
      </w:r>
      <w:r>
        <w:rPr>
          <w:rFonts w:ascii="PT Astra Serif" w:hAnsi="PT Astra Serif"/>
          <w:color w:val="333333"/>
          <w:sz w:val="24"/>
          <w:szCs w:val="24"/>
        </w:rPr>
        <w:t>постановление Правительства Российской Федерации от 25 октября 2023 г. № 1782.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2.9.</w:t>
        <w:tab/>
        <w:t>Иная информация о проблеме</w:t>
      </w:r>
      <w:r>
        <w:rPr>
          <w:rFonts w:ascii="PT Astra Serif" w:hAnsi="PT Astra Serif"/>
          <w:sz w:val="24"/>
          <w:szCs w:val="24"/>
        </w:rPr>
        <w:t xml:space="preserve">: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</w:t>
        <w:tab/>
        <w:t>Определение целей предлагаемого правового регулирования и индикаторов для оценки их достижения</w:t>
      </w:r>
      <w:r>
        <w:rPr>
          <w:rFonts w:ascii="PT Astra Serif" w:hAnsi="PT Astra Serif"/>
          <w:sz w:val="24"/>
          <w:szCs w:val="24"/>
        </w:rPr>
        <w:t xml:space="preserve"> 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4"/>
        <w:gridCol w:w="3118"/>
        <w:gridCol w:w="2704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val="1056" w:hRule="atLeast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PT Astra Serif" w:hAnsi="PT Astra Serif"/>
                <w:i w:val="false"/>
                <w:iCs w:val="false"/>
                <w:sz w:val="24"/>
                <w:szCs w:val="24"/>
              </w:rPr>
              <w:t>целью правового регулирования проекта является регулирование общественных отношений, связанных с предоставлением из государственного бюджета Республики Саха (Якутия) субсидии на возмещение части затрат на модернизацию материально-технической базы хлебопекарен населенных пунктов Арктической зоны Республики Саха (Якутия) 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>после официального опубликования и до 1 мая 2024 года.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ежедневная проверка за ходом  согласования проекта 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rPr>
          <w:rFonts w:ascii="PT Astra Serif" w:hAnsi="PT Astra Serif"/>
          <w:color w:val="00B0F0"/>
          <w:sz w:val="24"/>
          <w:szCs w:val="24"/>
        </w:rPr>
      </w:pPr>
      <w:r>
        <w:rPr>
          <w:rFonts w:ascii="PT Astra Serif" w:hAnsi="PT Astra Serif"/>
          <w:color w:val="00B0F0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Times New Roman" w:hAnsi="Times New Roman"/>
          <w:sz w:val="24"/>
        </w:rPr>
      </w:pPr>
      <w:r>
        <w:rPr>
          <w:rFonts w:ascii="PT Astra Serif" w:hAnsi="PT Astra Serif"/>
          <w:sz w:val="24"/>
          <w:szCs w:val="24"/>
          <w:u w:val="single"/>
        </w:rPr>
        <w:t>3.4</w:t>
        <w:tab/>
        <w:t>Методы расчета индикаторов достижения целей предлагаемого правового регулирования, источники информации для расчетов: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3.5.</w:t>
        <w:tab/>
        <w:t>Проведение мониторинга и иные способы (методы) оценки достижения целей предлагаемого правового регулирования: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Ежедневная проверка за ходом  согласования проекта.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3.6.</w:t>
        <w:tab/>
        <w:t>Оценка затрат на проведение мониторинга достижения целей предлагаемого правового регулирования</w:t>
      </w:r>
      <w:r>
        <w:rPr>
          <w:rFonts w:ascii="PT Astra Serif" w:hAnsi="PT Astra Serif"/>
          <w:sz w:val="24"/>
          <w:szCs w:val="24"/>
        </w:rPr>
        <w:t>: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3.7.</w:t>
        <w:tab/>
        <w:t xml:space="preserve">Источники информации для расчета индикаторов: 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4.</w:t>
        <w:tab/>
        <w:t xml:space="preserve">Качественная характеристика и оценка численности потенциальных адресатов </w:t>
      </w:r>
      <w:r>
        <w:rPr>
          <w:rFonts w:ascii="PT Astra Serif" w:hAnsi="PT Astra Serif"/>
          <w:sz w:val="24"/>
          <w:szCs w:val="24"/>
        </w:rPr>
        <w:t>предлагаемого правового регулирования (их групп)</w:t>
      </w:r>
    </w:p>
    <w:tbl>
      <w:tblPr>
        <w:tblW w:w="947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13"/>
        <w:gridCol w:w="2250"/>
        <w:gridCol w:w="3610"/>
      </w:tblGrid>
      <w:tr>
        <w:trPr/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4.3. Источники данных</w:t>
            </w:r>
          </w:p>
        </w:tc>
      </w:tr>
      <w:tr>
        <w:trPr/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333333"/>
                <w:sz w:val="24"/>
                <w:szCs w:val="24"/>
                <w:lang w:eastAsia="ru-RU"/>
              </w:rPr>
              <w:t>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неизвестно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5.</w:t>
        <w:tab/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tbl>
      <w:tblPr>
        <w:tblW w:w="9345" w:type="dxa"/>
        <w:jc w:val="left"/>
        <w:tblInd w:w="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95"/>
        <w:gridCol w:w="1740"/>
        <w:gridCol w:w="2249"/>
        <w:gridCol w:w="2371"/>
        <w:gridCol w:w="1290"/>
      </w:tblGrid>
      <w:tr>
        <w:trPr/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В приказе </w:t>
            </w: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 МинАрктики РС(Я) от 25.05.2022 № 138-ОД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)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>2.13. В случае выявления опечаток и (или) ошибок в объявлении, Министерство имеет право принять решение о внесении изменений в объявление не позднее, чем за 3 календарных дня до дня завершения приема предложений на участие в отборе.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2.14. Министерство имеет право принять решение о внесении изменений в объявление не позднее, чем за 3 календарных дня до дня завершения приема предложений на участие в отборе, в следующих случаях: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а) выявлена опечатка и (или) ошибка в объявлении;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б) за 4 календарных дня до завершения приема </w:t>
            </w: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предложений на участие в отборе количество поступивших предложений с плановыми, произведенными и документально подтвержденными затратами не превышает 80% от общей суммы лимитов бюджетных обязательств, предусмотренных  на соответствующий финансовый год.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>2.14. Решение о внесении изменений в объявление утверждается приказом Министерства и размещается на едином портале и на официальном сайте Министерства не позднее следующего рабочего дня со дня его подписания. При этом срок подачи предложений на участие в отборе должен быть продлен так, чтобы со дня размещения изменений, внесенных в объявление, до даты окончания подачи предложений на участие в отборе такой срок составлял не менее 5 календарных дней.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2.15. Уведомление о внесении изменений в объявление, подписанное должностным лицом Министерства с использованием усиленной квалифицированной подписи, в соответствии с Федеральным </w:t>
            </w:r>
            <w:hyperlink r:id="rId4">
              <w:r>
                <w:rPr>
                  <w:rFonts w:cs="Times New Roman"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законом</w:t>
              </w:r>
            </w:hyperlink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</w:rPr>
              <w:t xml:space="preserve"> от 6 апреля 2011 г. N 63-ФЗ "Об электронной подписи" с приложением копии приказа Министерства о внесении изменений в объявление не позднее одного  рабочего дня со дня размещения изменений на едином портале и на официальном сайте Министерства направляются Министерством на электронную почту участников отбора, подавших предложения на участие в отборе на день подписания таких приказов Министерства.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2.15. Решение о внесении изменений в объявление утверждается приказом Министерства и размещается на едином портале и (или) на официальном сайте Министерства не позднее следующего рабочего дня за днем утверждения соответствующего решения.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При этом срок подачи предложений на участие в отборе должен быть продлен так, чтобы со дня размещения изменений, внесенных в объявление, до даты окончания подачи предложений на участие в отборе такой срок составлял не менее 5 календарных дней.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2.16. Уведомление о внесении изменений в объявление, подписанное должностным лицом  Министерства с использованием усиленной квалифицированной подписи, в соответствии с Федеральным </w:t>
            </w:r>
            <w:hyperlink r:id="rId5">
              <w:r>
                <w:rPr>
                  <w:rFonts w:cs="Times New Roman" w:ascii="PT Astra Serif" w:hAnsi="PT Astra Serif"/>
                  <w:color w:val="000000"/>
                  <w:sz w:val="24"/>
                  <w:szCs w:val="24"/>
                </w:rPr>
                <w:t>законом</w:t>
              </w:r>
            </w:hyperlink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 от 6 апреля 2011 г. № 63-ФЗ «Об электронной подписи» с приложением копии приказа Министерства о внесении изменений в объявление не позднее следующего рабочего дня за днем размещения изменений на едином портале или на официальном сайте Министерства направляются Министерством на электронную почту участников отбора, подавших предложения на участие в отборе.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имеется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165" w:after="140"/>
              <w:ind w:left="0" w:right="0" w:hanging="0"/>
              <w:jc w:val="both"/>
              <w:rPr/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22.19. Комиссия для рассмотрения и оценки предложений участников отбора (далее - комиссия) в целях предоставления субсидии формируется следующим образом: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а) комиссия создается приказом Министерства;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б) в состав комиссии по отдельному согласованию включаются представители Министерства;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в) членами комиссии не могут быть лица, лично заинтересованные в результатах отбора, либо лица, на которых могут оказывать влияние участники;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г) комиссия состоит из председателя, заместителя председателя, секретаря и членов комиссии. Количество членов комиссии должно быть нечетным и составлять не менее 7 человек;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д) председатель комиссии руководит деятельностью комиссии, в том числе ведет заседания, обеспечивает и контролирует выполнение решений комиссии. В случае отсутствия председателя комиссии его обязанности исполняет заместитель председателя комиссии;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е) секретарь комиссии готовит материалы на заседание комиссии, оповещает членов комиссии о времени и месте проведения заседания, ведет протокол;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ж) заседание комиссии является правомочным, если на нем присутствует не менее половины от установленного числа членов комиссии;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з) в случае отсутствия члена комиссии на заседании он имеет право заблаговременно представить свое мнение по рассматриваемым вопросам в письменной форме, которое учитывается при принятии решения;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и) решение комиссии о подведении итогов отбора оформляется в виде протокола и подписывается председателем, секретарем и всеми членами комиссии.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>2.19. Министерство принимает решение об отклонении предложения участника отбора на стадии рассмотрения и оценки предложений в случае: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2.21. Комиссия принимает решение об отклонении предложения участника отбора на стадии рассмотрения и оценки предложений в случае: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…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г) недостоверности информации, содержащейся в документах, представленных участником отбора в целях подтверждения соответствия установленным настоящим Порядком требованиям;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165" w:after="14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3.1. Министерство осуществляет проверку соответствия участника отбора требованиям, установленным </w:t>
            </w:r>
            <w:hyperlink r:id="rId6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подпунктами а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7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б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8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д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9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е) пункта 2.5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</w:t>
            </w:r>
            <w:hyperlink r:id="rId10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пунктом 2.18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Порядка.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Участник отбора должен соответствовать требованиям, установленным </w:t>
            </w:r>
            <w:hyperlink r:id="rId11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пунктом 2.5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на день подачи предложения на участие в отборе. </w:t>
            </w:r>
          </w:p>
          <w:p>
            <w:pPr>
              <w:pStyle w:val="Style26"/>
              <w:widowControl w:val="false"/>
              <w:spacing w:lineRule="auto" w:line="240"/>
              <w:jc w:val="both"/>
              <w:rPr/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(п. 3.1 в ред. </w:t>
            </w:r>
            <w:hyperlink r:id="rId12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приказа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МинАрктики РС(Я) от 02.02.2023 N 23-ОД) 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3.2. Министерство осуществляет проверку соответствия участника отбора требованиям, установленным </w:t>
            </w:r>
            <w:hyperlink r:id="rId13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подпунктами в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), </w:t>
            </w:r>
            <w:hyperlink r:id="rId14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г) пункта 2.5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на основании документов, указанных в </w:t>
            </w:r>
            <w:hyperlink r:id="rId15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пункте 3.3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в сроки, установленные </w:t>
            </w:r>
            <w:hyperlink r:id="rId16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пунктом 2.18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Порядка.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165" w:after="140"/>
              <w:ind w:left="0" w:righ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3.1. Министерство осуществляет проверку соответствия участника отбора требованиям, установленным подпунктами г), е), ж), з), и) пункта 2.6 настоящего Порядка, в порядке межведомственного информационного взаимодействия с уполномоченными государственными органами и организациями в сроки, установленные пунктом 2.20 настоящего Порядка.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Участник отбора должен соответствовать требованиям, установленным пунктом 2.6 настоящего Порядка, на день подачи предложения на участие в отборе.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3.2. Министерство осуществляет проверку соответствия участника отбора требованиям, установленным подпунктами а), б), в), д), к) пункта 2.6 настоящего Порядка, на основании документов, указанных в пункте 3.3 настоящего Порядка, в сроки, установленные пунктом 2.20 настоящего Порядка.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3.12.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      </w:r>
            <w:hyperlink r:id="rId17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FF"/>
                  <w:sz w:val="24"/>
                  <w:szCs w:val="24"/>
                  <w:u w:val="none"/>
                  <w:effect w:val="none"/>
                </w:rPr>
                <w:t>пункте 1.4</w:t>
              </w:r>
            </w:hyperlink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      </w:r>
          </w:p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 w:val="false"/>
              <w:spacing w:lineRule="auto" w:line="240" w:before="0" w:after="1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3.8. Условиями предоставления субсидии, включаемыми в соглашение,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в) в случае уменьшения Министерству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533" w:hRule="atLeast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>5.3. Получатель субсидии на финансовое обеспечение (возмещение) части затрат на модернизацию материально-технической базы хлебопекарен населенных пунктов Арктической зоны Республики Саха (Якутия)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b w:val="false"/>
                <w:b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 или направления средств на осуществление расходов в следующем финансовом году на те же цели. 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b w:val="false"/>
                <w:b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Остаток субсидии подлежит возврату путем перечисления платежными поручениями на счет Министерства в течение шести месяцев со дня получения данного уведомления получателем субсидии. </w:t>
            </w:r>
          </w:p>
          <w:p>
            <w:pPr>
              <w:pStyle w:val="Style26"/>
              <w:widowControl w:val="false"/>
              <w:spacing w:lineRule="auto" w:line="240" w:before="165" w:after="14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 xml:space="preserve">При неосуществлении получателем субсидии возврата в срок, указанный в абзаце втором настоящего пункта, Министерство принимает меры по взысканию сумм субсидии в государственный бюджет Республики Саха (Якутия) с получателя субсидии в судебном порядке.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изменяемая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4.6. В случае наличия не использованного получателями субсидии по состоянию на 1 января очередного финансового года остатка субсидии Министерство рассматривает поступившие от получателей субсидий документы и принимает до 1 марта текущего финансового года решение о наличии или об отсутствии потребности в остатках субсидий, не использованных по состоянию на 1 января текущего финансового года, и возврате указанных средств.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Решение принимается на основе обязательств, источником финансового обеспечения которых являются средства субсидии, представленные в отчетном финансовом году.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 (за исключением субсидий, предоставленных в пределах суммы, необходимой для оплаты денежных обязательств получателя субсидии,  источником финансового обеспечения которых являются указанные субсидии) или направления средств на осуществление расходов в следующем финансовом году на те же цели.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Остаток субсидии подлежит возврату путем перечисления платежными поручениями на счет  Министерства в течение шести месяцев со дня получения данного уведомления получателем субсидии.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При неосуществлении получателем субсидии возврата в срок, указанный в абзаце втором настоящего пункта,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rmal2"/>
        <w:tabs>
          <w:tab w:val="clear" w:pos="708"/>
          <w:tab w:val="left" w:pos="1134" w:leader="none"/>
        </w:tabs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6.</w:t>
        <w:tab/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682"/>
        <w:gridCol w:w="2849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138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6.4.</w:t>
        <w:tab/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PT Astra Serif" w:hAnsi="PT Astra Serif"/>
          <w:sz w:val="24"/>
          <w:szCs w:val="24"/>
        </w:rPr>
        <w:t>: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6.5.</w:t>
        <w:tab/>
        <w:t>Источники данных:</w:t>
      </w:r>
      <w:r>
        <w:rPr>
          <w:rFonts w:ascii="PT Astra Serif" w:hAnsi="PT Astra Serif"/>
          <w:sz w:val="24"/>
          <w:szCs w:val="24"/>
        </w:rPr>
        <w:t xml:space="preserve">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7.</w:t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34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69"/>
        <w:gridCol w:w="5564"/>
      </w:tblGrid>
      <w:tr>
        <w:trPr>
          <w:trHeight w:val="3160" w:hRule="atLeast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</w:tr>
      <w:tr>
        <w:trPr/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b w:val="false"/>
                <w:color w:val="333333"/>
                <w:sz w:val="24"/>
                <w:szCs w:val="24"/>
                <w:lang w:eastAsia="ru-RU"/>
              </w:rPr>
              <w:t>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2.6. Требования к участникам отбора, которым участник отбора должен соответствовать на день подачи предложения на участие в отборе: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</w:rPr>
              <w:t>б)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</w:t>
            </w: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по состоянию на число месяца, предшествующего месяцу даты начала подачи и приема предложений участников отбора;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в) участник отбора не находится в составляемых в рамках реализации полномочий, предусмотренных </w:t>
            </w:r>
            <w:hyperlink r:id="rId18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главой VII</w:t>
              </w:r>
            </w:hyperlink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 по состоянию на число месяца, предшествующего месяцу даты начала подачи и приема предложений участников отбора;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</w:rPr>
              <w:t xml:space="preserve">д) участник отбора не является иностранным агентом в соответствии с Федеральным </w:t>
            </w:r>
            <w:hyperlink r:id="rId19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</w:rPr>
              <w:t xml:space="preserve"> «О контроле за деятельностью лиц, находящихся под иностранным влиянием»,</w:t>
            </w: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по состоянию на число месяца, предшествующего месяцу даты начала подачи и приема предложений участников отбора;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е) у участника отбора на едином налоговом счете отсутствует или не превышает размер, определенный </w:t>
            </w:r>
            <w:hyperlink r:id="rId20">
              <w:r>
                <w:rPr>
                  <w:rFonts w:ascii="PT Astra Serif" w:hAnsi="PT Astra Serif"/>
                  <w:b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пунктом 3 статьи 47</w:t>
              </w:r>
            </w:hyperlink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3.9. Направления затрат, на возмещение которых предоставляется субсидия: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 xml:space="preserve">б) закуп и (или) транспортировка, и (или) установка модульного здания хлебопекарни.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2.17. … </w:t>
            </w: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Участник вправе получить обратно предложение в течение 3 рабочих дней со дня подачи такого письменного заявления.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3.3. Участник представляет на рассмотрение в Министерство следующие документы: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…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е) на закуп и (или) транспортировку производственного оборудования хлебопекарни: 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отгрузочных разнарядок;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перевозки груза или иного договора для доставки производственного оборудования в пункт назначения…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ж) на закуп и (или) транспортировку, и (или) установку модульного здания хлебопекарни: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выписку из Единого государственного реестра недвижимости о праве собственности или аренды (субаренды) на земельный участок под установку модульного здания хлебопекарни;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поставки (купли-продажи) модульного здания, а также копии актов приема-передачи и (или) товарных накладных, и (или) отгрузочных разнарядок;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перевозки груза или иного договора для доставки модульного здания в пункт назначения, а также копии актов приема-передачи и (или) счетов-фактур, и (или) транспортной накладной, и (или) иных документов, подтверждающих доставку и получение модульного здания хлебопекарни;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/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копию заключенного договора на установку модульного здания, а также копии актов</w:t>
            </w:r>
            <w:r>
              <w:rPr>
                <w:rStyle w:val="Style24"/>
                <w:rFonts w:cs="Times New Roman" w:ascii="PT Astra Serif" w:hAnsi="PT Astra Serif"/>
                <w:i w:val="false"/>
                <w:color w:val="000000"/>
                <w:sz w:val="24"/>
                <w:szCs w:val="24"/>
              </w:rPr>
              <w:t xml:space="preserve"> сдачи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-приемки выполненных </w:t>
            </w:r>
            <w:r>
              <w:rPr>
                <w:rStyle w:val="Style24"/>
                <w:rFonts w:cs="Times New Roman" w:ascii="PT Astra Serif" w:hAnsi="PT Astra Serif"/>
                <w:i w:val="false"/>
                <w:color w:val="000000"/>
                <w:sz w:val="24"/>
                <w:szCs w:val="24"/>
              </w:rPr>
              <w:t>работ или оказанных услуг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;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документы, подтверждающие осуществление расходов на приобретение и  (или) транспортировку, и (или) установку модульного здания, в том числе копии счетов и (или) платежных поручений, и (или) инкассовых поручений, и (или) платежных требований, и (или) платежных ордеров, и (или) квитанций к приходному кассовому ордеру, и (или) кассовых чеков.</w:t>
            </w:r>
          </w:p>
          <w:p>
            <w:pPr>
              <w:pStyle w:val="Style26"/>
              <w:widowControl w:val="false"/>
              <w:spacing w:lineRule="auto" w:line="240" w:before="0" w:after="0"/>
              <w:ind w:left="0" w:right="0" w:firstLine="567"/>
              <w:contextualSpacing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копию технического паспорта.</w:t>
            </w:r>
          </w:p>
          <w:p>
            <w:pPr>
              <w:pStyle w:val="Normal"/>
              <w:widowControl w:val="false"/>
              <w:spacing w:lineRule="auto" w:line="240" w:before="105" w:after="0"/>
              <w:ind w:left="0" w:right="0" w:firstLine="540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3.12.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</w:rPr>
              <w:t xml:space="preserve">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      </w:r>
            <w:r>
              <w:rPr>
                <w:rFonts w:ascii="PT Astra Serif" w:hAnsi="PT Astra Serif"/>
                <w:b w:val="false"/>
                <w:color w:val="000000"/>
                <w:sz w:val="24"/>
                <w:szCs w:val="24"/>
                <w:u w:val="none"/>
              </w:rPr>
              <w:t>.</w:t>
            </w:r>
          </w:p>
          <w:p>
            <w:pPr>
              <w:pStyle w:val="Normal"/>
              <w:widowControl w:val="false"/>
              <w:spacing w:lineRule="auto" w:line="240" w:before="198" w:after="0"/>
              <w:ind w:left="0" w:right="0" w:firstLine="539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</w:rPr>
              <w:t xml:space="preserve">3.13.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      </w:r>
            <w:hyperlink r:id="rId2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абзацем вторым пункта 5 статьи 23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</w:rPr>
      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государственный бюджет Республики Саха (Якутия).</w:t>
            </w:r>
          </w:p>
          <w:p>
            <w:pPr>
              <w:pStyle w:val="Normal"/>
              <w:widowControl w:val="false"/>
              <w:spacing w:lineRule="auto" w:line="240" w:before="198" w:after="0"/>
              <w:ind w:left="0" w:right="0" w:firstLine="53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3.14.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      </w:r>
            <w:hyperlink r:id="rId22">
              <w:r>
                <w:rPr>
                  <w:rFonts w:cs="Times New Roman"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абзацем вторым пункта 5 статьи 23</w:t>
              </w:r>
            </w:hyperlink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Гражданского кодекса Российской Федерации, передающего свои права другому гражданину в соответствии со </w:t>
            </w:r>
            <w:hyperlink r:id="rId23">
              <w:r>
                <w:rPr>
                  <w:rFonts w:cs="Times New Roman"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статьей 18</w:t>
              </w:r>
            </w:hyperlink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</w:t>
            </w:r>
            <w:r>
              <w:rPr>
                <w:rFonts w:cs="Times New Roman"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</w:rPr>
              <w:t>являющегося правопреемником.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7.3.</w:t>
        <w:tab/>
        <w:t>Издержки и выгоды адресатов предлагаемого правового регулирования, не поддающиеся количественной оценке: и</w:t>
      </w:r>
      <w:r>
        <w:rPr>
          <w:rFonts w:ascii="PT Astra Serif" w:hAnsi="PT Astra Serif"/>
          <w:sz w:val="24"/>
          <w:szCs w:val="24"/>
          <w:u w:val="none"/>
        </w:rPr>
        <w:t>здержек нет, выгоды: по итогам отбора подпишут соглашения и получат субсидии из государственного бюджета РС(Я) безвозмездно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7.4.</w:t>
        <w:tab/>
        <w:t>Источники данных: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8.</w:t>
        <w:tab/>
        <w:t>Оценка рисков неблагоприятных последствий применения предлагаемого правового регулирования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119"/>
        <w:gridCol w:w="1842"/>
        <w:gridCol w:w="2136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8.1. Виды рисков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8.5.</w:t>
        <w:tab/>
        <w:t>Источники данных:</w:t>
      </w:r>
      <w:r>
        <w:rPr>
          <w:rFonts w:ascii="PT Astra Serif" w:hAnsi="PT Astra Serif"/>
          <w:sz w:val="24"/>
          <w:szCs w:val="24"/>
        </w:rPr>
        <w:t xml:space="preserve"> нет</w:t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9.</w:t>
        <w:tab/>
      </w:r>
      <w:r>
        <w:rPr>
          <w:rFonts w:ascii="PT Astra Serif" w:hAnsi="PT Astra Serif"/>
          <w:sz w:val="24"/>
          <w:szCs w:val="24"/>
        </w:rPr>
        <w:t xml:space="preserve">Сравнение возможных вариантов решения проблемы </w:t>
      </w:r>
    </w:p>
    <w:tbl>
      <w:tblPr>
        <w:tblW w:w="936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62"/>
        <w:gridCol w:w="2264"/>
        <w:gridCol w:w="2140"/>
      </w:tblGrid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ind w:left="0" w:right="0" w:firstLine="56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Вариант 1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Вариант 2 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 xml:space="preserve">Принятие Правительством Республики Саха (Якутия) проекта постановления, который приведен в соответствие с федеральным законодательством.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>
          <w:trHeight w:val="2778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>В категорию получателей субсидии входят: юридические лица (за исключением государственных (муниципальных) предприятий) и индивидуальные предприниматели, осуществляющие на территории Арктической зоны Республики Саха (Якутия) деятельность по коду вида экономической деятельности в соответствии с ОКВЭД 10.71.1 «Производство хлеба и хлебобулочных изделий недлительного хранения».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9.3. Оценка рисков неблагоприятных последствий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Times New Roman" w:cs="Times New Roman" w:ascii="PT Astra Serif" w:hAnsi="PT Astra Serif"/>
                <w:color w:val="333333"/>
                <w:sz w:val="24"/>
                <w:szCs w:val="24"/>
                <w:lang w:eastAsia="ru-RU"/>
              </w:rPr>
              <w:t xml:space="preserve">В связи с введением в действие проекта получатели субсидии не понесут дополнительных расходов. При этом за счет субсидии ожидается увеличение среднемесячного объема произведенной продукции в связи с введением объекта. Соответственно, доходы получателей субсидии будут расти соразмерно объему произведенной продукции.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2"/>
              <w:widowControl w:val="false"/>
              <w:spacing w:lineRule="auto" w:line="24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9.4.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6"/>
              <w:widowControl w:val="false"/>
              <w:spacing w:lineRule="auto" w:line="240" w:before="165" w:after="0"/>
              <w:ind w:left="0" w:right="0"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sz w:val="24"/>
                <w:szCs w:val="24"/>
              </w:rPr>
              <w:t>После официального опубликования и вступления в силу проекта МинАрктики РС(Я) будет направлена информация о порядке отбора и предоставлении субсидий  в Арктические группы улусов РС(Я), филиалы Филиалы ГАУ РС (Я) "ЦЕНТР "МОЙ БИЗНЕС", а также информация и НПА будут размещены на сайте МинАрктики РС(Я), https://мойбизнес14.рф/.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2"/>
              <w:widowControl w:val="false"/>
              <w:spacing w:lineRule="auto" w:line="24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nformat1"/>
        <w:tabs>
          <w:tab w:val="clear" w:pos="708"/>
          <w:tab w:val="left" w:pos="1134" w:leader="none"/>
        </w:tabs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u w:val="single"/>
        </w:rPr>
        <w:t>9.5.</w:t>
        <w:tab/>
        <w:t>Детальное описание предлагаемого варианта решения проблемы: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 xml:space="preserve">Проект разработан в целях реализации мероприятия «Модернизация материально-технической базы хлебопекарен» государственной </w:t>
      </w:r>
      <w:hyperlink r:id="rId24">
        <w:r>
          <w:rPr>
            <w:rFonts w:cs="Times New Roman" w:ascii="PT Astra Serif" w:hAnsi="PT Astra Serif"/>
            <w:color w:val="000000"/>
            <w:sz w:val="24"/>
            <w:szCs w:val="24"/>
          </w:rPr>
          <w:t>программы</w:t>
        </w:r>
      </w:hyperlink>
      <w:r>
        <w:rPr>
          <w:rFonts w:cs="Times New Roman" w:ascii="PT Astra Serif" w:hAnsi="PT Astra Serif"/>
          <w:color w:val="000000"/>
          <w:sz w:val="24"/>
          <w:szCs w:val="24"/>
        </w:rPr>
        <w:t xml:space="preserve"> Республики Саха (Якутия) «Развитие Арктической зоны Республики Саха (Якутия) и коренных малочисленных народов Севера Республики Саха (Якутия)». 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  <w:t xml:space="preserve">Задачей проекта является утверждение порядка предоставления субсидий из государственного бюджета Республики Саха (Якутия) на возмещение части затрат на модернизацию материально-технической базы хлебопекарен населенных пунктов Арктической зоны Республики Саха (Якутия). 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 xml:space="preserve">Проект регулирует общественные отношения, связанные с предоставлением из государственного бюджета Республики Саха (Якутия) субсидии на возмещение части затрат на модернизацию материально-технической базы хлебопекарен населенных пунктов Арктической зоны Республики Саха (Якутия) </w:t>
      </w:r>
      <w:r>
        <w:rPr>
          <w:rFonts w:cs="Times New Roman" w:ascii="PT Astra Serif" w:hAnsi="PT Astra Serif"/>
          <w:bCs/>
          <w:color w:val="000000"/>
          <w:sz w:val="24"/>
          <w:szCs w:val="24"/>
        </w:rPr>
        <w:t xml:space="preserve">юридическим лицам (за исключением государственных (муниципальных) предприятий) и индивидуальным предпринимателям, осуществляющим на территории Арктической зоны Республики Саха (Якутия) деятельность по коду вида экономической деятельности в соответствии с ОКВЭД </w:t>
      </w:r>
      <w:hyperlink r:id="rId25">
        <w:r>
          <w:rPr>
            <w:rFonts w:cs="Times New Roman" w:ascii="PT Astra Serif" w:hAnsi="PT Astra Serif"/>
            <w:bCs/>
            <w:color w:val="000000"/>
            <w:sz w:val="24"/>
            <w:szCs w:val="24"/>
          </w:rPr>
          <w:t>10.71.1</w:t>
        </w:r>
      </w:hyperlink>
      <w:r>
        <w:rPr>
          <w:rFonts w:cs="Times New Roman" w:ascii="PT Astra Serif" w:hAnsi="PT Astra Serif"/>
          <w:bCs/>
          <w:color w:val="000000"/>
          <w:sz w:val="24"/>
          <w:szCs w:val="24"/>
        </w:rPr>
        <w:t xml:space="preserve"> «Производство хлеба и хлебобулочных изделий недлительного хранения».</w:t>
      </w:r>
    </w:p>
    <w:p>
      <w:pPr>
        <w:pStyle w:val="ConsPlusNormal2"/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 xml:space="preserve">Проект утверждает порядок </w:t>
      </w:r>
      <w:r>
        <w:rPr>
          <w:rFonts w:cs="Times New Roman" w:ascii="PT Astra Serif" w:hAnsi="PT Astra Serif"/>
          <w:color w:val="000000"/>
          <w:sz w:val="24"/>
          <w:szCs w:val="24"/>
        </w:rPr>
        <w:t>предоставления субсидий из государственного бюджета Республики Саха (Якутия) на возмещение части затрат на модернизацию материально-технической базы хлебопекарен населенных пунктов Арктической зоны Республики Саха (Якутия)</w:t>
      </w:r>
      <w:r>
        <w:rPr>
          <w:rFonts w:cs="Times New Roman" w:ascii="PT Astra Serif" w:hAnsi="PT Astra Serif"/>
          <w:sz w:val="24"/>
          <w:szCs w:val="24"/>
        </w:rPr>
        <w:t>»,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 который определяет: основные понятия, используемые в проекте, главного распорядителя бюджетных средств, категорию получателей субсидии,  способы предоставления субсидии и проведения отбора получателя, условия и порядок предоставления субсидии, требования о представлении отчетности, осуществления контроля (мониторинга) за соблюдением условий и порядка предоставления субсидий и ответственности за их нарушение,</w:t>
      </w:r>
      <w:r>
        <w:rPr>
          <w:rFonts w:cs="Times New Roman" w:ascii="PT Astra Serif" w:hAnsi="PT Astra Serif"/>
          <w:b/>
          <w:color w:val="000000"/>
          <w:sz w:val="24"/>
          <w:szCs w:val="24"/>
        </w:rPr>
        <w:t xml:space="preserve"> 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форму предложения </w:t>
      </w:r>
      <w:r>
        <w:rPr>
          <w:rFonts w:cs="Times New Roman" w:ascii="PT Astra Serif" w:hAnsi="PT Astra Serif"/>
          <w:sz w:val="24"/>
          <w:szCs w:val="24"/>
        </w:rPr>
        <w:t>для участия в отборе на получение субсидии</w:t>
      </w:r>
      <w:r>
        <w:rPr>
          <w:rFonts w:cs="Times New Roman" w:ascii="PT Astra Serif" w:hAnsi="PT Astra Serif"/>
          <w:color w:val="000000"/>
          <w:sz w:val="24"/>
          <w:szCs w:val="24"/>
        </w:rPr>
        <w:t xml:space="preserve">, форму сведения об </w:t>
      </w:r>
      <w:r>
        <w:rPr>
          <w:rFonts w:cs="Times New Roman" w:ascii="PT Astra Serif" w:hAnsi="PT Astra Serif"/>
          <w:sz w:val="24"/>
          <w:szCs w:val="24"/>
        </w:rPr>
        <w:t>объемах плановой (производимой) продукции за (предшествующий) месяц, форму реестра затрат, форму справки о соответствии участника требованиям отбора на день подачи предложения.</w:t>
      </w:r>
    </w:p>
    <w:p>
      <w:pPr>
        <w:pStyle w:val="ConsPlusNormal2"/>
        <w:tabs>
          <w:tab w:val="clear" w:pos="708"/>
          <w:tab w:val="left" w:pos="1134" w:leader="none"/>
        </w:tabs>
        <w:spacing w:lineRule="auto" w:line="240" w:before="0" w:after="0"/>
        <w:ind w:left="0" w:right="0" w:firstLine="567"/>
        <w:contextualSpacing/>
        <w:jc w:val="both"/>
        <w:rPr>
          <w:rFonts w:ascii="PT Astra Serif" w:hAnsi="PT Astra Serif"/>
          <w:sz w:val="24"/>
          <w:szCs w:val="24"/>
          <w:u w:val="none"/>
        </w:rPr>
      </w:pPr>
      <w:r>
        <w:rPr>
          <w:rFonts w:cs="Times New Roman" w:ascii="PT Astra Serif" w:hAnsi="PT Astra Serif"/>
          <w:color w:val="000000"/>
          <w:sz w:val="24"/>
          <w:szCs w:val="24"/>
          <w:u w:val="none"/>
        </w:rPr>
        <w:t xml:space="preserve">После принятия проекта будет проведен отбор получателей субсидии </w:t>
      </w:r>
      <w:r>
        <w:rPr>
          <w:rFonts w:cs="Times New Roman" w:ascii="PT Astra Serif" w:hAnsi="PT Astra Serif"/>
          <w:bCs/>
          <w:color w:val="000000"/>
          <w:sz w:val="24"/>
          <w:szCs w:val="24"/>
          <w:u w:val="none"/>
        </w:rPr>
        <w:t xml:space="preserve">на возмещение части затрат на модернизацию материально-технической базы хлебопекарен населенных пунктов Арктической зоны Республики Саха (Якутия) и будут </w:t>
      </w:r>
      <w:r>
        <w:rPr>
          <w:rFonts w:cs="Times New Roman" w:ascii="PT Astra Serif" w:hAnsi="PT Astra Serif"/>
          <w:color w:val="000000"/>
          <w:sz w:val="24"/>
          <w:szCs w:val="24"/>
          <w:u w:val="none"/>
        </w:rPr>
        <w:t>предоставлены</w:t>
      </w:r>
      <w:r>
        <w:rPr>
          <w:rFonts w:cs="Times New Roman" w:ascii="PT Astra Serif" w:hAnsi="PT Astra Serif"/>
          <w:b/>
          <w:bCs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PT Astra Serif" w:hAnsi="PT Astra Serif"/>
          <w:color w:val="000000"/>
          <w:sz w:val="24"/>
          <w:szCs w:val="24"/>
          <w:u w:val="none"/>
        </w:rPr>
        <w:t>такие су</w:t>
      </w:r>
      <w:r>
        <w:rPr>
          <w:rFonts w:cs="Times New Roman" w:ascii="PT Astra Serif" w:hAnsi="PT Astra Serif"/>
          <w:bCs/>
          <w:color w:val="000000"/>
          <w:sz w:val="24"/>
          <w:szCs w:val="24"/>
          <w:u w:val="none"/>
        </w:rPr>
        <w:t xml:space="preserve">бсидии. В результате предоставления субсидии получатели возместят часть своих затрат на закуп и транспортировку производственных оборудований, на установку модульных зданий хлебопекарен.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</w:t>
        <w:tab/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начало: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окончание: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замечаний и предложений: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полностью: , учтено частично: 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PT Astra Serif" w:hAnsi="PT Astra Serif"/>
          <w:sz w:val="24"/>
          <w:szCs w:val="24"/>
          <w:u w:val="single"/>
        </w:rPr>
        <w:t>:</w:t>
      </w:r>
    </w:p>
    <w:p>
      <w:pPr>
        <w:pStyle w:val="ConsPlusNonformat1"/>
        <w:spacing w:lineRule="auto" w:line="240"/>
        <w:ind w:left="0" w:righ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sectPr>
      <w:footerReference w:type="default" r:id="rId26"/>
      <w:type w:val="nextPage"/>
      <w:pgSz w:w="11906" w:h="16838"/>
      <w:pgMar w:left="1701" w:right="850" w:gutter="0" w:header="0" w:top="709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7"/>
      <w:jc w:val="right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3403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34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462pt;margin-top:0.05pt;width:5.6pt;height:26.7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37"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200"/>
      <w:ind w:left="0" w:right="0" w:hanging="0"/>
      <w:jc w:val="both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Style51">
    <w:name w:val="Style5"/>
    <w:link w:val="Style52"/>
    <w:qFormat/>
    <w:rPr>
      <w:rFonts w:ascii="Times New Roman" w:hAnsi="Times New Roman"/>
      <w:sz w:val="24"/>
    </w:rPr>
  </w:style>
  <w:style w:type="character" w:styleId="Style9">
    <w:name w:val="Обычный (веб)"/>
    <w:link w:val="Style30"/>
    <w:qFormat/>
    <w:rPr>
      <w:rFonts w:ascii="Times New Roman" w:hAnsi="Times New Roman"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Style10">
    <w:name w:val="Указатель"/>
    <w:link w:val="Style29"/>
    <w:qFormat/>
    <w:rPr>
      <w:rFonts w:ascii="PT Astra Serif" w:hAnsi="PT Astra Serif"/>
    </w:rPr>
  </w:style>
  <w:style w:type="character" w:styleId="Style11">
    <w:name w:val="Текст выноски Знак"/>
    <w:link w:val="Style31"/>
    <w:qFormat/>
    <w:rPr>
      <w:rFonts w:ascii="Segoe UI" w:hAnsi="Segoe UI"/>
      <w:sz w:val="1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12">
    <w:name w:val="Заголовок таблицы"/>
    <w:basedOn w:val="Style20"/>
    <w:link w:val="Style33"/>
    <w:qFormat/>
    <w:rPr>
      <w:b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Style13">
    <w:name w:val="Верхний колонтитул Знак"/>
    <w:link w:val="Style34"/>
    <w:qFormat/>
    <w:rPr>
      <w:sz w:val="22"/>
    </w:rPr>
  </w:style>
  <w:style w:type="character" w:styleId="Style14">
    <w:name w:val="Основной текст_"/>
    <w:link w:val="Style35"/>
    <w:qFormat/>
    <w:rPr>
      <w:rFonts w:ascii="Times New Roman" w:hAnsi="Times New Roman"/>
      <w:sz w:val="26"/>
    </w:rPr>
  </w:style>
  <w:style w:type="character" w:styleId="21">
    <w:name w:val="Основной текст2"/>
    <w:link w:val="23"/>
    <w:qFormat/>
    <w:rPr>
      <w:rFonts w:ascii="Times New Roman" w:hAnsi="Times New Roman"/>
      <w:sz w:val="26"/>
    </w:rPr>
  </w:style>
  <w:style w:type="character" w:styleId="Footer">
    <w:name w:val="Footer"/>
    <w:qFormat/>
    <w:rPr/>
  </w:style>
  <w:style w:type="character" w:styleId="Style15">
    <w:name w:val="Текст выноски"/>
    <w:link w:val="Style38"/>
    <w:qFormat/>
    <w:rPr>
      <w:rFonts w:ascii="Segoe UI" w:hAnsi="Segoe UI"/>
      <w:sz w:val="18"/>
    </w:rPr>
  </w:style>
  <w:style w:type="character" w:styleId="ConsPlusJurTerm">
    <w:name w:val="ConsPlusJurTerm"/>
    <w:link w:val="ConsPlusJurTerm1"/>
    <w:qFormat/>
    <w:rPr>
      <w:rFonts w:ascii="Tahoma" w:hAnsi="Tahoma"/>
      <w:color w:val="000000"/>
      <w:sz w:val="26"/>
    </w:rPr>
  </w:style>
  <w:style w:type="character" w:styleId="ConsPlusTextList">
    <w:name w:val="ConsPlusTextList"/>
    <w:link w:val="ConsPlusTextList1"/>
    <w:qFormat/>
    <w:rPr>
      <w:rFonts w:ascii="Arial" w:hAnsi="Arial"/>
      <w:color w:val="000000"/>
      <w:sz w:val="20"/>
    </w:rPr>
  </w:style>
  <w:style w:type="character" w:styleId="Style16">
    <w:name w:val="Верхний и нижний колонтитулы"/>
    <w:link w:val="Style39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Textbody">
    <w:name w:val="Text body"/>
    <w:qFormat/>
    <w:rPr/>
  </w:style>
  <w:style w:type="character" w:styleId="Style17">
    <w:name w:val="Основной шрифт абзаца"/>
    <w:link w:val="Style40"/>
    <w:qFormat/>
    <w:rPr/>
  </w:style>
  <w:style w:type="character" w:styleId="ConsPlusTitle">
    <w:name w:val="ConsPlusTitle"/>
    <w:link w:val="ConsPlusTitle1"/>
    <w:qFormat/>
    <w:rPr>
      <w:rFonts w:ascii="Calibri" w:hAnsi="Calibri"/>
      <w:b/>
      <w:color w:val="000000"/>
      <w:sz w:val="22"/>
    </w:rPr>
  </w:style>
  <w:style w:type="character" w:styleId="ConsPlusDocList">
    <w:name w:val="ConsPlusDocList"/>
    <w:link w:val="ConsPlusDocList1"/>
    <w:qFormat/>
    <w:rPr>
      <w:rFonts w:ascii="Courier New" w:hAnsi="Courier New"/>
      <w:color w:val="000000"/>
      <w:sz w:val="20"/>
    </w:rPr>
  </w:style>
  <w:style w:type="character" w:styleId="ConsPlusNormal">
    <w:name w:val="ConsPlusNormal"/>
    <w:link w:val="ConsPlusNormal2"/>
    <w:qFormat/>
    <w:rPr>
      <w:rFonts w:ascii="Calibri" w:hAnsi="Calibri"/>
      <w:color w:val="000000"/>
      <w:sz w:val="22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FontStyle16">
    <w:name w:val="Font Style16"/>
    <w:link w:val="FontStyle161"/>
    <w:qFormat/>
    <w:rPr>
      <w:rFonts w:ascii="Times New Roman" w:hAnsi="Times New Roman"/>
      <w:sz w:val="26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8">
    <w:name w:val="Схема документа"/>
    <w:link w:val="Style41"/>
    <w:qFormat/>
    <w:rPr>
      <w:rFonts w:ascii="Tahoma" w:hAnsi="Tahoma"/>
      <w:sz w:val="16"/>
    </w:rPr>
  </w:style>
  <w:style w:type="character" w:styleId="ConsPlusTitlePage">
    <w:name w:val="ConsPlusTitlePage"/>
    <w:link w:val="ConsPlusTitlePage1"/>
    <w:qFormat/>
    <w:rPr>
      <w:rFonts w:ascii="Tahoma" w:hAnsi="Tahoma"/>
      <w:color w:val="000000"/>
      <w:sz w:val="20"/>
    </w:rPr>
  </w:style>
  <w:style w:type="character" w:styleId="Style19">
    <w:name w:val="Интернет-ссылка"/>
    <w:link w:val="Style42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ConsPlusCell">
    <w:name w:val="ConsPlusCell"/>
    <w:link w:val="ConsPlusCell1"/>
    <w:qFormat/>
    <w:rPr>
      <w:rFonts w:ascii="Courier New" w:hAnsi="Courier New"/>
      <w:color w:val="00000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er">
    <w:name w:val="Header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Style20">
    <w:name w:val="Содержимое таблицы"/>
    <w:link w:val="Style32"/>
    <w:qFormat/>
    <w:rPr/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Style21">
    <w:name w:val="Нижний колонтитул Знак"/>
    <w:link w:val="Style44"/>
    <w:qFormat/>
    <w:rPr>
      <w:sz w:val="22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Style22">
    <w:name w:val="Схема документа Знак"/>
    <w:link w:val="Style45"/>
    <w:qFormat/>
    <w:rPr>
      <w:rFonts w:ascii="Tahoma" w:hAnsi="Tahoma"/>
      <w:sz w:val="16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23">
    <w:name w:val="Заголовок"/>
    <w:link w:val="Style25"/>
    <w:qFormat/>
    <w:rPr>
      <w:rFonts w:ascii="PT Astra Serif" w:hAnsi="PT Astra Serif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Consplusnormal1">
    <w:name w:val="consplusnormal"/>
    <w:link w:val="Consplusnormal3"/>
    <w:qFormat/>
    <w:rPr>
      <w:rFonts w:ascii="Times New Roman" w:hAnsi="Times New Roman"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24">
    <w:name w:val="Выделение"/>
    <w:qFormat/>
    <w:rPr>
      <w:i/>
      <w:iCs/>
    </w:rPr>
  </w:style>
  <w:style w:type="paragraph" w:styleId="Style25">
    <w:name w:val="Заголовок"/>
    <w:basedOn w:val="Normal"/>
    <w:next w:val="Style26"/>
    <w:link w:val="Style23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ascii="PT Astra Serif" w:hAnsi="PT Astra Serif"/>
    </w:rPr>
  </w:style>
  <w:style w:type="paragraph" w:styleId="Style28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9">
    <w:name w:val="Указатель"/>
    <w:basedOn w:val="Normal"/>
    <w:link w:val="Style10"/>
    <w:qFormat/>
    <w:pPr/>
    <w:rPr>
      <w:rFonts w:ascii="PT Astra Serif" w:hAnsi="PT Astra Serif"/>
    </w:rPr>
  </w:style>
  <w:style w:type="paragraph" w:styleId="2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52">
    <w:name w:val="Style5"/>
    <w:basedOn w:val="Normal"/>
    <w:link w:val="Style51"/>
    <w:qFormat/>
    <w:pPr>
      <w:widowControl w:val="false"/>
      <w:spacing w:lineRule="exact" w:line="482" w:before="0" w:after="0"/>
      <w:ind w:left="0" w:right="0" w:firstLine="566"/>
    </w:pPr>
    <w:rPr>
      <w:rFonts w:ascii="Times New Roman" w:hAnsi="Times New Roman"/>
      <w:sz w:val="24"/>
    </w:rPr>
  </w:style>
  <w:style w:type="paragraph" w:styleId="Style30">
    <w:name w:val="Обычный (веб)"/>
    <w:basedOn w:val="Normal"/>
    <w:link w:val="Style9"/>
    <w:qFormat/>
    <w:pPr>
      <w:spacing w:before="0" w:after="150"/>
      <w:jc w:val="left"/>
    </w:pPr>
    <w:rPr>
      <w:rFonts w:ascii="Times New Roman" w:hAnsi="Times New Roman"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Текст выноски Знак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egoe UI" w:hAnsi="Segoe UI" w:eastAsia="Tahoma" w:cs="Noto Sans Devanagari"/>
      <w:color w:val="000000"/>
      <w:spacing w:val="0"/>
      <w:kern w:val="0"/>
      <w:sz w:val="1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Содержимое таблицы"/>
    <w:basedOn w:val="Normal"/>
    <w:link w:val="Style20"/>
    <w:qFormat/>
    <w:pPr>
      <w:widowControl w:val="false"/>
    </w:pPr>
    <w:rPr/>
  </w:style>
  <w:style w:type="paragraph" w:styleId="Style33">
    <w:name w:val="Заголовок таблицы"/>
    <w:basedOn w:val="Style32"/>
    <w:link w:val="Style12"/>
    <w:qFormat/>
    <w:pPr>
      <w:jc w:val="center"/>
    </w:pPr>
    <w:rPr>
      <w:b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Верхний колонтитул Знак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35">
    <w:name w:val="Основной текст_"/>
    <w:link w:val="Style1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highlight w:val="white"/>
      <w:lang w:val="ru-RU" w:eastAsia="zh-CN" w:bidi="hi-IN"/>
    </w:rPr>
  </w:style>
  <w:style w:type="paragraph" w:styleId="23">
    <w:name w:val="Основной текст2"/>
    <w:basedOn w:val="Normal"/>
    <w:link w:val="21"/>
    <w:qFormat/>
    <w:pPr>
      <w:widowControl w:val="false"/>
      <w:spacing w:lineRule="atLeast" w:line="0" w:before="360" w:after="180"/>
    </w:pPr>
    <w:rPr>
      <w:rFonts w:ascii="Times New Roman" w:hAnsi="Times New Roman"/>
      <w:sz w:val="26"/>
    </w:rPr>
  </w:style>
  <w:style w:type="paragraph" w:styleId="Style36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8">
    <w:name w:val="Текст выноски"/>
    <w:basedOn w:val="Normal"/>
    <w:link w:val="Style15"/>
    <w:qFormat/>
    <w:pPr>
      <w:spacing w:before="0" w:after="0"/>
    </w:pPr>
    <w:rPr>
      <w:rFonts w:ascii="Segoe UI" w:hAnsi="Segoe UI"/>
      <w:sz w:val="18"/>
    </w:rPr>
  </w:style>
  <w:style w:type="paragraph" w:styleId="ConsPlusJurTerm1">
    <w:name w:val="ConsPlusJurTerm"/>
    <w:link w:val="ConsPlusJurTerm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ConsPlusTextList1">
    <w:name w:val="ConsPlusTextList"/>
    <w:link w:val="ConsPlusText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9">
    <w:name w:val="Верхний и нижний колонтитулы"/>
    <w:basedOn w:val="Normal"/>
    <w:link w:val="Style16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0">
    <w:name w:val="Основной шрифт абзаца"/>
    <w:link w:val="Style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Title1">
    <w:name w:val="ConsPlusTitle"/>
    <w:link w:val="ConsPlusTitl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DocList1">
    <w:name w:val="ConsPlusDocList"/>
    <w:link w:val="ConsPlusDocLis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rmal2">
    <w:name w:val="ConsPlusNormal"/>
    <w:link w:val="ConsPlusNorma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FontStyle161">
    <w:name w:val="Font Style16"/>
    <w:link w:val="Font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6"/>
      <w:szCs w:val="20"/>
      <w:lang w:val="ru-RU" w:eastAsia="zh-CN" w:bidi="hi-IN"/>
    </w:rPr>
  </w:style>
  <w:style w:type="paragraph" w:styleId="Style41">
    <w:name w:val="Схема документа"/>
    <w:basedOn w:val="Normal"/>
    <w:link w:val="Style18"/>
    <w:qFormat/>
    <w:pPr>
      <w:spacing w:before="0" w:after="0"/>
    </w:pPr>
    <w:rPr>
      <w:rFonts w:ascii="Tahoma" w:hAnsi="Tahoma"/>
      <w:sz w:val="16"/>
    </w:rPr>
  </w:style>
  <w:style w:type="paragraph" w:styleId="ConsPlusTitlePage1">
    <w:name w:val="ConsPlusTitlePage"/>
    <w:link w:val="ConsPlusTitlePage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Cell1">
    <w:name w:val="ConsPlusCell"/>
    <w:link w:val="ConsPlusCell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42">
    <w:name w:val="Интернет-ссылка"/>
    <w:link w:val="Style1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Style4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4">
    <w:name w:val="Нижний колонтитул Знак"/>
    <w:link w:val="Style2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5">
    <w:name w:val="Схема документа Знак"/>
    <w:link w:val="Style2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Noto Sans Devanagari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46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rmal3">
    <w:name w:val="consplusnormal"/>
    <w:basedOn w:val="Normal"/>
    <w:link w:val="Consplusnormal1"/>
    <w:qFormat/>
    <w:pPr>
      <w:spacing w:before="0" w:after="150"/>
      <w:jc w:val="left"/>
    </w:pPr>
    <w:rPr>
      <w:rFonts w:ascii="Times New Roman" w:hAnsi="Times New Roman"/>
      <w:sz w:val="24"/>
    </w:rPr>
  </w:style>
  <w:style w:type="paragraph" w:styleId="Style4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48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62157&amp;dst=100891&amp;field=134&amp;date=02.02.2024" TargetMode="External"/><Relationship Id="rId3" Type="http://schemas.openxmlformats.org/officeDocument/2006/relationships/hyperlink" Target="https://www.consultant.ru/document/cons_doc_LAW_414828/30b3f8c55f65557c253227a65b908cc075ce114a/" TargetMode="External"/><Relationship Id="rId4" Type="http://schemas.openxmlformats.org/officeDocument/2006/relationships/hyperlink" Target="https://login.consultant.ru/link/?req=doc&amp;base=LAW&amp;n=454305&amp;date=20.02.2024" TargetMode="External"/><Relationship Id="rId5" Type="http://schemas.openxmlformats.org/officeDocument/2006/relationships/hyperlink" Target="https://login.consultant.ru/link/?req=doc&amp;base=LAW&amp;n=454305&amp;date=02.02.2024" TargetMode="External"/><Relationship Id="rId6" Type="http://schemas.openxmlformats.org/officeDocument/2006/relationships/hyperlink" Target="https://login.consultant.ru/link/?req=doc&amp;base=RLAW249&amp;n=93993&amp;dst=100055&amp;field=134&amp;date=20.02.2024" TargetMode="External"/><Relationship Id="rId7" Type="http://schemas.openxmlformats.org/officeDocument/2006/relationships/hyperlink" Target="https://login.consultant.ru/link/?req=doc&amp;base=RLAW249&amp;n=93993&amp;dst=100057&amp;field=134&amp;date=20.02.2024" TargetMode="External"/><Relationship Id="rId8" Type="http://schemas.openxmlformats.org/officeDocument/2006/relationships/hyperlink" Target="https://login.consultant.ru/link/?req=doc&amp;base=RLAW249&amp;n=93993&amp;dst=100060&amp;field=134&amp;date=20.02.2024" TargetMode="External"/><Relationship Id="rId9" Type="http://schemas.openxmlformats.org/officeDocument/2006/relationships/hyperlink" Target="https://login.consultant.ru/link/?req=doc&amp;base=RLAW249&amp;n=93993&amp;dst=100062&amp;field=134&amp;date=20.02.2024" TargetMode="External"/><Relationship Id="rId10" Type="http://schemas.openxmlformats.org/officeDocument/2006/relationships/hyperlink" Target="https://login.consultant.ru/link/?req=doc&amp;base=RLAW249&amp;n=93993&amp;dst=100086&amp;field=134&amp;date=20.02.2024" TargetMode="External"/><Relationship Id="rId11" Type="http://schemas.openxmlformats.org/officeDocument/2006/relationships/hyperlink" Target="https://login.consultant.ru/link/?req=doc&amp;base=RLAW249&amp;n=93993&amp;dst=100054&amp;field=134&amp;date=20.02.2024" TargetMode="External"/><Relationship Id="rId12" Type="http://schemas.openxmlformats.org/officeDocument/2006/relationships/hyperlink" Target="https://login.consultant.ru/link/?req=doc&amp;base=RLAW249&amp;n=93947&amp;dst=100031&amp;field=134&amp;date=20.02.2024" TargetMode="External"/><Relationship Id="rId13" Type="http://schemas.openxmlformats.org/officeDocument/2006/relationships/hyperlink" Target="https://login.consultant.ru/link/?req=doc&amp;base=RLAW249&amp;n=93993&amp;dst=100058&amp;field=134&amp;date=20.02.2024" TargetMode="External"/><Relationship Id="rId14" Type="http://schemas.openxmlformats.org/officeDocument/2006/relationships/hyperlink" Target="https://login.consultant.ru/link/?req=doc&amp;base=RLAW249&amp;n=93993&amp;dst=100059&amp;field=134&amp;date=20.02.2024" TargetMode="External"/><Relationship Id="rId15" Type="http://schemas.openxmlformats.org/officeDocument/2006/relationships/hyperlink" Target="https://login.consultant.ru/link/?req=doc&amp;base=RLAW249&amp;n=93993&amp;dst=100106&amp;field=134&amp;date=20.02.2024" TargetMode="External"/><Relationship Id="rId16" Type="http://schemas.openxmlformats.org/officeDocument/2006/relationships/hyperlink" Target="https://login.consultant.ru/link/?req=doc&amp;base=RLAW249&amp;n=93993&amp;dst=100086&amp;field=134&amp;date=20.02.2024" TargetMode="External"/><Relationship Id="rId17" Type="http://schemas.openxmlformats.org/officeDocument/2006/relationships/hyperlink" Target="https://login.consultant.ru/link/?req=doc&amp;base=RLAW249&amp;n=93993&amp;dst=100025&amp;field=134&amp;date=20.02.2024" TargetMode="External"/><Relationship Id="rId18" Type="http://schemas.openxmlformats.org/officeDocument/2006/relationships/hyperlink" Target="https://login.consultant.ru/link/?req=doc&amp;base=LAW&amp;n=121087&amp;dst=100142&amp;field=134&amp;date=05.02.2024" TargetMode="External"/><Relationship Id="rId19" Type="http://schemas.openxmlformats.org/officeDocument/2006/relationships/hyperlink" Target="https://login.consultant.ru/link/?req=doc&amp;base=LAW&amp;n=452913&amp;date=05.02.2024" TargetMode="External"/><Relationship Id="rId20" Type="http://schemas.openxmlformats.org/officeDocument/2006/relationships/hyperlink" Target="https://login.consultant.ru/link/?req=doc&amp;base=LAW&amp;n=451215&amp;dst=5769&amp;field=134&amp;date=05.02.2024" TargetMode="External"/><Relationship Id="rId21" Type="http://schemas.openxmlformats.org/officeDocument/2006/relationships/hyperlink" Target="https://login.consultant.ru/link/?req=doc&amp;base=LAW&amp;n=452991&amp;date=02.02.2024&amp;dst=217&amp;field=134" TargetMode="External"/><Relationship Id="rId22" Type="http://schemas.openxmlformats.org/officeDocument/2006/relationships/hyperlink" Target="https://login.consultant.ru/link/?req=doc&amp;base=LAW&amp;n=452991&amp;date=02.02.2024&amp;dst=217&amp;field=134" TargetMode="External"/><Relationship Id="rId23" Type="http://schemas.openxmlformats.org/officeDocument/2006/relationships/hyperlink" Target="https://login.consultant.ru/link/?req=doc&amp;base=LAW&amp;n=394431&amp;date=02.02.2024&amp;dst=100104&amp;field=134" TargetMode="External"/><Relationship Id="rId24" Type="http://schemas.openxmlformats.org/officeDocument/2006/relationships/hyperlink" Target="https://login.consultant.ru/link/?req=doc&amp;base=RLAW249&amp;n=96286&amp;dst=100016&amp;field=134&amp;date=02.02.2024" TargetMode="External"/><Relationship Id="rId25" Type="http://schemas.openxmlformats.org/officeDocument/2006/relationships/hyperlink" Target="https://login.consultant.ru/link/?req=doc&amp;base=LAW&amp;n=462157&amp;dst=100891&amp;field=134&amp;date=02.02.2024" TargetMode="Externa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LibreOffice/7.3.6.2$Linux_X86_64 LibreOffice_project/30$Build-2</Application>
  <AppVersion>15.0000</AppVersion>
  <Pages>20</Pages>
  <Words>4114</Words>
  <Characters>30108</Characters>
  <CharactersWithSpaces>34109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2024-02-20T15:22:40Z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