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07" w:rsidRDefault="006B28DE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263"/>
      <w:bookmarkEnd w:id="0"/>
      <w:r>
        <w:rPr>
          <w:rFonts w:ascii="Times New Roman" w:hAnsi="Times New Roman"/>
          <w:sz w:val="24"/>
        </w:rPr>
        <w:t>СВОДНЫЙ ОТЧЕТ</w:t>
      </w:r>
    </w:p>
    <w:p w:rsidR="00CD0D07" w:rsidRDefault="006B28D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результатах проведения оценки регулирующего</w:t>
      </w:r>
    </w:p>
    <w:p w:rsidR="00CD0D07" w:rsidRDefault="006B28D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воздействия проекта нормативного правового акта</w:t>
      </w:r>
    </w:p>
    <w:p w:rsidR="00CD0D07" w:rsidRDefault="00CD0D07">
      <w:pPr>
        <w:pStyle w:val="ConsPlusNonformat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Общая информация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1.1.</w:t>
      </w:r>
      <w:r>
        <w:rPr>
          <w:rFonts w:ascii="Times New Roman" w:hAnsi="Times New Roman"/>
          <w:sz w:val="24"/>
          <w:u w:val="single"/>
        </w:rPr>
        <w:tab/>
        <w:t>Орган-разработчик:</w:t>
      </w:r>
      <w:r>
        <w:rPr>
          <w:rFonts w:ascii="Times New Roman" w:hAnsi="Times New Roman"/>
          <w:sz w:val="24"/>
        </w:rPr>
        <w:t xml:space="preserve"> 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1.2.</w:t>
      </w:r>
      <w:r>
        <w:rPr>
          <w:rFonts w:ascii="Times New Roman" w:hAnsi="Times New Roman"/>
          <w:sz w:val="24"/>
          <w:u w:val="single"/>
        </w:rPr>
        <w:tab/>
        <w:t>Вид и наименование проекта нормативного правового акта: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1.3.</w:t>
      </w:r>
      <w:r>
        <w:rPr>
          <w:rFonts w:ascii="Times New Roman" w:hAnsi="Times New Roman"/>
          <w:sz w:val="24"/>
          <w:u w:val="single"/>
        </w:rPr>
        <w:tab/>
        <w:t xml:space="preserve">Краткое описание проблемы, на </w:t>
      </w:r>
      <w:r>
        <w:rPr>
          <w:rFonts w:ascii="Times New Roman" w:hAnsi="Times New Roman"/>
          <w:sz w:val="24"/>
          <w:u w:val="single"/>
        </w:rPr>
        <w:t>решение которой направлено предлагаемое правовое регулирование: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1.4.</w:t>
      </w:r>
      <w:r>
        <w:rPr>
          <w:rFonts w:ascii="Times New Roman" w:hAnsi="Times New Roman"/>
          <w:sz w:val="24"/>
          <w:u w:val="single"/>
        </w:rPr>
        <w:tab/>
        <w:t>Краткое описание целей предлагаемого правового регулирования:</w:t>
      </w:r>
    </w:p>
    <w:p w:rsidR="00CD0D07" w:rsidRDefault="00CD0D0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1.5.</w:t>
      </w:r>
      <w:r>
        <w:rPr>
          <w:rFonts w:ascii="Times New Roman" w:hAnsi="Times New Roman"/>
          <w:sz w:val="24"/>
          <w:u w:val="single"/>
        </w:rPr>
        <w:tab/>
        <w:t xml:space="preserve">Краткое описание содержания предлагаемого правового регулирования: </w:t>
      </w:r>
    </w:p>
    <w:p w:rsidR="00CD0D07" w:rsidRDefault="00CD0D07">
      <w:pPr>
        <w:spacing w:after="0"/>
        <w:ind w:firstLine="567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1.6.</w:t>
      </w:r>
      <w:r>
        <w:rPr>
          <w:rFonts w:ascii="Times New Roman" w:hAnsi="Times New Roman"/>
          <w:sz w:val="24"/>
          <w:u w:val="single"/>
        </w:rPr>
        <w:tab/>
        <w:t>Контактная информация исполнителя в органе-р</w:t>
      </w:r>
      <w:r>
        <w:rPr>
          <w:rFonts w:ascii="Times New Roman" w:hAnsi="Times New Roman"/>
          <w:sz w:val="24"/>
          <w:u w:val="single"/>
        </w:rPr>
        <w:t>азработчике: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Ф.И.О: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Должность: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>Телефон: , адрес электронной почты: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1.7.</w:t>
      </w:r>
      <w:r>
        <w:rPr>
          <w:rFonts w:ascii="Times New Roman" w:hAnsi="Times New Roman"/>
          <w:sz w:val="24"/>
          <w:u w:val="single"/>
        </w:rPr>
        <w:tab/>
        <w:t>Степень регулирующего воздействия проекта нормативного правового акта:</w:t>
      </w:r>
    </w:p>
    <w:p w:rsidR="00CD0D07" w:rsidRDefault="00CD0D0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1.8.</w:t>
      </w:r>
      <w:r>
        <w:rPr>
          <w:rFonts w:ascii="Times New Roman" w:hAnsi="Times New Roman"/>
          <w:sz w:val="24"/>
          <w:u w:val="single"/>
        </w:rPr>
        <w:tab/>
        <w:t>Обоснование отнесения проекта нормативного правового акта к определенной степени регулирующего воздействи</w:t>
      </w:r>
      <w:r>
        <w:rPr>
          <w:rFonts w:ascii="Times New Roman" w:hAnsi="Times New Roman"/>
          <w:sz w:val="24"/>
          <w:u w:val="single"/>
        </w:rPr>
        <w:t>я: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Описание проблемы, на решение которой направлено предлагаемое правовое регулирование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2.1.</w:t>
      </w:r>
      <w:r>
        <w:rPr>
          <w:rFonts w:ascii="Times New Roman" w:hAnsi="Times New Roman"/>
          <w:sz w:val="24"/>
          <w:u w:val="single"/>
        </w:rPr>
        <w:tab/>
        <w:t>Формулировка проблемы:</w:t>
      </w:r>
    </w:p>
    <w:p w:rsidR="00CD0D07" w:rsidRDefault="00CD0D07">
      <w:pPr>
        <w:pStyle w:val="consplusnormal1"/>
        <w:spacing w:after="0"/>
        <w:ind w:firstLine="567"/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2.2.</w:t>
      </w:r>
      <w:r>
        <w:rPr>
          <w:rFonts w:ascii="Times New Roman" w:hAnsi="Times New Roman"/>
          <w:sz w:val="24"/>
          <w:u w:val="single"/>
        </w:rPr>
        <w:tab/>
        <w:t xml:space="preserve">Информация о возникновении, выявлении проблемы и мерах, принятых ранее для ее решения, достигнутых результатах и затраченных </w:t>
      </w:r>
      <w:r>
        <w:rPr>
          <w:rFonts w:ascii="Times New Roman" w:hAnsi="Times New Roman"/>
          <w:sz w:val="24"/>
          <w:u w:val="single"/>
        </w:rPr>
        <w:t>ресурсах:</w:t>
      </w:r>
    </w:p>
    <w:p w:rsidR="00CD0D07" w:rsidRDefault="00CD0D07">
      <w:pPr>
        <w:spacing w:after="0"/>
        <w:ind w:firstLine="567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2.3.</w:t>
      </w:r>
      <w:r>
        <w:rPr>
          <w:rFonts w:ascii="Times New Roman" w:hAnsi="Times New Roman"/>
          <w:sz w:val="24"/>
          <w:u w:val="single"/>
        </w:rPr>
        <w:tab/>
        <w:t>Социальные группы, заинтересованные в устранении проблемы, их количественная оценка:</w:t>
      </w:r>
    </w:p>
    <w:p w:rsidR="00CD0D07" w:rsidRDefault="00CD0D0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2.4.</w:t>
      </w:r>
      <w:r>
        <w:rPr>
          <w:rFonts w:ascii="Times New Roman" w:hAnsi="Times New Roman"/>
          <w:sz w:val="24"/>
          <w:u w:val="single"/>
        </w:rPr>
        <w:tab/>
        <w:t xml:space="preserve">Характеристика негативных эффектов, возникающих в связи с наличием проблемы, их количественная оценка: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2.5.</w:t>
      </w:r>
      <w:r>
        <w:rPr>
          <w:rFonts w:ascii="Times New Roman" w:hAnsi="Times New Roman"/>
          <w:sz w:val="24"/>
          <w:u w:val="single"/>
        </w:rPr>
        <w:tab/>
        <w:t>Причины возникновения проблемы и фактор</w:t>
      </w:r>
      <w:r>
        <w:rPr>
          <w:rFonts w:ascii="Times New Roman" w:hAnsi="Times New Roman"/>
          <w:sz w:val="24"/>
          <w:u w:val="single"/>
        </w:rPr>
        <w:t>ы, поддерживающие ее существование:</w:t>
      </w:r>
      <w:r>
        <w:rPr>
          <w:rFonts w:ascii="Times New Roman" w:hAnsi="Times New Roman"/>
          <w:sz w:val="24"/>
        </w:rPr>
        <w:t xml:space="preserve">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2.6.</w:t>
      </w:r>
      <w:r>
        <w:rPr>
          <w:rFonts w:ascii="Times New Roman" w:hAnsi="Times New Roman"/>
          <w:sz w:val="24"/>
          <w:u w:val="single"/>
        </w:rPr>
        <w:tab/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/>
          <w:sz w:val="24"/>
        </w:rPr>
        <w:t xml:space="preserve">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2.7.</w:t>
      </w:r>
      <w:r>
        <w:rPr>
          <w:rFonts w:ascii="Times New Roman" w:hAnsi="Times New Roman"/>
          <w:sz w:val="24"/>
          <w:u w:val="single"/>
        </w:rPr>
        <w:tab/>
        <w:t>Опыт решения аналогичных проблем в других субъектах Российской Федерации, иностран</w:t>
      </w:r>
      <w:r>
        <w:rPr>
          <w:rFonts w:ascii="Times New Roman" w:hAnsi="Times New Roman"/>
          <w:sz w:val="24"/>
          <w:u w:val="single"/>
        </w:rPr>
        <w:t>ных государствах:</w:t>
      </w:r>
      <w:r>
        <w:rPr>
          <w:rFonts w:ascii="Times New Roman" w:hAnsi="Times New Roman"/>
          <w:sz w:val="24"/>
        </w:rPr>
        <w:t xml:space="preserve"> принятие нормативно-правовых актов.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2.8.</w:t>
      </w:r>
      <w:r>
        <w:rPr>
          <w:rFonts w:ascii="Times New Roman" w:hAnsi="Times New Roman"/>
          <w:sz w:val="24"/>
          <w:u w:val="single"/>
        </w:rPr>
        <w:tab/>
        <w:t xml:space="preserve">Источники данных: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2.9.</w:t>
      </w:r>
      <w:r>
        <w:rPr>
          <w:rFonts w:ascii="Times New Roman" w:hAnsi="Times New Roman"/>
          <w:sz w:val="24"/>
          <w:u w:val="single"/>
        </w:rPr>
        <w:tab/>
        <w:t>Иная информация о проблеме</w:t>
      </w:r>
      <w:r>
        <w:rPr>
          <w:rFonts w:ascii="Times New Roman" w:hAnsi="Times New Roman"/>
          <w:sz w:val="24"/>
        </w:rPr>
        <w:t xml:space="preserve">: 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  <w:t>Определение целей предлагаемого правового регулирования и индикаторов для оценки их достижения</w:t>
      </w:r>
      <w: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2"/>
        <w:gridCol w:w="3117"/>
        <w:gridCol w:w="2701"/>
      </w:tblGrid>
      <w:tr w:rsidR="00CD0D07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</w:t>
            </w:r>
            <w:r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Периодичность мониторинга достижения целей </w:t>
            </w:r>
            <w:r>
              <w:rPr>
                <w:rFonts w:ascii="Times New Roman" w:hAnsi="Times New Roman"/>
                <w:sz w:val="24"/>
              </w:rPr>
              <w:lastRenderedPageBreak/>
              <w:t>предлагаемого правового регулирования</w:t>
            </w:r>
          </w:p>
        </w:tc>
      </w:tr>
      <w:tr w:rsidR="00CD0D07">
        <w:trPr>
          <w:trHeight w:val="105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0D07" w:rsidRDefault="00CD0D07">
      <w:pPr>
        <w:spacing w:after="0"/>
        <w:ind w:firstLine="567"/>
        <w:rPr>
          <w:rFonts w:ascii="Times New Roman" w:hAnsi="Times New Roman"/>
          <w:color w:val="00B0F0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3.4</w:t>
      </w:r>
      <w:r>
        <w:rPr>
          <w:rFonts w:ascii="Times New Roman" w:hAnsi="Times New Roman"/>
          <w:sz w:val="24"/>
          <w:u w:val="single"/>
        </w:rPr>
        <w:tab/>
        <w:t xml:space="preserve">Методы расчета индикаторов достижения целей предлагаемого правового регулирования, </w:t>
      </w:r>
      <w:r>
        <w:rPr>
          <w:rFonts w:ascii="Times New Roman" w:hAnsi="Times New Roman"/>
          <w:sz w:val="24"/>
          <w:u w:val="single"/>
        </w:rPr>
        <w:t>источники информации для расчетов:</w:t>
      </w:r>
      <w:r>
        <w:rPr>
          <w:rFonts w:ascii="Times New Roman" w:hAnsi="Times New Roman"/>
          <w:sz w:val="24"/>
        </w:rPr>
        <w:t xml:space="preserve"> 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3.5.</w:t>
      </w:r>
      <w:r>
        <w:rPr>
          <w:rFonts w:ascii="Times New Roman" w:hAnsi="Times New Roman"/>
          <w:sz w:val="24"/>
          <w:u w:val="single"/>
        </w:rPr>
        <w:tab/>
        <w:t>Проведение мониторинга и иные способы (методы) оценки достижения целей предлагаемого правового регулирования: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3.6.</w:t>
      </w:r>
      <w:r>
        <w:rPr>
          <w:rFonts w:ascii="Times New Roman" w:hAnsi="Times New Roman"/>
          <w:sz w:val="24"/>
          <w:u w:val="single"/>
        </w:rPr>
        <w:tab/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4"/>
        </w:rPr>
        <w:t xml:space="preserve">: </w:t>
      </w: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3.7.</w:t>
      </w:r>
      <w:r>
        <w:rPr>
          <w:rFonts w:ascii="Times New Roman" w:hAnsi="Times New Roman"/>
          <w:sz w:val="24"/>
          <w:u w:val="single"/>
        </w:rPr>
        <w:tab/>
        <w:t xml:space="preserve">Источники информации для расчета индикаторов: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  <w:t xml:space="preserve">Качественная характеристика и оценка численности потенциальных адресатов </w:t>
      </w:r>
      <w:r>
        <w:t>предлагаемого правового регулирования (их групп)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9"/>
        <w:gridCol w:w="2225"/>
        <w:gridCol w:w="3561"/>
      </w:tblGrid>
      <w:tr w:rsidR="00CD0D07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</w:t>
            </w:r>
            <w:r>
              <w:rPr>
                <w:rFonts w:ascii="Times New Roman" w:hAnsi="Times New Roman"/>
                <w:sz w:val="24"/>
              </w:rPr>
              <w:t>ткое описание их качественных характеристик)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CD0D07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0D07" w:rsidRDefault="00CD0D0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</w:t>
      </w:r>
      <w:r>
        <w:rPr>
          <w:rFonts w:ascii="Times New Roman" w:hAnsi="Times New Roman"/>
          <w:b/>
          <w:sz w:val="24"/>
        </w:rPr>
        <w:t xml:space="preserve">кже порядка их реализации в связи с введением предлагаемого правового регулирования </w:t>
      </w:r>
    </w:p>
    <w:p w:rsidR="00CD0D07" w:rsidRDefault="00CD0D0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3"/>
        <w:gridCol w:w="1834"/>
        <w:gridCol w:w="1835"/>
        <w:gridCol w:w="1977"/>
        <w:gridCol w:w="1575"/>
      </w:tblGrid>
      <w:tr w:rsidR="00CD0D0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5.4. Оценка </w:t>
            </w:r>
            <w:r>
              <w:rPr>
                <w:rFonts w:ascii="Times New Roman" w:hAnsi="Times New Roman"/>
                <w:sz w:val="24"/>
              </w:rPr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CD0D0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117"/>
        <w:gridCol w:w="1842"/>
        <w:gridCol w:w="2135"/>
      </w:tblGrid>
      <w:tr w:rsidR="00CD0D0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.1. Виды рисков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.2. Оценка вероятности наступления неблагоприятных последствий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.3. Методы контроля рисков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.4. Степень контроля рисков (полный/частичный/отсутствует)</w:t>
            </w:r>
          </w:p>
        </w:tc>
      </w:tr>
      <w:tr w:rsidR="00CD0D0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>
        <w:t xml:space="preserve">Сравнение возможных вариантов решения проблемы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9"/>
        <w:gridCol w:w="2267"/>
        <w:gridCol w:w="2135"/>
      </w:tblGrid>
      <w:tr w:rsidR="00CD0D0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2 </w:t>
            </w:r>
          </w:p>
        </w:tc>
      </w:tr>
      <w:tr w:rsidR="00CD0D0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.1. Содержание варианта решения проблемы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CD0D0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CD0D07">
        <w:trPr>
          <w:trHeight w:val="27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both"/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0D0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.3. Оценка рисков неблагоприятных последствий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0D0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D07" w:rsidRDefault="006B28D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D07" w:rsidRDefault="00CD0D0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0D07" w:rsidRDefault="00CD0D0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CD0D07" w:rsidRDefault="006B28DE">
      <w:pPr>
        <w:pStyle w:val="ConsPlusNonformat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4"/>
          <w:u w:val="single"/>
        </w:rPr>
        <w:t>7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  <w:t xml:space="preserve">Детальное описание предлагаемого </w:t>
      </w:r>
      <w:r>
        <w:rPr>
          <w:rFonts w:ascii="Times New Roman" w:hAnsi="Times New Roman"/>
          <w:sz w:val="24"/>
          <w:u w:val="single"/>
        </w:rPr>
        <w:t>варианта решения проблемы:</w:t>
      </w:r>
    </w:p>
    <w:p w:rsidR="00CD0D07" w:rsidRDefault="00CD0D0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b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>Информация о сроках проведения публичных консультаций по проекту нормативного правового акта и сводному отчету</w:t>
      </w:r>
      <w:r>
        <w:rPr>
          <w:rFonts w:ascii="Times New Roman" w:hAnsi="Times New Roman"/>
          <w:sz w:val="24"/>
        </w:rPr>
        <w:t xml:space="preserve">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начало: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окончание: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Сведения о количестве замечаний и предлож</w:t>
      </w:r>
      <w:r>
        <w:rPr>
          <w:rFonts w:ascii="Times New Roman" w:hAnsi="Times New Roman"/>
          <w:sz w:val="24"/>
        </w:rPr>
        <w:t>ений, полученных в ходе публичных консультаций по проекту нормативного правового акта: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:rsidR="00CD0D07" w:rsidRDefault="006B28DE">
      <w:pPr>
        <w:pStyle w:val="ConsPlusNonformat"/>
        <w:ind w:firstLine="567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.3. Полный электронный адрес размещения сводки предложений, поступивших по итогам проведения публичных к</w:t>
      </w:r>
      <w:r>
        <w:rPr>
          <w:rFonts w:ascii="Times New Roman" w:hAnsi="Times New Roman"/>
          <w:sz w:val="24"/>
        </w:rPr>
        <w:t>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:rsidR="00CD0D07" w:rsidRDefault="006B28D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bookmarkStart w:id="1" w:name="_GoBack"/>
      <w:bookmarkEnd w:id="1"/>
    </w:p>
    <w:sectPr w:rsidR="00CD0D07">
      <w:footerReference w:type="default" r:id="rId6"/>
      <w:pgSz w:w="11906" w:h="16838"/>
      <w:pgMar w:top="709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28DE">
      <w:pPr>
        <w:spacing w:after="0"/>
      </w:pPr>
      <w:r>
        <w:separator/>
      </w:r>
    </w:p>
  </w:endnote>
  <w:endnote w:type="continuationSeparator" w:id="0">
    <w:p w:rsidR="00000000" w:rsidRDefault="006B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07" w:rsidRDefault="006B28D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CD0D07" w:rsidRDefault="00CD0D07">
    <w:pPr>
      <w:pStyle w:val="a5"/>
      <w:jc w:val="right"/>
    </w:pPr>
  </w:p>
  <w:p w:rsidR="00CD0D07" w:rsidRDefault="00CD0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28DE">
      <w:pPr>
        <w:spacing w:after="0"/>
      </w:pPr>
      <w:r>
        <w:separator/>
      </w:r>
    </w:p>
  </w:footnote>
  <w:footnote w:type="continuationSeparator" w:id="0">
    <w:p w:rsidR="00000000" w:rsidRDefault="006B2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07"/>
    <w:rsid w:val="006B28DE"/>
    <w:rsid w:val="00C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9A9B-915F-438F-B00E-C526BC87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/>
      <w:jc w:val="both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a3">
    <w:name w:val="Схема документа Знак"/>
    <w:link w:val="a4"/>
    <w:rPr>
      <w:rFonts w:ascii="Tahoma" w:hAnsi="Tahoma"/>
      <w:sz w:val="16"/>
    </w:rPr>
  </w:style>
  <w:style w:type="character" w:customStyle="1" w:styleId="a4">
    <w:name w:val="Схема документа Знак"/>
    <w:link w:val="a3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5"/>
    <w:rPr>
      <w:rFonts w:ascii="Calibri" w:hAnsi="Calibri"/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6">
    <w:name w:val="Верхний колонтитул Знак"/>
    <w:link w:val="a7"/>
    <w:rPr>
      <w:sz w:val="22"/>
    </w:rPr>
  </w:style>
  <w:style w:type="character" w:customStyle="1" w:styleId="a7">
    <w:name w:val="Верхний колонтитул Знак"/>
    <w:link w:val="a6"/>
    <w:rPr>
      <w:sz w:val="22"/>
    </w:rPr>
  </w:style>
  <w:style w:type="paragraph" w:styleId="a8">
    <w:name w:val="index heading"/>
    <w:basedOn w:val="a"/>
    <w:link w:val="a9"/>
    <w:rPr>
      <w:rFonts w:ascii="PT Astra Serif" w:hAnsi="PT Astra Serif"/>
    </w:rPr>
  </w:style>
  <w:style w:type="character" w:customStyle="1" w:styleId="a9">
    <w:name w:val="Указатель Знак"/>
    <w:basedOn w:val="1"/>
    <w:link w:val="a8"/>
    <w:rPr>
      <w:rFonts w:ascii="PT Astra Serif" w:hAnsi="PT Astra Serif"/>
      <w:color w:val="000000"/>
      <w:sz w:val="22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color w:val="000000"/>
      <w:sz w:val="20"/>
    </w:rPr>
  </w:style>
  <w:style w:type="paragraph" w:customStyle="1" w:styleId="aa">
    <w:name w:val="Текст выноски Знак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paragraph" w:styleId="ac">
    <w:name w:val="Balloon Text"/>
    <w:basedOn w:val="a"/>
    <w:link w:val="13"/>
    <w:pPr>
      <w:spacing w:after="0"/>
    </w:pPr>
    <w:rPr>
      <w:rFonts w:ascii="Segoe UI" w:hAnsi="Segoe UI"/>
      <w:sz w:val="18"/>
    </w:rPr>
  </w:style>
  <w:style w:type="character" w:customStyle="1" w:styleId="13">
    <w:name w:val="Текст выноски Знак1"/>
    <w:basedOn w:val="1"/>
    <w:link w:val="ac"/>
    <w:rPr>
      <w:rFonts w:ascii="Segoe UI" w:hAnsi="Segoe UI"/>
      <w:color w:val="000000"/>
      <w:sz w:val="18"/>
    </w:rPr>
  </w:style>
  <w:style w:type="paragraph" w:customStyle="1" w:styleId="ad">
    <w:name w:val="Верхний и нижний колонтитулы"/>
    <w:basedOn w:val="a"/>
    <w:link w:val="ae"/>
    <w:pPr>
      <w:tabs>
        <w:tab w:val="center" w:pos="4819"/>
        <w:tab w:val="right" w:pos="9638"/>
      </w:tabs>
    </w:pPr>
  </w:style>
  <w:style w:type="character" w:customStyle="1" w:styleId="ae">
    <w:name w:val="Верхний и нижний колонтитулы"/>
    <w:basedOn w:val="1"/>
    <w:link w:val="ad"/>
    <w:rPr>
      <w:rFonts w:ascii="Calibri" w:hAnsi="Calibri"/>
      <w:color w:val="000000"/>
      <w:sz w:val="22"/>
    </w:rPr>
  </w:style>
  <w:style w:type="paragraph" w:styleId="af">
    <w:name w:val="Body Text"/>
    <w:basedOn w:val="a"/>
    <w:link w:val="af0"/>
    <w:pPr>
      <w:spacing w:after="140" w:line="276" w:lineRule="auto"/>
    </w:pPr>
  </w:style>
  <w:style w:type="character" w:customStyle="1" w:styleId="af0">
    <w:name w:val="Основной текст Знак"/>
    <w:basedOn w:val="1"/>
    <w:link w:val="af"/>
    <w:rPr>
      <w:rFonts w:ascii="Calibri" w:hAnsi="Calibri"/>
      <w:color w:val="000000"/>
      <w:sz w:val="22"/>
    </w:rPr>
  </w:style>
  <w:style w:type="paragraph" w:customStyle="1" w:styleId="af1">
    <w:name w:val="Содержимое таблицы"/>
    <w:basedOn w:val="a"/>
    <w:link w:val="af2"/>
    <w:pPr>
      <w:widowControl w:val="0"/>
    </w:pPr>
  </w:style>
  <w:style w:type="character" w:customStyle="1" w:styleId="af2">
    <w:name w:val="Содержимое таблицы"/>
    <w:basedOn w:val="1"/>
    <w:link w:val="af1"/>
    <w:rPr>
      <w:rFonts w:ascii="Calibri" w:hAnsi="Calibri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3">
    <w:name w:val="Normal (Web)"/>
    <w:basedOn w:val="a"/>
    <w:link w:val="af4"/>
    <w:pPr>
      <w:spacing w:after="150"/>
      <w:jc w:val="left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color w:val="000000"/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color w:val="000000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5">
    <w:name w:val="List"/>
    <w:basedOn w:val="af"/>
    <w:link w:val="af6"/>
    <w:rPr>
      <w:rFonts w:ascii="PT Astra Serif" w:hAnsi="PT Astra Serif"/>
    </w:rPr>
  </w:style>
  <w:style w:type="character" w:customStyle="1" w:styleId="af6">
    <w:name w:val="Список Знак"/>
    <w:basedOn w:val="af0"/>
    <w:link w:val="af5"/>
    <w:rPr>
      <w:rFonts w:ascii="PT Astra Serif" w:hAnsi="PT Astra Serif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7">
    <w:name w:val="Заголовок"/>
    <w:basedOn w:val="a"/>
    <w:next w:val="af"/>
    <w:link w:val="af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8">
    <w:name w:val="Заголовок"/>
    <w:basedOn w:val="1"/>
    <w:link w:val="af7"/>
    <w:rPr>
      <w:rFonts w:ascii="PT Astra Serif" w:hAnsi="PT Astra Serif"/>
      <w:color w:val="000000"/>
      <w:sz w:val="28"/>
    </w:rPr>
  </w:style>
  <w:style w:type="paragraph" w:customStyle="1" w:styleId="14">
    <w:name w:val="Гиперссылка1"/>
    <w:link w:val="af9"/>
    <w:rPr>
      <w:color w:val="0000FF"/>
      <w:u w:val="single"/>
    </w:rPr>
  </w:style>
  <w:style w:type="character" w:styleId="af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1">
    <w:name w:val="consplusnormal"/>
    <w:basedOn w:val="a"/>
    <w:link w:val="consplusnormal2"/>
    <w:pPr>
      <w:spacing w:after="150"/>
      <w:jc w:val="left"/>
    </w:pPr>
    <w:rPr>
      <w:rFonts w:ascii="Times New Roman" w:hAnsi="Times New Roman"/>
      <w:sz w:val="24"/>
    </w:rPr>
  </w:style>
  <w:style w:type="character" w:customStyle="1" w:styleId="consplusnormal2">
    <w:name w:val="consplusnormal"/>
    <w:basedOn w:val="1"/>
    <w:link w:val="consplusnormal1"/>
    <w:rPr>
      <w:rFonts w:ascii="Times New Roman" w:hAnsi="Times New Roman"/>
      <w:color w:val="000000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a">
    <w:name w:val="caption"/>
    <w:basedOn w:val="a"/>
    <w:link w:val="af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="PT Astra Serif" w:hAnsi="PT Astra Serif"/>
      <w:i/>
      <w:color w:val="000000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paragraph" w:styleId="afc">
    <w:name w:val="Document Map"/>
    <w:basedOn w:val="a"/>
    <w:link w:val="17"/>
    <w:pPr>
      <w:spacing w:after="0"/>
    </w:pPr>
    <w:rPr>
      <w:rFonts w:ascii="Tahoma" w:hAnsi="Tahoma"/>
      <w:sz w:val="16"/>
    </w:rPr>
  </w:style>
  <w:style w:type="character" w:customStyle="1" w:styleId="17">
    <w:name w:val="Схема документа Знак1"/>
    <w:basedOn w:val="1"/>
    <w:link w:val="afc"/>
    <w:rPr>
      <w:rFonts w:ascii="Tahoma" w:hAnsi="Tahoma"/>
      <w:color w:val="000000"/>
      <w:sz w:val="16"/>
    </w:rPr>
  </w:style>
  <w:style w:type="paragraph" w:customStyle="1" w:styleId="FontStyle16">
    <w:name w:val="Font Style16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link w:val="FontStyle16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482" w:lineRule="exact"/>
      <w:ind w:firstLine="566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styleId="afd">
    <w:name w:val="head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1"/>
    <w:link w:val="afd"/>
    <w:rPr>
      <w:rFonts w:ascii="Calibri" w:hAnsi="Calibri"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e">
    <w:name w:val="Заголовок таблицы"/>
    <w:basedOn w:val="af1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2"/>
    <w:link w:val="afe"/>
    <w:rPr>
      <w:rFonts w:ascii="Calibri" w:hAnsi="Calibri"/>
      <w:b/>
      <w:color w:val="000000"/>
      <w:sz w:val="22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Нижний колонтитул Знак"/>
    <w:link w:val="aff1"/>
    <w:rPr>
      <w:sz w:val="22"/>
    </w:rPr>
  </w:style>
  <w:style w:type="character" w:customStyle="1" w:styleId="aff1">
    <w:name w:val="Нижний колонтитул Знак"/>
    <w:link w:val="aff0"/>
    <w:rPr>
      <w:sz w:val="22"/>
    </w:rPr>
  </w:style>
  <w:style w:type="paragraph" w:customStyle="1" w:styleId="23">
    <w:name w:val="Основной текст2"/>
    <w:basedOn w:val="a"/>
    <w:link w:val="24"/>
    <w:pPr>
      <w:widowControl w:val="0"/>
      <w:spacing w:before="360" w:after="180" w:line="0" w:lineRule="atLeast"/>
    </w:pPr>
    <w:rPr>
      <w:rFonts w:ascii="Times New Roman" w:hAnsi="Times New Roman"/>
      <w:sz w:val="26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color w:val="000000"/>
      <w:sz w:val="26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Основной текст_"/>
    <w:link w:val="aff7"/>
    <w:rPr>
      <w:rFonts w:ascii="Times New Roman" w:hAnsi="Times New Roman"/>
      <w:sz w:val="26"/>
      <w:highlight w:val="white"/>
    </w:rPr>
  </w:style>
  <w:style w:type="character" w:customStyle="1" w:styleId="aff7">
    <w:name w:val="Основной текст_"/>
    <w:link w:val="aff6"/>
    <w:rPr>
      <w:rFonts w:ascii="Times New Roman" w:hAnsi="Times New Roman"/>
      <w:sz w:val="2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Скрябина Ирина Васильевна</cp:lastModifiedBy>
  <cp:revision>2</cp:revision>
  <dcterms:created xsi:type="dcterms:W3CDTF">2024-02-19T08:19:00Z</dcterms:created>
  <dcterms:modified xsi:type="dcterms:W3CDTF">2024-02-19T08:20:00Z</dcterms:modified>
</cp:coreProperties>
</file>