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6826"/>
        <w:gridCol w:w="2496"/>
      </w:tblGrid>
      <w:tr w:rsidR="009F3E3A" w:rsidTr="00506367">
        <w:trPr>
          <w:trHeight w:val="567"/>
        </w:trPr>
        <w:tc>
          <w:tcPr>
            <w:tcW w:w="6826" w:type="dxa"/>
            <w:shd w:val="clear" w:color="auto" w:fill="auto"/>
          </w:tcPr>
          <w:p w:rsidR="009F3E3A" w:rsidRDefault="009F3E3A" w:rsidP="00506367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9F3E3A" w:rsidRDefault="001439DC" w:rsidP="00506367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451485</wp:posOffset>
                      </wp:positionV>
                      <wp:extent cx="4506595" cy="0"/>
                      <wp:effectExtent l="25400" t="25400" r="14605" b="12700"/>
                      <wp:wrapNone/>
                      <wp:docPr id="4" name="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C24FC" id="102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5pt,35.55pt" to="349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" strokecolor="#0b308c" strokeweight=".71mm">
                      <v:stroke joinstyle="miter" endcap="square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апреля</w:t>
            </w:r>
            <w:r w:rsidR="0050636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9F3E3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2020</w:t>
            </w:r>
          </w:p>
        </w:tc>
        <w:tc>
          <w:tcPr>
            <w:tcW w:w="2496" w:type="dxa"/>
            <w:shd w:val="clear" w:color="auto" w:fill="auto"/>
          </w:tcPr>
          <w:p w:rsidR="009F3E3A" w:rsidRDefault="00447098" w:rsidP="005063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6665" cy="6096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93" y="21150"/>
                      <wp:lineTo x="21393" y="0"/>
                      <wp:lineTo x="0" y="0"/>
                    </wp:wrapPolygon>
                  </wp:wrapTight>
                  <wp:docPr id="5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3E3A" w:rsidRDefault="009F3E3A">
      <w:pPr>
        <w:tabs>
          <w:tab w:val="left" w:pos="142"/>
          <w:tab w:val="left" w:pos="1134"/>
        </w:tabs>
        <w:spacing w:after="0" w:line="264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Почта России</w:t>
      </w:r>
      <w:r w:rsidR="00F04C49">
        <w:rPr>
          <w:rFonts w:ascii="Times New Roman" w:hAnsi="Times New Roman" w:cs="Times New Roman"/>
          <w:b/>
          <w:bCs/>
          <w:sz w:val="28"/>
          <w:szCs w:val="28"/>
        </w:rPr>
        <w:t xml:space="preserve"> в Якутии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организует доставку для малого и среднего бизнеса в несколько кликов</w:t>
      </w:r>
    </w:p>
    <w:p w:rsidR="009F3E3A" w:rsidRDefault="009F3E3A">
      <w:pPr>
        <w:tabs>
          <w:tab w:val="left" w:pos="142"/>
          <w:tab w:val="left" w:pos="1134"/>
        </w:tabs>
        <w:spacing w:after="0" w:line="264" w:lineRule="auto"/>
        <w:jc w:val="both"/>
      </w:pPr>
    </w:p>
    <w:p w:rsidR="009F3E3A" w:rsidRDefault="009F3E3A" w:rsidP="00506367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Чтобы поддержать российский малый и средний бизнес, нуждающийся сейчас в быстрой и прозрачной функции доставки товаров клие</w:t>
      </w:r>
      <w:r w:rsidR="001439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нтам, Почта России разработала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бизнес-решение, которое позволяет</w:t>
      </w:r>
      <w:r w:rsidR="00506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ускоренно подключиться к электронному сервису </w:t>
      </w:r>
      <w:hyperlink r:id="rId8" w:history="1">
        <w:r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otpravka.pochta.ru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договору-оферте. Этот договор, обладает такой же юридической силой, что и бумажный</w:t>
      </w:r>
      <w:r w:rsidR="00CE6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открывает доступ ко всем базовым услугам. Упрощенная процедура заключения договора в цифровом виде позволит интернет-магазинам снизить временные затраты и быстро перейти к массовой отправке посылок своим покупателям, оперативно адаптируясь к новым реалиям рынка. </w:t>
      </w:r>
    </w:p>
    <w:p w:rsidR="009F3E3A" w:rsidRDefault="009F3E3A" w:rsidP="00506367">
      <w:pPr>
        <w:shd w:val="clear" w:color="auto" w:fill="FFFFFF"/>
        <w:spacing w:after="120" w:line="264" w:lineRule="auto"/>
        <w:jc w:val="both"/>
      </w:pPr>
      <w:r w:rsidRPr="001439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«До появления электронной оферты подключение партнеров могло занимать недели, а сейчас время подключения не превышает нескольких часов. Почта России упрощает взаимодействие с бизнесом, сокращает временные и прочие издержки и предлагает умные универсальные решения, чтобы одно нажатие кнопки давало результат. </w:t>
      </w:r>
      <w:r w:rsidR="00CE6CAD" w:rsidRPr="001439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Мы давно готовили это решение, но сейчас стало особенно актуально запустить его как можно быстрее</w:t>
      </w:r>
      <w:r w:rsidR="00E118A0" w:rsidRPr="001439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Нам было </w:t>
      </w:r>
      <w:proofErr w:type="gramStart"/>
      <w:r w:rsidR="00E118A0" w:rsidRPr="001439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важно</w:t>
      </w:r>
      <w:proofErr w:type="gramEnd"/>
      <w:r w:rsidR="00E118A0" w:rsidRPr="001439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как можно скорее поддержать наших партнеров, чтобы они не теряли ценное время на организации доставки</w:t>
      </w:r>
      <w:r w:rsidRPr="001439D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 отметил</w:t>
      </w:r>
      <w:r w:rsidR="00CE6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генеральный директор АО «Почта России» Максим Акимов.</w:t>
      </w:r>
    </w:p>
    <w:p w:rsidR="009F3E3A" w:rsidRDefault="009F3E3A" w:rsidP="00506367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Подключение состоит из нескольких этапов. Электронная регистрация по оферте занимает не более 30 минут, после чего клиент запускает проверку данных в автоматическом режиме. Далее компании-клиенту предоставляется доступ в Личный кабинет. Загрузка отсканированных копий документов не требуется, реквизиты организации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подгрузятся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автоматически при вводе юридического наименования. В дальнейшем</w:t>
      </w:r>
      <w:r w:rsidR="002C17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новым партнером закрепляется личный менеджер.</w:t>
      </w:r>
    </w:p>
    <w:p w:rsidR="009F3E3A" w:rsidRPr="00F04C49" w:rsidRDefault="009F3E3A" w:rsidP="00506367">
      <w:p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Отметим, что упрощённая регистрация по оферте работает в пилотном режиме с января 2020 года – за это время с помощью электронного сервиса подключились уже сотни компаний. В режиме тестирования процесса подключение занимало более суток. </w:t>
      </w:r>
    </w:p>
    <w:p w:rsidR="009F3E3A" w:rsidRDefault="009F3E3A" w:rsidP="00506367">
      <w:pPr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Являясь почтовым и логистическим оператором федерального масштаба, Почта России быстро адаптируется к вызовам и форс-мажорным ситуациям, происходящим в мире. Компания действует на опережение и применяет свои лучшие цифровые практики, оказывая поддержку бизнесу и населению, которое как никогда нуждается в доставке в условиях сложной эпидемиологической ситуации. </w:t>
      </w:r>
    </w:p>
    <w:p w:rsidR="009F3E3A" w:rsidRDefault="009F3E3A" w:rsidP="00506367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Уже сейчас более 30% всех посылок и отправлений внутри страны проходит через сервис </w:t>
      </w:r>
      <w:hyperlink r:id="rId9" w:history="1">
        <w:proofErr w:type="spellStart"/>
        <w:r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otpravka</w:t>
        </w:r>
        <w:proofErr w:type="spellEnd"/>
        <w:r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pochta</w:t>
        </w:r>
        <w:proofErr w:type="spellEnd"/>
        <w:r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ставший для бизнеса единой точкой взаимодействия с клиентом. Интернет-площадки получили возможность автоматизировать отправку, управлять логистическими процессами и вести юридически значимый документооборот. </w:t>
      </w:r>
    </w:p>
    <w:p w:rsidR="009F3E3A" w:rsidRDefault="009F3E3A" w:rsidP="005F5E36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2019 году электронный сервис заработал 13,7 млрд рублей. Количество зарегистрированных компаний-клиенто</w:t>
      </w:r>
      <w:r w:rsidR="00506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в стране насчитывает порядка 70 тысяч, из них в регионах Дальнего Востока </w:t>
      </w:r>
      <w:r w:rsidR="00506367" w:rsidRPr="00506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 электронному сервису </w:t>
      </w:r>
      <w:hyperlink r:id="rId10" w:history="1">
        <w:proofErr w:type="spellStart"/>
        <w:r w:rsidR="00506367" w:rsidRPr="0050636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otpravka</w:t>
        </w:r>
        <w:proofErr w:type="spellEnd"/>
        <w:r w:rsidR="00506367" w:rsidRPr="0050636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506367" w:rsidRPr="0050636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pochta</w:t>
        </w:r>
        <w:proofErr w:type="spellEnd"/>
        <w:r w:rsidR="00506367" w:rsidRPr="0050636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506367" w:rsidRPr="0050636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="00506367" w:rsidRPr="00506367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506367" w:rsidRPr="00506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50636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же подключились 3,5 тысячи компаний.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течение месяца через сервис проходит 12 млн отправлений, выручка за указанный период достигает 1,65 млрд рублей.</w:t>
      </w:r>
    </w:p>
    <w:p w:rsidR="009F3E3A" w:rsidRDefault="009F3E3A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</w:rPr>
      </w:pPr>
      <w:bookmarkStart w:id="0" w:name="habracut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Информационная справка</w:t>
      </w:r>
    </w:p>
    <w:p w:rsidR="009F3E3A" w:rsidRDefault="009F3E3A">
      <w:pPr>
        <w:jc w:val="both"/>
      </w:pPr>
      <w:r>
        <w:rPr>
          <w:rFonts w:ascii="Times New Roman" w:hAnsi="Times New Roman" w:cs="Times New Roman"/>
          <w:b/>
          <w:i/>
        </w:rPr>
        <w:t>АО «Почта России»</w:t>
      </w:r>
      <w:r>
        <w:rPr>
          <w:rFonts w:ascii="Times New Roman" w:hAnsi="Times New Roman" w:cs="Times New Roman"/>
          <w:i/>
        </w:rPr>
        <w:t xml:space="preserve"> – цифровая почтово-логистическая компания, один из крупнейших работодателей России, объединяющий 350 тысяч сотрудников. Входит в перечень стратегических предприятий. В 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</w:t>
      </w:r>
    </w:p>
    <w:p w:rsidR="009F3E3A" w:rsidRDefault="009F3E3A">
      <w:pPr>
        <w:spacing w:after="0" w:line="360" w:lineRule="auto"/>
        <w:jc w:val="both"/>
      </w:pPr>
    </w:p>
    <w:p w:rsidR="009F3E3A" w:rsidRDefault="009F3E3A">
      <w:pPr>
        <w:jc w:val="both"/>
      </w:pPr>
      <w:bookmarkStart w:id="1" w:name="_GoBack"/>
      <w:bookmarkEnd w:id="1"/>
    </w:p>
    <w:sectPr w:rsidR="009F3E3A" w:rsidSect="005F5E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709" w:left="1701" w:header="720" w:footer="425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7C" w:rsidRDefault="00B6597C">
      <w:pPr>
        <w:spacing w:after="0" w:line="240" w:lineRule="auto"/>
      </w:pPr>
      <w:r>
        <w:separator/>
      </w:r>
    </w:p>
  </w:endnote>
  <w:endnote w:type="continuationSeparator" w:id="0">
    <w:p w:rsidR="00B6597C" w:rsidRDefault="00B65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AD" w:rsidRDefault="00CE6CA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E3A" w:rsidRDefault="009F3E3A">
    <w:pPr>
      <w:spacing w:after="0" w:line="288" w:lineRule="auto"/>
      <w:rPr>
        <w:rFonts w:ascii="Arial" w:eastAsia="Times New Roman" w:hAnsi="Arial" w:cs="Arial"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AD" w:rsidRDefault="00CE6CA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7C" w:rsidRDefault="00B6597C">
      <w:pPr>
        <w:spacing w:after="0" w:line="240" w:lineRule="auto"/>
      </w:pPr>
      <w:r>
        <w:separator/>
      </w:r>
    </w:p>
  </w:footnote>
  <w:footnote w:type="continuationSeparator" w:id="0">
    <w:p w:rsidR="00B6597C" w:rsidRDefault="00B65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AD" w:rsidRDefault="00CE6CAD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AD" w:rsidRDefault="00CE6C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AD" w:rsidRDefault="00CE6C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AD"/>
    <w:rsid w:val="001439DC"/>
    <w:rsid w:val="0020168F"/>
    <w:rsid w:val="002C177A"/>
    <w:rsid w:val="00400342"/>
    <w:rsid w:val="00447098"/>
    <w:rsid w:val="00506367"/>
    <w:rsid w:val="00512A87"/>
    <w:rsid w:val="005F5E36"/>
    <w:rsid w:val="009F3E3A"/>
    <w:rsid w:val="00A95399"/>
    <w:rsid w:val="00B6597C"/>
    <w:rsid w:val="00CE6CAD"/>
    <w:rsid w:val="00E118A0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118F65"/>
  <w15:chartTrackingRefBased/>
  <w15:docId w15:val="{BE6D4EF4-4B8F-0241-B3EA-2F071AAD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uppressAutoHyphens w:val="0"/>
      <w:spacing w:before="280" w:after="28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2">
    <w:name w:val="WW8Num4z2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Calibri" w:eastAsia="SimSun" w:hAnsi="Calibri" w:cs="font301"/>
    </w:rPr>
  </w:style>
  <w:style w:type="character" w:customStyle="1" w:styleId="a7">
    <w:name w:val="Тема примечания Знак"/>
    <w:rPr>
      <w:rFonts w:ascii="Calibri" w:eastAsia="SimSun" w:hAnsi="Calibri" w:cs="font301"/>
      <w:b/>
      <w:bCs/>
    </w:rPr>
  </w:style>
  <w:style w:type="character" w:customStyle="1" w:styleId="11">
    <w:name w:val="Текст выноски Знак1"/>
    <w:rPr>
      <w:rFonts w:ascii="Segoe UI" w:eastAsia="SimSun" w:hAnsi="Segoe UI" w:cs="Segoe UI"/>
      <w:sz w:val="18"/>
      <w:szCs w:val="18"/>
    </w:rPr>
  </w:style>
  <w:style w:type="character" w:customStyle="1" w:styleId="21">
    <w:name w:val="Заголовок 2 Знак"/>
    <w:rPr>
      <w:rFonts w:eastAsia="Calibri"/>
      <w:b/>
      <w:bCs/>
      <w:sz w:val="36"/>
      <w:szCs w:val="36"/>
    </w:rPr>
  </w:style>
  <w:style w:type="character" w:styleId="a8">
    <w:name w:val="Strong"/>
    <w:qFormat/>
    <w:rPr>
      <w:b/>
      <w:bCs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9">
    <w:name w:val="Верхний колонтитул Знак"/>
    <w:rPr>
      <w:rFonts w:ascii="Calibri" w:eastAsia="SimSun" w:hAnsi="Calibri" w:cs="font301"/>
      <w:sz w:val="22"/>
      <w:szCs w:val="22"/>
    </w:rPr>
  </w:style>
  <w:style w:type="character" w:customStyle="1" w:styleId="aa">
    <w:name w:val="Нижний колонтитул Знак"/>
    <w:rPr>
      <w:rFonts w:ascii="Calibri" w:eastAsia="SimSun" w:hAnsi="Calibri" w:cs="font301"/>
      <w:sz w:val="22"/>
      <w:szCs w:val="22"/>
    </w:rPr>
  </w:style>
  <w:style w:type="character" w:customStyle="1" w:styleId="ab">
    <w:name w:val="Без интервала Знак"/>
    <w:rPr>
      <w:sz w:val="24"/>
      <w:szCs w:val="24"/>
      <w:lang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12">
    <w:name w:val="Текст сноски Знак1"/>
  </w:style>
  <w:style w:type="character" w:customStyle="1" w:styleId="ac">
    <w:name w:val="Текст сноски Знак"/>
    <w:rPr>
      <w:rFonts w:ascii="Calibri" w:eastAsia="SimSun" w:hAnsi="Calibri" w:cs="font301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shorttext3">
    <w:name w:val="shorttext3"/>
    <w:rPr>
      <w:vanish w:val="0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sz w:val="24"/>
      <w:szCs w:val="24"/>
      <w:u w:val="none"/>
    </w:rPr>
  </w:style>
  <w:style w:type="character" w:customStyle="1" w:styleId="s1">
    <w:name w:val="s1"/>
    <w:rPr>
      <w:rFonts w:ascii=".SFUIText" w:hAnsi=".SFUIText" w:cs=".SFUIText" w:hint="default"/>
      <w:b w:val="0"/>
      <w:bCs w:val="0"/>
      <w:i w:val="0"/>
      <w:iCs w:val="0"/>
      <w:sz w:val="34"/>
      <w:szCs w:val="34"/>
    </w:rPr>
  </w:style>
  <w:style w:type="character" w:styleId="ad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7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8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9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1a">
    <w:name w:val="Текст примечания1"/>
    <w:basedOn w:val="a"/>
    <w:rPr>
      <w:rFonts w:cs="Times New Roman"/>
      <w:sz w:val="20"/>
      <w:szCs w:val="20"/>
      <w:lang w:val="x-none"/>
    </w:rPr>
  </w:style>
  <w:style w:type="paragraph" w:styleId="af">
    <w:name w:val="annotation subject"/>
    <w:basedOn w:val="1a"/>
    <w:next w:val="1a"/>
    <w:rPr>
      <w:b/>
      <w:bCs/>
    </w:rPr>
  </w:style>
  <w:style w:type="paragraph" w:styleId="af0">
    <w:name w:val="Balloon Text"/>
    <w:basedOn w:val="a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paragraph" w:customStyle="1" w:styleId="22">
    <w:name w:val="Обычный (веб)2"/>
    <w:basedOn w:val="a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pPr>
      <w:suppressAutoHyphens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1">
    <w:name w:val="header"/>
    <w:basedOn w:val="a"/>
    <w:rPr>
      <w:rFonts w:cs="Times New Roman"/>
      <w:lang w:val="x-none"/>
    </w:rPr>
  </w:style>
  <w:style w:type="paragraph" w:styleId="af2">
    <w:name w:val="footer"/>
    <w:basedOn w:val="a"/>
    <w:rPr>
      <w:rFonts w:cs="Times New Roman"/>
      <w:lang w:val="x-none"/>
    </w:rPr>
  </w:style>
  <w:style w:type="paragraph" w:styleId="af3">
    <w:name w:val="List Paragraph"/>
    <w:basedOn w:val="a"/>
    <w:qFormat/>
    <w:pPr>
      <w:suppressAutoHyphens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No Spacing"/>
    <w:qFormat/>
    <w:pPr>
      <w:suppressAutoHyphens/>
    </w:pPr>
    <w:rPr>
      <w:sz w:val="24"/>
      <w:szCs w:val="24"/>
      <w:lang w:eastAsia="ar-SA"/>
    </w:rPr>
  </w:style>
  <w:style w:type="paragraph" w:styleId="af5">
    <w:name w:val="footnote text"/>
    <w:basedOn w:val="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тиль_Текст"/>
    <w:basedOn w:val="a"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p1">
    <w:name w:val="p1"/>
    <w:basedOn w:val="a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</w:rPr>
  </w:style>
  <w:style w:type="paragraph" w:customStyle="1" w:styleId="p2">
    <w:name w:val="p2"/>
    <w:basedOn w:val="a"/>
    <w:pPr>
      <w:suppressAutoHyphens w:val="0"/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pravka.pochta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/Users/../AppData/Local/Microsoft/Windows/INetCache/Content.Outlook/AppData/Local/Microsoft/AppData/Asus/Downloads/Desktop/&#1091;&#1076;&#1072;&#1083;&#1077;&#1085;&#1082;&#1072;%20&#1087;&#1086;&#1095;&#1090;&#1072;/&#1089;&#1082;&#1072;&#1090;&#1080;&#1085;/otpravka.poch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/Users/../AppData/Local/Microsoft/Windows/INetCache/Content.Outlook/AppData/Local/Microsoft/AppData/Asus/Downloads/Desktop/&#1091;&#1076;&#1072;&#1083;&#1077;&#1085;&#1082;&#1072;%20&#1087;&#1086;&#1095;&#1090;&#1072;/&#1089;&#1082;&#1072;&#1090;&#1080;&#1085;/otpravka.pocht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Links>
    <vt:vector size="12" baseType="variant">
      <vt:variant>
        <vt:i4>3015697</vt:i4>
      </vt:variant>
      <vt:variant>
        <vt:i4>3</vt:i4>
      </vt:variant>
      <vt:variant>
        <vt:i4>0</vt:i4>
      </vt:variant>
      <vt:variant>
        <vt:i4>5</vt:i4>
      </vt:variant>
      <vt:variant>
        <vt:lpwstr>../../../AppData/Local/Microsoft/Windows/INetCache/Content.Outlook/AppData/Local/Microsoft/AppData/Asus/Downloads/Desktop/удаленка%2520почта/скатин/otpravka.pochta.ru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http://otpravka.pochta.ru/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Горохова Мария Михайловна</cp:lastModifiedBy>
  <cp:revision>3</cp:revision>
  <cp:lastPrinted>2015-10-27T07:38:00Z</cp:lastPrinted>
  <dcterms:created xsi:type="dcterms:W3CDTF">2020-03-31T23:48:00Z</dcterms:created>
  <dcterms:modified xsi:type="dcterms:W3CDTF">2020-04-01T01:11:00Z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