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FC90" w14:textId="77777777" w:rsidR="0033441E" w:rsidRDefault="0033441E" w:rsidP="0033441E">
      <w:pPr>
        <w:pStyle w:val="ConsPlusTitle"/>
        <w:jc w:val="center"/>
        <w:outlineLvl w:val="1"/>
      </w:pPr>
      <w:r>
        <w:t>Паспорт подпрограммы N 3</w:t>
      </w:r>
    </w:p>
    <w:p w14:paraId="62EE1EF1" w14:textId="77777777" w:rsidR="0033441E" w:rsidRDefault="0033441E" w:rsidP="0033441E">
      <w:pPr>
        <w:pStyle w:val="ConsPlusTitle"/>
        <w:jc w:val="center"/>
      </w:pPr>
      <w:r>
        <w:t>государственной программы Республики Саха (Якутия)</w:t>
      </w:r>
    </w:p>
    <w:p w14:paraId="6425DC7D" w14:textId="77777777" w:rsidR="0033441E" w:rsidRDefault="0033441E" w:rsidP="003344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953"/>
      </w:tblGrid>
      <w:tr w:rsidR="0033441E" w14:paraId="61B8EC1E" w14:textId="77777777" w:rsidTr="000048D3">
        <w:tc>
          <w:tcPr>
            <w:tcW w:w="1984" w:type="dxa"/>
          </w:tcPr>
          <w:p w14:paraId="1B88988E" w14:textId="77777777" w:rsidR="0033441E" w:rsidRDefault="0033441E" w:rsidP="000048D3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14:paraId="62513DB3" w14:textId="77777777" w:rsidR="0033441E" w:rsidRDefault="0033441E" w:rsidP="000048D3">
            <w:pPr>
              <w:pStyle w:val="ConsPlusNormal"/>
              <w:jc w:val="both"/>
            </w:pPr>
            <w:r>
              <w:t>Меры социальной поддержки отдельных категорий граждан</w:t>
            </w:r>
          </w:p>
        </w:tc>
      </w:tr>
      <w:tr w:rsidR="0033441E" w14:paraId="2761E529" w14:textId="77777777" w:rsidTr="000048D3">
        <w:tc>
          <w:tcPr>
            <w:tcW w:w="1984" w:type="dxa"/>
          </w:tcPr>
          <w:p w14:paraId="0E4730EA" w14:textId="77777777" w:rsidR="0033441E" w:rsidRDefault="0033441E" w:rsidP="000048D3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</w:tcPr>
          <w:p w14:paraId="5C2C37B4" w14:textId="77777777" w:rsidR="0033441E" w:rsidRDefault="0033441E" w:rsidP="000048D3">
            <w:pPr>
              <w:pStyle w:val="ConsPlusNormal"/>
              <w:jc w:val="both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33441E" w14:paraId="7A4BB8A5" w14:textId="77777777" w:rsidTr="000048D3">
        <w:tc>
          <w:tcPr>
            <w:tcW w:w="1984" w:type="dxa"/>
          </w:tcPr>
          <w:p w14:paraId="71A11787" w14:textId="77777777" w:rsidR="0033441E" w:rsidRDefault="0033441E" w:rsidP="000048D3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5953" w:type="dxa"/>
          </w:tcPr>
          <w:p w14:paraId="4C109ABE" w14:textId="77777777" w:rsidR="0033441E" w:rsidRDefault="0033441E" w:rsidP="000048D3">
            <w:pPr>
              <w:pStyle w:val="ConsPlusNormal"/>
              <w:jc w:val="both"/>
            </w:pPr>
            <w:r>
              <w:t>Министерство здравоохранения Республики Саха (Якутия);</w:t>
            </w:r>
          </w:p>
          <w:p w14:paraId="340D38E0" w14:textId="77777777" w:rsidR="0033441E" w:rsidRDefault="0033441E" w:rsidP="000048D3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33441E" w14:paraId="137AB6F5" w14:textId="77777777" w:rsidTr="000048D3">
        <w:tc>
          <w:tcPr>
            <w:tcW w:w="1984" w:type="dxa"/>
          </w:tcPr>
          <w:p w14:paraId="45F798E3" w14:textId="77777777" w:rsidR="0033441E" w:rsidRDefault="0033441E" w:rsidP="000048D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953" w:type="dxa"/>
          </w:tcPr>
          <w:p w14:paraId="46B11B8C" w14:textId="77777777" w:rsidR="0033441E" w:rsidRDefault="0033441E" w:rsidP="000048D3">
            <w:pPr>
              <w:pStyle w:val="ConsPlusNormal"/>
              <w:jc w:val="both"/>
            </w:pPr>
            <w:r>
              <w:t>Повышение уровня жизни граждан - получателей мер социальной поддержки, государственных социальных гарантий</w:t>
            </w:r>
          </w:p>
        </w:tc>
      </w:tr>
      <w:tr w:rsidR="0033441E" w14:paraId="284CA04B" w14:textId="77777777" w:rsidTr="000048D3">
        <w:tc>
          <w:tcPr>
            <w:tcW w:w="1984" w:type="dxa"/>
          </w:tcPr>
          <w:p w14:paraId="65C99A76" w14:textId="77777777" w:rsidR="0033441E" w:rsidRDefault="0033441E" w:rsidP="000048D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02378952" w14:textId="77777777" w:rsidR="0033441E" w:rsidRDefault="0033441E" w:rsidP="000048D3">
            <w:pPr>
              <w:pStyle w:val="ConsPlusNormal"/>
              <w:jc w:val="both"/>
            </w:pPr>
            <w:r>
              <w:t>1. Социальная поддержка материнства и детства.</w:t>
            </w:r>
          </w:p>
          <w:p w14:paraId="279BCA36" w14:textId="77777777" w:rsidR="0033441E" w:rsidRDefault="0033441E" w:rsidP="000048D3">
            <w:pPr>
              <w:pStyle w:val="ConsPlusNormal"/>
              <w:jc w:val="both"/>
            </w:pPr>
            <w:r>
              <w:t>2. Социальная поддержка детей-сирот и детей, оставшихся без попечения родителей, и их устройство в семью.</w:t>
            </w:r>
          </w:p>
          <w:p w14:paraId="1EA92EAC" w14:textId="77777777" w:rsidR="0033441E" w:rsidRDefault="0033441E" w:rsidP="000048D3">
            <w:pPr>
              <w:pStyle w:val="ConsPlusNormal"/>
              <w:jc w:val="both"/>
            </w:pPr>
            <w:r>
              <w:t>3. Социальная поддержка и повышение качества жизни малоимущих граждан.</w:t>
            </w:r>
          </w:p>
          <w:p w14:paraId="5B7037AD" w14:textId="77777777" w:rsidR="0033441E" w:rsidRDefault="0033441E" w:rsidP="000048D3">
            <w:pPr>
              <w:pStyle w:val="ConsPlusNormal"/>
              <w:jc w:val="both"/>
            </w:pPr>
            <w:r>
              <w:t>4. Социальная поддержка отдельных категорий граждан.</w:t>
            </w:r>
          </w:p>
          <w:p w14:paraId="7B14D4B7" w14:textId="77777777" w:rsidR="0033441E" w:rsidRDefault="0033441E" w:rsidP="000048D3">
            <w:pPr>
              <w:pStyle w:val="ConsPlusNormal"/>
              <w:jc w:val="both"/>
            </w:pPr>
            <w:r>
              <w:t>5. Разработка и реализация программы системной поддержки семей при рождении детей.</w:t>
            </w:r>
          </w:p>
          <w:p w14:paraId="69316DC2" w14:textId="77777777" w:rsidR="0033441E" w:rsidRDefault="0033441E" w:rsidP="000048D3">
            <w:pPr>
              <w:pStyle w:val="ConsPlusNormal"/>
              <w:jc w:val="both"/>
            </w:pPr>
            <w:r>
              <w:t>6.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33441E" w14:paraId="41731B96" w14:textId="77777777" w:rsidTr="000048D3">
        <w:tc>
          <w:tcPr>
            <w:tcW w:w="1984" w:type="dxa"/>
          </w:tcPr>
          <w:p w14:paraId="1EAE178B" w14:textId="77777777" w:rsidR="0033441E" w:rsidRDefault="0033441E" w:rsidP="000048D3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5953" w:type="dxa"/>
          </w:tcPr>
          <w:p w14:paraId="17C9EF1D" w14:textId="77777777" w:rsidR="0033441E" w:rsidRDefault="0033441E" w:rsidP="000048D3">
            <w:pPr>
              <w:pStyle w:val="ConsPlusNormal"/>
              <w:jc w:val="both"/>
            </w:pPr>
            <w: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получением:</w:t>
            </w:r>
          </w:p>
          <w:p w14:paraId="38E6E72E" w14:textId="77777777" w:rsidR="0033441E" w:rsidRDefault="0033441E" w:rsidP="000048D3">
            <w:pPr>
              <w:pStyle w:val="ConsPlusNormal"/>
              <w:jc w:val="both"/>
            </w:pPr>
            <w:r>
              <w:t>2020 год - 100%;</w:t>
            </w:r>
          </w:p>
          <w:p w14:paraId="0D3F99AB" w14:textId="77777777" w:rsidR="0033441E" w:rsidRDefault="0033441E" w:rsidP="000048D3">
            <w:pPr>
              <w:pStyle w:val="ConsPlusNormal"/>
              <w:jc w:val="both"/>
            </w:pPr>
            <w:r>
              <w:t>2021 год - 100%;</w:t>
            </w:r>
          </w:p>
          <w:p w14:paraId="5BF6F34F" w14:textId="77777777" w:rsidR="0033441E" w:rsidRDefault="0033441E" w:rsidP="000048D3">
            <w:pPr>
              <w:pStyle w:val="ConsPlusNormal"/>
              <w:jc w:val="both"/>
            </w:pPr>
            <w:r>
              <w:t>2022 год - 100%;</w:t>
            </w:r>
          </w:p>
          <w:p w14:paraId="2BE114C3" w14:textId="77777777" w:rsidR="0033441E" w:rsidRDefault="0033441E" w:rsidP="000048D3">
            <w:pPr>
              <w:pStyle w:val="ConsPlusNormal"/>
              <w:jc w:val="both"/>
            </w:pPr>
            <w:r>
              <w:t>2023 год - 100%;</w:t>
            </w:r>
          </w:p>
          <w:p w14:paraId="74E6485D" w14:textId="77777777" w:rsidR="0033441E" w:rsidRDefault="0033441E" w:rsidP="000048D3">
            <w:pPr>
              <w:pStyle w:val="ConsPlusNormal"/>
              <w:jc w:val="both"/>
            </w:pPr>
            <w:r>
              <w:t>2024 год - 100%</w:t>
            </w:r>
          </w:p>
        </w:tc>
      </w:tr>
      <w:tr w:rsidR="0033441E" w14:paraId="3646CF51" w14:textId="77777777" w:rsidTr="000048D3">
        <w:tc>
          <w:tcPr>
            <w:tcW w:w="1984" w:type="dxa"/>
          </w:tcPr>
          <w:p w14:paraId="77F61072" w14:textId="77777777" w:rsidR="0033441E" w:rsidRDefault="0033441E" w:rsidP="000048D3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14:paraId="35E1E624" w14:textId="77777777" w:rsidR="0033441E" w:rsidRDefault="0033441E" w:rsidP="000048D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33441E" w14:paraId="0DD0594D" w14:textId="77777777" w:rsidTr="000048D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558C20E7" w14:textId="77777777" w:rsidR="0033441E" w:rsidRDefault="0033441E" w:rsidP="000048D3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7BD72CE2" w14:textId="77777777" w:rsidR="0033441E" w:rsidRDefault="0033441E" w:rsidP="000048D3">
            <w:pPr>
              <w:pStyle w:val="ConsPlusNormal"/>
              <w:jc w:val="both"/>
            </w:pPr>
            <w:r>
              <w:t>Объем финансового обеспечения на реализацию подпрограммы - 77 765 211 тыс. руб., в том числе по годам:</w:t>
            </w:r>
          </w:p>
          <w:p w14:paraId="08E1DAAF" w14:textId="77777777" w:rsidR="0033441E" w:rsidRDefault="0033441E" w:rsidP="000048D3">
            <w:pPr>
              <w:pStyle w:val="ConsPlusNormal"/>
              <w:jc w:val="both"/>
            </w:pPr>
            <w:r>
              <w:t>2020 год - 17 293 439 тыс. руб.;</w:t>
            </w:r>
          </w:p>
          <w:p w14:paraId="5B8F135C" w14:textId="77777777" w:rsidR="0033441E" w:rsidRDefault="0033441E" w:rsidP="000048D3">
            <w:pPr>
              <w:pStyle w:val="ConsPlusNormal"/>
              <w:jc w:val="both"/>
            </w:pPr>
            <w:r>
              <w:t>2021 год - 17 515 942 тыс. руб.;</w:t>
            </w:r>
          </w:p>
          <w:p w14:paraId="1AE69B92" w14:textId="77777777" w:rsidR="0033441E" w:rsidRDefault="0033441E" w:rsidP="000048D3">
            <w:pPr>
              <w:pStyle w:val="ConsPlusNormal"/>
              <w:jc w:val="both"/>
            </w:pPr>
            <w:r>
              <w:t>2022 год - 17 878 462 тыс. руб.;</w:t>
            </w:r>
          </w:p>
          <w:p w14:paraId="1BEB0024" w14:textId="77777777" w:rsidR="0033441E" w:rsidRDefault="0033441E" w:rsidP="000048D3">
            <w:pPr>
              <w:pStyle w:val="ConsPlusNormal"/>
              <w:jc w:val="both"/>
            </w:pPr>
            <w:r>
              <w:t>2023 год - 12 538 684 тыс. руб.;</w:t>
            </w:r>
          </w:p>
          <w:p w14:paraId="21711F3A" w14:textId="77777777" w:rsidR="0033441E" w:rsidRDefault="0033441E" w:rsidP="000048D3">
            <w:pPr>
              <w:pStyle w:val="ConsPlusNormal"/>
              <w:jc w:val="both"/>
            </w:pPr>
            <w:r>
              <w:t>2024 год - 12 538 684 тыс. руб.;</w:t>
            </w:r>
          </w:p>
          <w:p w14:paraId="0BC7A5C0" w14:textId="77777777" w:rsidR="0033441E" w:rsidRDefault="0033441E" w:rsidP="000048D3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- 49 114 766 тыс. руб., в том числе по годам:</w:t>
            </w:r>
          </w:p>
          <w:p w14:paraId="052E7AA4" w14:textId="77777777" w:rsidR="0033441E" w:rsidRDefault="0033441E" w:rsidP="000048D3">
            <w:pPr>
              <w:pStyle w:val="ConsPlusNormal"/>
              <w:jc w:val="both"/>
            </w:pPr>
            <w:r>
              <w:t>2020 год - 9 909 812 тыс. руб.;</w:t>
            </w:r>
          </w:p>
          <w:p w14:paraId="6323886B" w14:textId="77777777" w:rsidR="0033441E" w:rsidRDefault="0033441E" w:rsidP="000048D3">
            <w:pPr>
              <w:pStyle w:val="ConsPlusNormal"/>
              <w:jc w:val="both"/>
            </w:pPr>
            <w:r>
              <w:t>2021 год - 9 414 465 тыс. руб.;</w:t>
            </w:r>
          </w:p>
          <w:p w14:paraId="65355C77" w14:textId="77777777" w:rsidR="0033441E" w:rsidRDefault="0033441E" w:rsidP="000048D3">
            <w:pPr>
              <w:pStyle w:val="ConsPlusNormal"/>
              <w:jc w:val="both"/>
            </w:pPr>
            <w:r>
              <w:t>2022 год - 9 414 465 тыс. руб.;</w:t>
            </w:r>
          </w:p>
          <w:p w14:paraId="4B293B23" w14:textId="77777777" w:rsidR="0033441E" w:rsidRDefault="0033441E" w:rsidP="000048D3">
            <w:pPr>
              <w:pStyle w:val="ConsPlusNormal"/>
              <w:jc w:val="both"/>
            </w:pPr>
            <w:r>
              <w:lastRenderedPageBreak/>
              <w:t>2023 год - 10 188 012 тыс. руб.;</w:t>
            </w:r>
          </w:p>
          <w:p w14:paraId="07CE9BDD" w14:textId="77777777" w:rsidR="0033441E" w:rsidRDefault="0033441E" w:rsidP="000048D3">
            <w:pPr>
              <w:pStyle w:val="ConsPlusNormal"/>
              <w:jc w:val="both"/>
            </w:pPr>
            <w:r>
              <w:t>2024 год - 10 188 012 тыс. руб.;</w:t>
            </w:r>
          </w:p>
          <w:p w14:paraId="1C3E2137" w14:textId="77777777" w:rsidR="0033441E" w:rsidRDefault="0033441E" w:rsidP="000048D3">
            <w:pPr>
              <w:pStyle w:val="ConsPlusNormal"/>
              <w:jc w:val="both"/>
            </w:pPr>
            <w:r>
              <w:t>б) за счет средств федерального бюджета - 28 650 445 тыс. руб., в том числе по годам:</w:t>
            </w:r>
          </w:p>
          <w:p w14:paraId="168CE9BD" w14:textId="77777777" w:rsidR="0033441E" w:rsidRDefault="0033441E" w:rsidP="000048D3">
            <w:pPr>
              <w:pStyle w:val="ConsPlusNormal"/>
              <w:jc w:val="both"/>
            </w:pPr>
            <w:r>
              <w:t>2020 год - 7 383 627 тыс. руб.;</w:t>
            </w:r>
          </w:p>
          <w:p w14:paraId="36EFB853" w14:textId="77777777" w:rsidR="0033441E" w:rsidRDefault="0033441E" w:rsidP="000048D3">
            <w:pPr>
              <w:pStyle w:val="ConsPlusNormal"/>
              <w:jc w:val="both"/>
            </w:pPr>
            <w:r>
              <w:t>2021 год - 8 101 477 тыс. руб.;</w:t>
            </w:r>
          </w:p>
          <w:p w14:paraId="257F18A1" w14:textId="77777777" w:rsidR="0033441E" w:rsidRDefault="0033441E" w:rsidP="000048D3">
            <w:pPr>
              <w:pStyle w:val="ConsPlusNormal"/>
              <w:jc w:val="both"/>
            </w:pPr>
            <w:r>
              <w:t>2022 год - 8 463 997 тыс. руб.;</w:t>
            </w:r>
          </w:p>
          <w:p w14:paraId="17E08F1D" w14:textId="77777777" w:rsidR="0033441E" w:rsidRDefault="0033441E" w:rsidP="000048D3">
            <w:pPr>
              <w:pStyle w:val="ConsPlusNormal"/>
              <w:jc w:val="both"/>
            </w:pPr>
            <w:r>
              <w:t>2023 год - 2 350 672 тыс. руб.;</w:t>
            </w:r>
          </w:p>
          <w:p w14:paraId="1CDF0EF9" w14:textId="77777777" w:rsidR="0033441E" w:rsidRDefault="0033441E" w:rsidP="000048D3">
            <w:pPr>
              <w:pStyle w:val="ConsPlusNormal"/>
              <w:jc w:val="both"/>
            </w:pPr>
            <w:r>
              <w:t>2024 год - 2 350 672 тыс. руб.;</w:t>
            </w:r>
          </w:p>
          <w:p w14:paraId="344E2C37" w14:textId="77777777" w:rsidR="0033441E" w:rsidRDefault="0033441E" w:rsidP="000048D3">
            <w:pPr>
              <w:pStyle w:val="ConsPlusNormal"/>
              <w:jc w:val="both"/>
            </w:pPr>
            <w:r>
              <w:t>в) за счет средств местных бюджетов - 0 тыс. руб., в том числе по годам:</w:t>
            </w:r>
          </w:p>
          <w:p w14:paraId="360317F1" w14:textId="77777777" w:rsidR="0033441E" w:rsidRDefault="0033441E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2FBA49D9" w14:textId="77777777" w:rsidR="0033441E" w:rsidRDefault="0033441E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18AFE6BF" w14:textId="77777777" w:rsidR="0033441E" w:rsidRDefault="0033441E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2F33E9DB" w14:textId="77777777" w:rsidR="0033441E" w:rsidRDefault="0033441E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759F406F" w14:textId="77777777" w:rsidR="0033441E" w:rsidRDefault="0033441E" w:rsidP="000048D3">
            <w:pPr>
              <w:pStyle w:val="ConsPlusNormal"/>
              <w:jc w:val="both"/>
            </w:pPr>
            <w:r>
              <w:t>2024 год - 0 тыс. руб.;</w:t>
            </w:r>
          </w:p>
          <w:p w14:paraId="7977E645" w14:textId="77777777" w:rsidR="0033441E" w:rsidRDefault="0033441E" w:rsidP="000048D3">
            <w:pPr>
              <w:pStyle w:val="ConsPlusNormal"/>
              <w:jc w:val="both"/>
            </w:pPr>
            <w:r>
              <w:t>г) за счет внебюджетных средств - 0 тыс. руб., в том числе по годам:</w:t>
            </w:r>
          </w:p>
          <w:p w14:paraId="07C9E054" w14:textId="77777777" w:rsidR="0033441E" w:rsidRDefault="0033441E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66AFA259" w14:textId="77777777" w:rsidR="0033441E" w:rsidRDefault="0033441E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7AF41422" w14:textId="77777777" w:rsidR="0033441E" w:rsidRDefault="0033441E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00B55A76" w14:textId="77777777" w:rsidR="0033441E" w:rsidRDefault="0033441E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485C08F4" w14:textId="77777777" w:rsidR="0033441E" w:rsidRDefault="0033441E" w:rsidP="000048D3">
            <w:pPr>
              <w:pStyle w:val="ConsPlusNormal"/>
              <w:jc w:val="both"/>
            </w:pPr>
            <w:r>
              <w:t>2024 год - 0 тыс. руб.</w:t>
            </w:r>
          </w:p>
        </w:tc>
      </w:tr>
      <w:tr w:rsidR="0033441E" w14:paraId="20CE8EB7" w14:textId="77777777" w:rsidTr="000048D3">
        <w:tblPrEx>
          <w:tblBorders>
            <w:insideH w:val="nil"/>
          </w:tblBorders>
        </w:tblPrEx>
        <w:tc>
          <w:tcPr>
            <w:tcW w:w="7937" w:type="dxa"/>
            <w:gridSpan w:val="2"/>
            <w:tcBorders>
              <w:top w:val="nil"/>
            </w:tcBorders>
          </w:tcPr>
          <w:p w14:paraId="0CFEAA0E" w14:textId="77777777" w:rsidR="0033441E" w:rsidRDefault="0033441E" w:rsidP="000048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РС(Я) от 24.01.2020 N 980)</w:t>
            </w:r>
          </w:p>
        </w:tc>
      </w:tr>
      <w:tr w:rsidR="0033441E" w14:paraId="20DF24D2" w14:textId="77777777" w:rsidTr="000048D3">
        <w:tc>
          <w:tcPr>
            <w:tcW w:w="1984" w:type="dxa"/>
          </w:tcPr>
          <w:p w14:paraId="2F45BBBA" w14:textId="77777777" w:rsidR="0033441E" w:rsidRDefault="0033441E" w:rsidP="000048D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14:paraId="213F9FB8" w14:textId="77777777" w:rsidR="0033441E" w:rsidRDefault="0033441E" w:rsidP="000048D3">
            <w:pPr>
              <w:pStyle w:val="ConsPlusNormal"/>
              <w:jc w:val="both"/>
            </w:pPr>
            <w: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получением, 100%</w:t>
            </w:r>
          </w:p>
        </w:tc>
      </w:tr>
    </w:tbl>
    <w:p w14:paraId="358C8BD8" w14:textId="77777777" w:rsidR="00152EBA" w:rsidRDefault="00152EBA" w:rsidP="0033441E">
      <w:pPr>
        <w:pStyle w:val="ConsPlusTitle"/>
        <w:jc w:val="center"/>
        <w:outlineLvl w:val="1"/>
      </w:pPr>
      <w:bookmarkStart w:id="0" w:name="_GoBack"/>
      <w:bookmarkEnd w:id="0"/>
    </w:p>
    <w:sectPr w:rsidR="0015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152EBA"/>
    <w:rsid w:val="00301CC0"/>
    <w:rsid w:val="0033441E"/>
    <w:rsid w:val="00357C02"/>
    <w:rsid w:val="00685C3F"/>
    <w:rsid w:val="008A1099"/>
    <w:rsid w:val="008A353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D4A6EE9CEECBB4B645089F58076964D34990683D58F335E2F9AE3D786C51292B4C5C96A40E144AA46FC0543EDE0716F33F860D5925913B02EDB9G2d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6</cp:revision>
  <dcterms:created xsi:type="dcterms:W3CDTF">2020-02-11T08:47:00Z</dcterms:created>
  <dcterms:modified xsi:type="dcterms:W3CDTF">2020-02-14T06:15:00Z</dcterms:modified>
</cp:coreProperties>
</file>