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3A" w:rsidRDefault="00CF533A" w:rsidP="00B25D7C">
      <w:pPr>
        <w:jc w:val="right"/>
        <w:outlineLvl w:val="1"/>
        <w:rPr>
          <w:rFonts w:eastAsia="Times New Roman"/>
          <w:bCs/>
          <w:spacing w:val="-4"/>
          <w:szCs w:val="28"/>
          <w:lang w:eastAsia="ru-RU"/>
        </w:rPr>
      </w:pPr>
      <w:r w:rsidRPr="00D804D1">
        <w:rPr>
          <w:rFonts w:eastAsia="Times New Roman"/>
          <w:bCs/>
          <w:spacing w:val="-4"/>
          <w:szCs w:val="28"/>
          <w:lang w:eastAsia="ru-RU"/>
        </w:rPr>
        <w:t>Приложение</w:t>
      </w:r>
    </w:p>
    <w:p w:rsidR="0045703B" w:rsidRDefault="0045703B" w:rsidP="0045703B">
      <w:pPr>
        <w:jc w:val="center"/>
        <w:outlineLvl w:val="1"/>
        <w:rPr>
          <w:rFonts w:eastAsia="Times New Roman"/>
          <w:b/>
          <w:bCs/>
          <w:spacing w:val="-4"/>
          <w:szCs w:val="28"/>
          <w:lang w:eastAsia="ru-RU"/>
        </w:rPr>
      </w:pPr>
    </w:p>
    <w:p w:rsidR="0045703B" w:rsidRPr="0045703B" w:rsidRDefault="0045703B" w:rsidP="000774FE">
      <w:pPr>
        <w:jc w:val="center"/>
        <w:outlineLvl w:val="1"/>
        <w:rPr>
          <w:rFonts w:eastAsia="Times New Roman"/>
          <w:b/>
          <w:bCs/>
          <w:spacing w:val="-4"/>
          <w:szCs w:val="28"/>
          <w:lang w:eastAsia="ru-RU"/>
        </w:rPr>
      </w:pPr>
      <w:r w:rsidRPr="0045703B">
        <w:rPr>
          <w:rFonts w:eastAsia="Times New Roman"/>
          <w:b/>
          <w:bCs/>
          <w:spacing w:val="-4"/>
          <w:szCs w:val="28"/>
          <w:lang w:eastAsia="ru-RU"/>
        </w:rPr>
        <w:t>АНКЕТА</w:t>
      </w:r>
    </w:p>
    <w:p w:rsidR="004D1858" w:rsidRPr="0045703B" w:rsidRDefault="00702E2D" w:rsidP="004F54AF">
      <w:pPr>
        <w:pStyle w:val="a3"/>
        <w:numPr>
          <w:ilvl w:val="0"/>
          <w:numId w:val="3"/>
        </w:numPr>
        <w:tabs>
          <w:tab w:val="left" w:pos="284"/>
        </w:tabs>
        <w:jc w:val="both"/>
        <w:outlineLvl w:val="1"/>
        <w:rPr>
          <w:rFonts w:eastAsia="Times New Roman"/>
          <w:bCs/>
          <w:spacing w:val="-4"/>
          <w:szCs w:val="28"/>
          <w:lang w:eastAsia="ru-RU"/>
        </w:rPr>
      </w:pPr>
      <w:r w:rsidRPr="0045703B">
        <w:rPr>
          <w:rFonts w:eastAsia="Times New Roman"/>
          <w:b/>
          <w:bCs/>
          <w:spacing w:val="-4"/>
          <w:szCs w:val="28"/>
          <w:lang w:eastAsia="ru-RU"/>
        </w:rPr>
        <w:t xml:space="preserve">Какие формы финансовой поддержки </w:t>
      </w:r>
      <w:r w:rsidR="0051588A" w:rsidRPr="0045703B">
        <w:rPr>
          <w:rFonts w:eastAsia="Times New Roman"/>
          <w:b/>
          <w:bCs/>
          <w:spacing w:val="-4"/>
          <w:szCs w:val="28"/>
          <w:lang w:eastAsia="ru-RU"/>
        </w:rPr>
        <w:t xml:space="preserve">предприятий </w:t>
      </w:r>
      <w:r w:rsidRPr="0045703B">
        <w:rPr>
          <w:rFonts w:eastAsia="Times New Roman"/>
          <w:b/>
          <w:bCs/>
          <w:spacing w:val="-4"/>
          <w:szCs w:val="28"/>
          <w:lang w:eastAsia="ru-RU"/>
        </w:rPr>
        <w:t xml:space="preserve">наиболее востребованы в </w:t>
      </w:r>
      <w:r w:rsidR="004F54AF" w:rsidRPr="004F54AF">
        <w:rPr>
          <w:rFonts w:eastAsia="Times New Roman"/>
          <w:b/>
          <w:bCs/>
          <w:spacing w:val="-4"/>
          <w:szCs w:val="28"/>
          <w:lang w:eastAsia="ru-RU"/>
        </w:rPr>
        <w:t>Республик</w:t>
      </w:r>
      <w:r w:rsidR="004F54AF">
        <w:rPr>
          <w:rFonts w:eastAsia="Times New Roman"/>
          <w:b/>
          <w:bCs/>
          <w:spacing w:val="-4"/>
          <w:szCs w:val="28"/>
          <w:lang w:eastAsia="ru-RU"/>
        </w:rPr>
        <w:t>е</w:t>
      </w:r>
      <w:r w:rsidR="004F54AF" w:rsidRPr="004F54AF">
        <w:rPr>
          <w:rFonts w:eastAsia="Times New Roman"/>
          <w:b/>
          <w:bCs/>
          <w:spacing w:val="-4"/>
          <w:szCs w:val="28"/>
          <w:lang w:eastAsia="ru-RU"/>
        </w:rPr>
        <w:t xml:space="preserve"> Саха (Якутия)</w:t>
      </w:r>
      <w:r w:rsidRPr="0045703B">
        <w:rPr>
          <w:rFonts w:eastAsia="Times New Roman"/>
          <w:b/>
          <w:bCs/>
          <w:spacing w:val="-4"/>
          <w:szCs w:val="28"/>
          <w:lang w:eastAsia="ru-RU"/>
        </w:rPr>
        <w:t>?</w:t>
      </w:r>
    </w:p>
    <w:tbl>
      <w:tblPr>
        <w:tblStyle w:val="a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391"/>
        <w:gridCol w:w="734"/>
        <w:gridCol w:w="754"/>
        <w:gridCol w:w="371"/>
        <w:gridCol w:w="991"/>
        <w:gridCol w:w="973"/>
        <w:gridCol w:w="1297"/>
        <w:gridCol w:w="371"/>
        <w:gridCol w:w="991"/>
        <w:gridCol w:w="973"/>
        <w:gridCol w:w="1297"/>
      </w:tblGrid>
      <w:tr w:rsidR="001D71F0" w:rsidRPr="00B25D7C" w:rsidTr="0034678A">
        <w:trPr>
          <w:trHeight w:val="545"/>
        </w:trPr>
        <w:tc>
          <w:tcPr>
            <w:tcW w:w="166" w:type="pct"/>
            <w:vMerge w:val="restar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val="en-US"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val="en-US" w:eastAsia="ru-RU"/>
              </w:rPr>
              <w:t>N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 п/п</w:t>
            </w:r>
          </w:p>
        </w:tc>
        <w:tc>
          <w:tcPr>
            <w:tcW w:w="2218" w:type="pct"/>
            <w:vMerge w:val="restar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Формы</w:t>
            </w:r>
          </w:p>
        </w:tc>
        <w:tc>
          <w:tcPr>
            <w:tcW w:w="4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Степень востр</w:t>
            </w:r>
            <w:r w:rsidRPr="000774FE">
              <w:rPr>
                <w:spacing w:val="-4"/>
                <w:sz w:val="20"/>
                <w:szCs w:val="22"/>
              </w:rPr>
              <w:t>е</w:t>
            </w:r>
            <w:r w:rsidRPr="000774FE">
              <w:rPr>
                <w:spacing w:val="-4"/>
                <w:sz w:val="20"/>
                <w:szCs w:val="22"/>
              </w:rPr>
              <w:t>бованности от 0 до 3-х*</w:t>
            </w:r>
          </w:p>
        </w:tc>
        <w:tc>
          <w:tcPr>
            <w:tcW w:w="2129" w:type="pct"/>
            <w:gridSpan w:val="8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 xml:space="preserve">Использование предприятиями </w:t>
            </w:r>
          </w:p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(отметить любым знаком</w:t>
            </w:r>
            <w:proofErr w:type="gramStart"/>
            <w:r w:rsidRPr="000774FE">
              <w:rPr>
                <w:spacing w:val="-4"/>
                <w:sz w:val="20"/>
                <w:szCs w:val="22"/>
              </w:rPr>
              <w:t xml:space="preserve"> "+", "</w:t>
            </w:r>
            <w:r w:rsidRPr="000774FE">
              <w:rPr>
                <w:spacing w:val="-4"/>
                <w:sz w:val="20"/>
                <w:szCs w:val="22"/>
              </w:rPr>
              <w:sym w:font="Wingdings" w:char="F0FC"/>
            </w:r>
            <w:r w:rsidRPr="000774FE">
              <w:rPr>
                <w:spacing w:val="-4"/>
                <w:sz w:val="20"/>
                <w:szCs w:val="22"/>
              </w:rPr>
              <w:t>")</w:t>
            </w:r>
            <w:proofErr w:type="gramEnd"/>
          </w:p>
        </w:tc>
      </w:tr>
      <w:tr w:rsidR="001D71F0" w:rsidRPr="00B25D7C" w:rsidTr="0034678A">
        <w:tc>
          <w:tcPr>
            <w:tcW w:w="166" w:type="pct"/>
            <w:vMerge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</w:p>
        </w:tc>
        <w:tc>
          <w:tcPr>
            <w:tcW w:w="2218" w:type="pct"/>
            <w:vMerge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</w:p>
        </w:tc>
        <w:tc>
          <w:tcPr>
            <w:tcW w:w="487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</w:p>
        </w:tc>
        <w:tc>
          <w:tcPr>
            <w:tcW w:w="1022" w:type="pct"/>
            <w:gridSpan w:val="4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2018</w:t>
            </w:r>
          </w:p>
        </w:tc>
        <w:tc>
          <w:tcPr>
            <w:tcW w:w="1108" w:type="pct"/>
            <w:gridSpan w:val="4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2019</w:t>
            </w:r>
          </w:p>
        </w:tc>
      </w:tr>
      <w:tr w:rsidR="001D71F0" w:rsidRPr="00B25D7C" w:rsidTr="0034678A">
        <w:tc>
          <w:tcPr>
            <w:tcW w:w="166" w:type="pct"/>
            <w:vMerge/>
            <w:tcMar>
              <w:left w:w="0" w:type="dxa"/>
              <w:right w:w="0" w:type="dxa"/>
            </w:tcMar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</w:p>
        </w:tc>
        <w:tc>
          <w:tcPr>
            <w:tcW w:w="2218" w:type="pct"/>
            <w:vMerge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</w:p>
        </w:tc>
        <w:tc>
          <w:tcPr>
            <w:tcW w:w="240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2018</w:t>
            </w:r>
          </w:p>
        </w:tc>
        <w:tc>
          <w:tcPr>
            <w:tcW w:w="247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2019</w:t>
            </w:r>
          </w:p>
        </w:tc>
        <w:tc>
          <w:tcPr>
            <w:tcW w:w="14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рост</w:t>
            </w:r>
          </w:p>
        </w:tc>
        <w:tc>
          <w:tcPr>
            <w:tcW w:w="244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сокращение</w:t>
            </w:r>
          </w:p>
        </w:tc>
        <w:tc>
          <w:tcPr>
            <w:tcW w:w="292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не измен</w:t>
            </w:r>
            <w:r w:rsidRPr="000774FE">
              <w:rPr>
                <w:spacing w:val="-4"/>
                <w:sz w:val="20"/>
                <w:szCs w:val="22"/>
              </w:rPr>
              <w:t>и</w:t>
            </w:r>
            <w:r w:rsidRPr="000774FE">
              <w:rPr>
                <w:spacing w:val="-4"/>
                <w:sz w:val="20"/>
                <w:szCs w:val="22"/>
              </w:rPr>
              <w:t>лись</w:t>
            </w:r>
          </w:p>
        </w:tc>
        <w:tc>
          <w:tcPr>
            <w:tcW w:w="340" w:type="pct"/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не использов</w:t>
            </w:r>
            <w:r w:rsidRPr="000774FE">
              <w:rPr>
                <w:spacing w:val="-4"/>
                <w:sz w:val="20"/>
                <w:szCs w:val="22"/>
              </w:rPr>
              <w:t>а</w:t>
            </w:r>
            <w:r w:rsidRPr="000774FE">
              <w:rPr>
                <w:spacing w:val="-4"/>
                <w:sz w:val="20"/>
                <w:szCs w:val="22"/>
              </w:rPr>
              <w:t>лись</w:t>
            </w:r>
          </w:p>
        </w:tc>
        <w:tc>
          <w:tcPr>
            <w:tcW w:w="197" w:type="pct"/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рост</w:t>
            </w:r>
          </w:p>
        </w:tc>
        <w:tc>
          <w:tcPr>
            <w:tcW w:w="292" w:type="pct"/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сокращение</w:t>
            </w:r>
          </w:p>
        </w:tc>
        <w:tc>
          <w:tcPr>
            <w:tcW w:w="292" w:type="pct"/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не измен</w:t>
            </w:r>
            <w:r w:rsidRPr="000774FE">
              <w:rPr>
                <w:spacing w:val="-4"/>
                <w:sz w:val="20"/>
                <w:szCs w:val="22"/>
              </w:rPr>
              <w:t>и</w:t>
            </w:r>
            <w:r w:rsidRPr="000774FE">
              <w:rPr>
                <w:spacing w:val="-4"/>
                <w:sz w:val="20"/>
                <w:szCs w:val="22"/>
              </w:rPr>
              <w:t>лись</w:t>
            </w:r>
          </w:p>
        </w:tc>
        <w:tc>
          <w:tcPr>
            <w:tcW w:w="327" w:type="pct"/>
            <w:vAlign w:val="center"/>
          </w:tcPr>
          <w:p w:rsidR="001D71F0" w:rsidRPr="000774FE" w:rsidRDefault="001D71F0" w:rsidP="0034678A">
            <w:pPr>
              <w:spacing w:line="200" w:lineRule="exact"/>
              <w:ind w:firstLine="0"/>
              <w:jc w:val="center"/>
              <w:rPr>
                <w:spacing w:val="-4"/>
                <w:sz w:val="20"/>
                <w:szCs w:val="22"/>
              </w:rPr>
            </w:pPr>
            <w:r w:rsidRPr="000774FE">
              <w:rPr>
                <w:spacing w:val="-4"/>
                <w:sz w:val="20"/>
                <w:szCs w:val="22"/>
              </w:rPr>
              <w:t>не использов</w:t>
            </w:r>
            <w:r w:rsidRPr="000774FE">
              <w:rPr>
                <w:spacing w:val="-4"/>
                <w:sz w:val="20"/>
                <w:szCs w:val="22"/>
              </w:rPr>
              <w:t>а</w:t>
            </w:r>
            <w:r w:rsidRPr="000774FE">
              <w:rPr>
                <w:spacing w:val="-4"/>
                <w:sz w:val="20"/>
                <w:szCs w:val="22"/>
              </w:rPr>
              <w:t>лись</w:t>
            </w: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1.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both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Субсидии (начинающим предпринимателям; на приобретение или модернизацию оборудования; на поддержку животново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д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ства, растениеводства, семеноводства и др.) 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2.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both"/>
              <w:rPr>
                <w:spacing w:val="-4"/>
                <w:sz w:val="20"/>
                <w:szCs w:val="22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Гранты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3.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Компенсация затрат по лизингу: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3.1.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  <w:t xml:space="preserve">- программа льготного лизинга оборудования для субъектов МСП (АО "Корпорация МСП") 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3.2.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  <w:t>- программа "Лизинговые проекты" (Фонд развития промы</w:t>
            </w:r>
            <w:r w:rsidRPr="000774FE"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  <w:t>ш</w:t>
            </w:r>
            <w:r w:rsidRPr="000774FE"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  <w:t>ленности")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3.3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i/>
                <w:spacing w:val="-4"/>
                <w:sz w:val="20"/>
                <w:szCs w:val="22"/>
                <w:lang w:eastAsia="ru-RU"/>
              </w:rPr>
              <w:t>- другие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4.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both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Льготные кредиты, предоставляемые кредитными организаци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я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ми, в </w:t>
            </w:r>
            <w:proofErr w:type="spellStart"/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т.ч</w:t>
            </w:r>
            <w:proofErr w:type="spellEnd"/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. по программам: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hanging="5"/>
              <w:jc w:val="center"/>
              <w:rPr>
                <w:iCs/>
                <w:color w:val="000000"/>
                <w:spacing w:val="-4"/>
                <w:sz w:val="20"/>
                <w:szCs w:val="22"/>
              </w:rPr>
            </w:pPr>
            <w:r w:rsidRPr="000774FE">
              <w:rPr>
                <w:iCs/>
                <w:color w:val="000000"/>
                <w:spacing w:val="-4"/>
                <w:sz w:val="20"/>
                <w:szCs w:val="22"/>
              </w:rPr>
              <w:t>4.1.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jc w:val="right"/>
              <w:rPr>
                <w:iCs/>
                <w:color w:val="000000"/>
                <w:spacing w:val="-4"/>
                <w:sz w:val="20"/>
                <w:szCs w:val="22"/>
              </w:rPr>
            </w:pPr>
            <w:r w:rsidRPr="000774FE">
              <w:rPr>
                <w:iCs/>
                <w:color w:val="000000"/>
                <w:spacing w:val="-4"/>
                <w:sz w:val="20"/>
                <w:szCs w:val="22"/>
              </w:rPr>
              <w:t>АО "Корпорация МСП"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iCs/>
                <w:color w:val="000000"/>
                <w:spacing w:val="-4"/>
                <w:sz w:val="20"/>
                <w:szCs w:val="22"/>
              </w:rPr>
            </w:pPr>
            <w:r w:rsidRPr="000774FE">
              <w:rPr>
                <w:iCs/>
                <w:color w:val="000000"/>
                <w:spacing w:val="-4"/>
                <w:sz w:val="20"/>
                <w:szCs w:val="22"/>
              </w:rPr>
              <w:t>4.1.1.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jc w:val="right"/>
              <w:rPr>
                <w:i/>
                <w:iCs/>
                <w:color w:val="000000"/>
                <w:spacing w:val="-4"/>
                <w:sz w:val="20"/>
                <w:szCs w:val="22"/>
              </w:rPr>
            </w:pP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- программа стимулирования кредит</w:t>
            </w: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о</w:t>
            </w: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вания субъектов МСП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iCs/>
                <w:color w:val="000000"/>
                <w:spacing w:val="-4"/>
                <w:sz w:val="20"/>
                <w:szCs w:val="22"/>
              </w:rPr>
            </w:pPr>
            <w:r w:rsidRPr="000774FE">
              <w:rPr>
                <w:iCs/>
                <w:color w:val="000000"/>
                <w:spacing w:val="-4"/>
                <w:sz w:val="20"/>
                <w:szCs w:val="22"/>
              </w:rPr>
              <w:t>4.1.2.</w:t>
            </w:r>
          </w:p>
        </w:tc>
        <w:tc>
          <w:tcPr>
            <w:tcW w:w="2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34678A">
            <w:pPr>
              <w:spacing w:line="200" w:lineRule="exact"/>
              <w:jc w:val="right"/>
              <w:rPr>
                <w:i/>
                <w:iCs/>
                <w:color w:val="000000"/>
                <w:spacing w:val="-4"/>
                <w:sz w:val="20"/>
                <w:szCs w:val="22"/>
              </w:rPr>
            </w:pP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- программа субсидирования, реализуемая Минэкон</w:t>
            </w: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о</w:t>
            </w: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мразвития России и Корпорацией МСП (Постановление Прав</w:t>
            </w: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и</w:t>
            </w:r>
            <w:r w:rsidRPr="000774FE">
              <w:rPr>
                <w:i/>
                <w:iCs/>
                <w:color w:val="000000"/>
                <w:spacing w:val="-4"/>
                <w:sz w:val="20"/>
                <w:szCs w:val="22"/>
              </w:rPr>
              <w:t>тельства РФ от 30.12.2018 № 1764)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4.2.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АО "МСП Банк"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4.3.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АО "Фонд развития Дальнего Востока и Ба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й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кальского региона"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4.4.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4.5.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Российское агентство по страхованию экспор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т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ных кредитов и инвестиций (ЭКСАР)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4.6.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Фонд развития промышленности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4.7.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right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Другое (указать)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5.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both"/>
              <w:rPr>
                <w:spacing w:val="-4"/>
                <w:sz w:val="20"/>
                <w:szCs w:val="22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Поручительства, предоставляемые регионал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ь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ной гарантийной организацией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6.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both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Гарантии (поручительства), предоставляемые АО "Корпорация "МСП" 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7.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jc w:val="both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proofErr w:type="spellStart"/>
            <w:proofErr w:type="gramStart"/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Микрозаймы</w:t>
            </w:r>
            <w:proofErr w:type="spellEnd"/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, предоставляемые </w:t>
            </w:r>
            <w:proofErr w:type="spellStart"/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микрофинансовыми</w:t>
            </w:r>
            <w:proofErr w:type="spellEnd"/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 организац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и</w:t>
            </w: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ями предпринимательского финансирования </w:t>
            </w:r>
            <w:proofErr w:type="gramEnd"/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  <w:tr w:rsidR="001D71F0" w:rsidRPr="00B25D7C" w:rsidTr="0034678A">
        <w:tc>
          <w:tcPr>
            <w:tcW w:w="166" w:type="pct"/>
            <w:tcMar>
              <w:left w:w="0" w:type="dxa"/>
              <w:right w:w="0" w:type="dxa"/>
            </w:tcMar>
            <w:vAlign w:val="center"/>
          </w:tcPr>
          <w:p w:rsidR="001D71F0" w:rsidRPr="000774FE" w:rsidRDefault="001D71F0" w:rsidP="000774FE">
            <w:pPr>
              <w:spacing w:line="200" w:lineRule="exact"/>
              <w:ind w:firstLine="0"/>
              <w:jc w:val="center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>8.</w:t>
            </w:r>
          </w:p>
        </w:tc>
        <w:tc>
          <w:tcPr>
            <w:tcW w:w="2218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rFonts w:eastAsia="Times New Roman"/>
                <w:spacing w:val="-4"/>
                <w:sz w:val="20"/>
                <w:szCs w:val="22"/>
                <w:lang w:eastAsia="ru-RU"/>
              </w:rPr>
            </w:pPr>
            <w:r w:rsidRPr="000774FE">
              <w:rPr>
                <w:rFonts w:eastAsia="Times New Roman"/>
                <w:spacing w:val="-4"/>
                <w:sz w:val="20"/>
                <w:szCs w:val="22"/>
                <w:lang w:eastAsia="ru-RU"/>
              </w:rPr>
              <w:t xml:space="preserve">Иное (укажите) </w:t>
            </w:r>
          </w:p>
        </w:tc>
        <w:tc>
          <w:tcPr>
            <w:tcW w:w="240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46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44" w:type="pct"/>
            <w:tcMar>
              <w:left w:w="0" w:type="dxa"/>
              <w:right w:w="0" w:type="dxa"/>
            </w:tcMar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40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19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292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  <w:tc>
          <w:tcPr>
            <w:tcW w:w="327" w:type="pct"/>
          </w:tcPr>
          <w:p w:rsidR="001D71F0" w:rsidRPr="000774FE" w:rsidRDefault="001D71F0" w:rsidP="0034678A">
            <w:pPr>
              <w:spacing w:line="200" w:lineRule="exact"/>
              <w:ind w:firstLine="0"/>
              <w:rPr>
                <w:spacing w:val="-4"/>
                <w:sz w:val="20"/>
                <w:szCs w:val="22"/>
              </w:rPr>
            </w:pPr>
          </w:p>
        </w:tc>
      </w:tr>
    </w:tbl>
    <w:p w:rsidR="0045703B" w:rsidRPr="0045703B" w:rsidRDefault="0045703B" w:rsidP="0045703B">
      <w:pPr>
        <w:pStyle w:val="a3"/>
        <w:tabs>
          <w:tab w:val="left" w:pos="284"/>
        </w:tabs>
        <w:ind w:left="0" w:firstLine="0"/>
        <w:jc w:val="both"/>
        <w:outlineLvl w:val="1"/>
        <w:rPr>
          <w:rFonts w:eastAsia="Times New Roman"/>
          <w:bCs/>
          <w:spacing w:val="-4"/>
          <w:szCs w:val="28"/>
          <w:lang w:eastAsia="ru-RU"/>
        </w:rPr>
      </w:pPr>
    </w:p>
    <w:p w:rsidR="0045703B" w:rsidRDefault="004D1858" w:rsidP="00D47085">
      <w:pPr>
        <w:spacing w:line="200" w:lineRule="exact"/>
        <w:ind w:right="-284" w:firstLine="0"/>
        <w:jc w:val="both"/>
        <w:rPr>
          <w:spacing w:val="-4"/>
          <w:sz w:val="24"/>
          <w:szCs w:val="24"/>
        </w:rPr>
      </w:pPr>
      <w:r w:rsidRPr="0045703B">
        <w:rPr>
          <w:spacing w:val="-4"/>
          <w:sz w:val="24"/>
          <w:szCs w:val="24"/>
        </w:rPr>
        <w:t xml:space="preserve">* 0 – услуга не востребована, 1 – </w:t>
      </w:r>
      <w:r w:rsidR="0045703B" w:rsidRPr="0045703B">
        <w:rPr>
          <w:spacing w:val="-4"/>
          <w:sz w:val="24"/>
          <w:szCs w:val="24"/>
        </w:rPr>
        <w:t xml:space="preserve">низкая </w:t>
      </w:r>
      <w:r w:rsidRPr="0045703B">
        <w:rPr>
          <w:spacing w:val="-4"/>
          <w:sz w:val="24"/>
          <w:szCs w:val="24"/>
        </w:rPr>
        <w:t xml:space="preserve">востребованность, 2– средняя востребованность, </w:t>
      </w:r>
    </w:p>
    <w:p w:rsidR="00702E2D" w:rsidRPr="0045703B" w:rsidRDefault="004D1858" w:rsidP="00D47085">
      <w:pPr>
        <w:spacing w:line="200" w:lineRule="exact"/>
        <w:ind w:right="-284" w:firstLine="0"/>
        <w:jc w:val="both"/>
        <w:rPr>
          <w:spacing w:val="-4"/>
          <w:sz w:val="24"/>
          <w:szCs w:val="24"/>
        </w:rPr>
      </w:pPr>
      <w:r w:rsidRPr="0045703B">
        <w:rPr>
          <w:spacing w:val="-4"/>
          <w:sz w:val="24"/>
          <w:szCs w:val="24"/>
        </w:rPr>
        <w:t>3 – высокая востребованность услуги</w:t>
      </w:r>
    </w:p>
    <w:p w:rsidR="004D1858" w:rsidRDefault="004D1858" w:rsidP="004D1858">
      <w:pPr>
        <w:spacing w:line="240" w:lineRule="exact"/>
        <w:ind w:firstLine="0"/>
        <w:jc w:val="both"/>
        <w:rPr>
          <w:spacing w:val="-4"/>
          <w:sz w:val="18"/>
          <w:szCs w:val="18"/>
        </w:rPr>
      </w:pPr>
    </w:p>
    <w:p w:rsidR="0045703B" w:rsidRDefault="0045703B" w:rsidP="004D1858">
      <w:pPr>
        <w:spacing w:line="240" w:lineRule="exact"/>
        <w:ind w:firstLine="0"/>
        <w:jc w:val="both"/>
        <w:rPr>
          <w:spacing w:val="-4"/>
          <w:sz w:val="18"/>
          <w:szCs w:val="18"/>
        </w:rPr>
      </w:pPr>
    </w:p>
    <w:p w:rsidR="00A1574B" w:rsidRPr="006A48CD" w:rsidRDefault="006A48CD" w:rsidP="0045703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1"/>
        <w:rPr>
          <w:rFonts w:eastAsia="Times New Roman"/>
          <w:b/>
          <w:bCs/>
          <w:spacing w:val="-4"/>
          <w:szCs w:val="28"/>
          <w:lang w:eastAsia="ru-RU"/>
        </w:rPr>
      </w:pPr>
      <w:r w:rsidRPr="006A48CD">
        <w:rPr>
          <w:rFonts w:eastAsia="Times New Roman"/>
          <w:b/>
          <w:bCs/>
          <w:spacing w:val="-4"/>
          <w:szCs w:val="28"/>
          <w:lang w:eastAsia="ru-RU"/>
        </w:rPr>
        <w:lastRenderedPageBreak/>
        <w:t>Какие меры оказывают влияние</w:t>
      </w:r>
      <w:r w:rsidR="00A1574B" w:rsidRPr="006A48CD">
        <w:rPr>
          <w:rFonts w:eastAsia="Times New Roman"/>
          <w:b/>
          <w:bCs/>
          <w:spacing w:val="-4"/>
          <w:szCs w:val="28"/>
          <w:lang w:eastAsia="ru-RU"/>
        </w:rPr>
        <w:t xml:space="preserve"> на рост платежеспособного спроса </w:t>
      </w:r>
      <w:r w:rsidR="00D47085" w:rsidRPr="006A48CD">
        <w:rPr>
          <w:rFonts w:eastAsia="Times New Roman"/>
          <w:b/>
          <w:bCs/>
          <w:spacing w:val="-4"/>
          <w:szCs w:val="28"/>
          <w:lang w:eastAsia="ru-RU"/>
        </w:rPr>
        <w:t xml:space="preserve">предприятий, включая субъекты МСП, </w:t>
      </w:r>
      <w:r w:rsidR="00A1574B" w:rsidRPr="006A48CD">
        <w:rPr>
          <w:rFonts w:eastAsia="Times New Roman"/>
          <w:b/>
          <w:bCs/>
          <w:spacing w:val="-4"/>
          <w:szCs w:val="28"/>
          <w:lang w:eastAsia="ru-RU"/>
        </w:rPr>
        <w:t>на ф</w:t>
      </w:r>
      <w:r w:rsidR="00A1574B" w:rsidRPr="006A48CD">
        <w:rPr>
          <w:rFonts w:eastAsia="Times New Roman"/>
          <w:b/>
          <w:bCs/>
          <w:spacing w:val="-4"/>
          <w:szCs w:val="28"/>
          <w:lang w:eastAsia="ru-RU"/>
        </w:rPr>
        <w:t>и</w:t>
      </w:r>
      <w:r w:rsidR="00A1574B" w:rsidRPr="006A48CD">
        <w:rPr>
          <w:rFonts w:eastAsia="Times New Roman"/>
          <w:b/>
          <w:bCs/>
          <w:spacing w:val="-4"/>
          <w:szCs w:val="28"/>
          <w:lang w:eastAsia="ru-RU"/>
        </w:rPr>
        <w:t xml:space="preserve">нансовые ресурсы </w:t>
      </w:r>
      <w:r w:rsidR="00F35D56" w:rsidRPr="006A48CD">
        <w:rPr>
          <w:rFonts w:eastAsia="Times New Roman"/>
          <w:b/>
          <w:bCs/>
          <w:spacing w:val="-4"/>
          <w:szCs w:val="28"/>
          <w:lang w:eastAsia="ru-RU"/>
        </w:rPr>
        <w:t>для</w:t>
      </w:r>
      <w:r w:rsidR="00A1574B" w:rsidRPr="006A48CD">
        <w:rPr>
          <w:rFonts w:eastAsia="Times New Roman"/>
          <w:b/>
          <w:bCs/>
          <w:spacing w:val="-4"/>
          <w:szCs w:val="28"/>
          <w:lang w:eastAsia="ru-RU"/>
        </w:rPr>
        <w:t xml:space="preserve"> </w:t>
      </w:r>
      <w:r w:rsidRPr="006A48CD">
        <w:rPr>
          <w:rFonts w:eastAsia="Times New Roman"/>
          <w:b/>
          <w:bCs/>
          <w:spacing w:val="-4"/>
          <w:szCs w:val="28"/>
          <w:lang w:eastAsia="ru-RU"/>
        </w:rPr>
        <w:t xml:space="preserve">осуществления </w:t>
      </w:r>
      <w:r w:rsidR="00A1574B" w:rsidRPr="006A48CD">
        <w:rPr>
          <w:rFonts w:eastAsia="Times New Roman"/>
          <w:b/>
          <w:bCs/>
          <w:spacing w:val="-4"/>
          <w:szCs w:val="28"/>
          <w:lang w:eastAsia="ru-RU"/>
        </w:rPr>
        <w:t>инвестиционной деятельности?</w:t>
      </w:r>
    </w:p>
    <w:p w:rsidR="0045703B" w:rsidRPr="0045703B" w:rsidRDefault="0045703B" w:rsidP="0045703B">
      <w:pPr>
        <w:pStyle w:val="a3"/>
        <w:tabs>
          <w:tab w:val="left" w:pos="284"/>
        </w:tabs>
        <w:ind w:left="0" w:firstLine="0"/>
        <w:jc w:val="both"/>
        <w:outlineLvl w:val="1"/>
        <w:rPr>
          <w:rFonts w:eastAsia="Times New Roman"/>
          <w:b/>
          <w:bCs/>
          <w:spacing w:val="-4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4"/>
        <w:gridCol w:w="12266"/>
        <w:gridCol w:w="1733"/>
      </w:tblGrid>
      <w:tr w:rsidR="00743DFB" w:rsidRPr="000774FE" w:rsidTr="00743DFB">
        <w:tc>
          <w:tcPr>
            <w:tcW w:w="233" w:type="pct"/>
            <w:vAlign w:val="center"/>
          </w:tcPr>
          <w:p w:rsidR="00743DFB" w:rsidRPr="000774FE" w:rsidRDefault="00743DFB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rFonts w:eastAsia="Times New Roman"/>
                <w:spacing w:val="-4"/>
                <w:sz w:val="24"/>
                <w:szCs w:val="24"/>
                <w:lang w:val="en-US" w:eastAsia="ru-RU"/>
              </w:rPr>
              <w:t>N</w:t>
            </w:r>
            <w:r w:rsidRPr="000774FE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  <w:vAlign w:val="center"/>
          </w:tcPr>
          <w:p w:rsidR="00743DFB" w:rsidRPr="000774FE" w:rsidRDefault="00743DFB" w:rsidP="00B25D7C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Меры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  <w:vAlign w:val="center"/>
          </w:tcPr>
          <w:p w:rsidR="00743DFB" w:rsidRPr="000774FE" w:rsidRDefault="00743DFB" w:rsidP="00B25D7C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Степень влияния </w:t>
            </w:r>
          </w:p>
          <w:p w:rsidR="00743DFB" w:rsidRPr="000774FE" w:rsidRDefault="00743DFB" w:rsidP="00B25D7C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от 0 до 3-х*</w:t>
            </w: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Льготные налоговые режимы, в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0774FE">
              <w:rPr>
                <w:spacing w:val="-4"/>
                <w:sz w:val="24"/>
                <w:szCs w:val="24"/>
              </w:rPr>
              <w:t xml:space="preserve">. для ТОСЭР, СВП, </w:t>
            </w:r>
            <w:proofErr w:type="gramStart"/>
            <w:r w:rsidRPr="000774FE">
              <w:rPr>
                <w:spacing w:val="-4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Применение специального налогового режима для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Разработка специальных льготных финансовых продуктов, адаптированных к условиям ТОСЭР, Свободного порта Влад</w:t>
            </w:r>
            <w:r w:rsidRPr="000774FE">
              <w:rPr>
                <w:spacing w:val="-4"/>
                <w:sz w:val="24"/>
                <w:szCs w:val="24"/>
              </w:rPr>
              <w:t>и</w:t>
            </w:r>
            <w:r w:rsidRPr="000774FE">
              <w:rPr>
                <w:spacing w:val="-4"/>
                <w:sz w:val="24"/>
                <w:szCs w:val="24"/>
              </w:rPr>
              <w:t>восток, субъектам МСП, владельцам дальневосточного гектара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6A48CD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Реализация механизмов проектного финансирования инвестиционных проектов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6A48CD" w:rsidRPr="000774FE" w:rsidTr="00743DFB">
        <w:tc>
          <w:tcPr>
            <w:tcW w:w="233" w:type="pct"/>
          </w:tcPr>
          <w:p w:rsidR="006A48CD" w:rsidRPr="000774FE" w:rsidRDefault="006A48CD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6A48CD" w:rsidRPr="000774FE" w:rsidRDefault="006A48CD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0774FE">
              <w:rPr>
                <w:spacing w:val="-4"/>
                <w:sz w:val="24"/>
                <w:szCs w:val="24"/>
              </w:rPr>
              <w:t>. через Фабрику проектного финансирования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6A48CD" w:rsidRPr="000774FE" w:rsidRDefault="006A48CD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Расширение использования специальных инвестиционных контрактов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6.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Использование механизма долгосрочного регулирования тарифов (цен) на электрическую энергию, природный газ и воду для инвестиционных проектов</w:t>
            </w:r>
            <w:r w:rsidRPr="000774FE">
              <w:rPr>
                <w:rStyle w:val="a9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CB5978">
            <w:pPr>
              <w:spacing w:line="200" w:lineRule="exact"/>
              <w:ind w:firstLine="0"/>
              <w:jc w:val="both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Применение новых инвестиционных режимов, в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0774FE">
              <w:rPr>
                <w:spacing w:val="-4"/>
                <w:sz w:val="24"/>
                <w:szCs w:val="24"/>
              </w:rPr>
              <w:t>. инвесторам, которые вложат не менее 1 </w:t>
            </w:r>
            <w:proofErr w:type="gramStart"/>
            <w:r w:rsidRPr="000774FE">
              <w:rPr>
                <w:spacing w:val="-4"/>
                <w:sz w:val="24"/>
                <w:szCs w:val="24"/>
              </w:rPr>
              <w:t>млрд</w:t>
            </w:r>
            <w:proofErr w:type="gramEnd"/>
            <w:r w:rsidRPr="000774FE">
              <w:rPr>
                <w:spacing w:val="-4"/>
                <w:sz w:val="24"/>
                <w:szCs w:val="24"/>
              </w:rPr>
              <w:t xml:space="preserve"> рублей в социальную сферу, промышленность, сельское хозяйство и цифровую экономику, будет обеспечена стабильность порядка уплаты налога на добавленную стоимость, а также предоставлена возможность компенсировать часть затрат на создание необх</w:t>
            </w:r>
            <w:r w:rsidRPr="000774FE">
              <w:rPr>
                <w:spacing w:val="-4"/>
                <w:sz w:val="24"/>
                <w:szCs w:val="24"/>
              </w:rPr>
              <w:t>о</w:t>
            </w:r>
            <w:r w:rsidRPr="000774FE">
              <w:rPr>
                <w:spacing w:val="-4"/>
                <w:sz w:val="24"/>
                <w:szCs w:val="24"/>
              </w:rPr>
              <w:t>димой инфраструктуры – за счёт сокращения налоговых платежей</w:t>
            </w:r>
            <w:r w:rsidRPr="000774FE">
              <w:rPr>
                <w:rStyle w:val="a9"/>
                <w:spacing w:val="-4"/>
                <w:sz w:val="24"/>
                <w:szCs w:val="24"/>
              </w:rPr>
              <w:footnoteReference w:id="2"/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8.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Стандартизация подхода к кредитованию МСП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CB5978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Расширение гарантийной поддержки субъектов МСП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Увеличение объема факторинга в </w:t>
            </w:r>
            <w:proofErr w:type="gramStart"/>
            <w:r w:rsidRPr="000774FE">
              <w:rPr>
                <w:spacing w:val="-4"/>
                <w:sz w:val="24"/>
                <w:szCs w:val="24"/>
              </w:rPr>
              <w:t>расчетах</w:t>
            </w:r>
            <w:proofErr w:type="gramEnd"/>
            <w:r w:rsidRPr="000774FE">
              <w:rPr>
                <w:spacing w:val="-4"/>
                <w:sz w:val="24"/>
                <w:szCs w:val="24"/>
              </w:rPr>
              <w:t xml:space="preserve"> между государственными компаниями и субъектами МСП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11.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Повышение доступности инструментов фондового рынка в целях получения финансирования субъектами МСП</w:t>
            </w:r>
            <w:r w:rsidRPr="000774FE">
              <w:rPr>
                <w:rStyle w:val="a9"/>
                <w:spacing w:val="-4"/>
                <w:sz w:val="24"/>
                <w:szCs w:val="24"/>
              </w:rPr>
              <w:footnoteReference w:id="3"/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12.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Развитие финансирования субъектов МСП с помощью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краудинвестинговой</w:t>
            </w:r>
            <w:proofErr w:type="spellEnd"/>
            <w:r w:rsidRPr="000774FE">
              <w:rPr>
                <w:spacing w:val="-4"/>
                <w:sz w:val="24"/>
                <w:szCs w:val="24"/>
              </w:rPr>
              <w:t xml:space="preserve"> платформы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13.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Расширение использования цифровых финансовых технологий, в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0774FE">
              <w:rPr>
                <w:spacing w:val="-4"/>
                <w:sz w:val="24"/>
                <w:szCs w:val="24"/>
              </w:rPr>
              <w:t>. мобильные технологии, биометрия, искусственный инте</w:t>
            </w:r>
            <w:r w:rsidRPr="000774FE">
              <w:rPr>
                <w:spacing w:val="-4"/>
                <w:sz w:val="24"/>
                <w:szCs w:val="24"/>
              </w:rPr>
              <w:t>л</w:t>
            </w:r>
            <w:r w:rsidRPr="000774FE">
              <w:rPr>
                <w:spacing w:val="-4"/>
                <w:sz w:val="24"/>
                <w:szCs w:val="24"/>
              </w:rPr>
              <w:t>лект и другое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14.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i/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 xml:space="preserve">Внедрение платформенных решений на финансовом рынке, в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0774FE">
              <w:rPr>
                <w:spacing w:val="-4"/>
                <w:sz w:val="24"/>
                <w:szCs w:val="24"/>
              </w:rPr>
              <w:t xml:space="preserve">. проект </w:t>
            </w:r>
            <w:proofErr w:type="gramStart"/>
            <w:r w:rsidRPr="000774FE">
              <w:rPr>
                <w:spacing w:val="-4"/>
                <w:sz w:val="24"/>
                <w:szCs w:val="24"/>
              </w:rPr>
              <w:t>финансового</w:t>
            </w:r>
            <w:proofErr w:type="gramEnd"/>
            <w:r w:rsidRPr="000774F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маркетплейса</w:t>
            </w:r>
            <w:proofErr w:type="spellEnd"/>
            <w:r w:rsidRPr="000774FE">
              <w:rPr>
                <w:rStyle w:val="a9"/>
                <w:spacing w:val="-4"/>
                <w:sz w:val="24"/>
                <w:szCs w:val="24"/>
              </w:rPr>
              <w:footnoteReference w:id="4"/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15.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Формирование механизмов поддержки деятельности кредитных, страховых организаций и ФГУП "Почта России" в уд</w:t>
            </w:r>
            <w:r w:rsidRPr="000774FE">
              <w:rPr>
                <w:spacing w:val="-4"/>
                <w:sz w:val="24"/>
                <w:szCs w:val="24"/>
              </w:rPr>
              <w:t>а</w:t>
            </w:r>
            <w:r w:rsidRPr="000774FE">
              <w:rPr>
                <w:spacing w:val="-4"/>
                <w:sz w:val="24"/>
                <w:szCs w:val="24"/>
              </w:rPr>
              <w:t xml:space="preserve">ленных и труднодоступных территориях, в </w:t>
            </w:r>
            <w:proofErr w:type="spellStart"/>
            <w:r w:rsidRPr="000774FE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0774FE">
              <w:rPr>
                <w:spacing w:val="-4"/>
                <w:sz w:val="24"/>
                <w:szCs w:val="24"/>
              </w:rPr>
              <w:t>. субсидирование, частичная компенсация расходов: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16.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jc w:val="right"/>
              <w:rPr>
                <w:i/>
                <w:spacing w:val="-4"/>
                <w:sz w:val="24"/>
                <w:szCs w:val="24"/>
              </w:rPr>
            </w:pPr>
            <w:r w:rsidRPr="000774FE">
              <w:rPr>
                <w:i/>
                <w:spacing w:val="-4"/>
                <w:sz w:val="24"/>
                <w:szCs w:val="24"/>
              </w:rPr>
              <w:t>- на авиаперевозки внутренней авиацией в удаленные, северные поселения денежных сре</w:t>
            </w:r>
            <w:proofErr w:type="gramStart"/>
            <w:r w:rsidRPr="000774FE">
              <w:rPr>
                <w:i/>
                <w:spacing w:val="-4"/>
                <w:sz w:val="24"/>
                <w:szCs w:val="24"/>
              </w:rPr>
              <w:t>дств кр</w:t>
            </w:r>
            <w:proofErr w:type="gramEnd"/>
            <w:r w:rsidRPr="000774FE">
              <w:rPr>
                <w:i/>
                <w:spacing w:val="-4"/>
                <w:sz w:val="24"/>
                <w:szCs w:val="24"/>
              </w:rPr>
              <w:t>едитных организаций (о</w:t>
            </w:r>
            <w:r w:rsidRPr="000774FE">
              <w:rPr>
                <w:i/>
                <w:spacing w:val="-4"/>
                <w:sz w:val="24"/>
                <w:szCs w:val="24"/>
              </w:rPr>
              <w:t>б</w:t>
            </w:r>
            <w:r w:rsidRPr="000774FE">
              <w:rPr>
                <w:i/>
                <w:spacing w:val="-4"/>
                <w:sz w:val="24"/>
                <w:szCs w:val="24"/>
              </w:rPr>
              <w:t>служ</w:t>
            </w:r>
            <w:r w:rsidRPr="000774FE">
              <w:rPr>
                <w:i/>
                <w:spacing w:val="-4"/>
                <w:sz w:val="24"/>
                <w:szCs w:val="24"/>
              </w:rPr>
              <w:t>и</w:t>
            </w:r>
            <w:r w:rsidRPr="000774FE">
              <w:rPr>
                <w:i/>
                <w:spacing w:val="-4"/>
                <w:sz w:val="24"/>
                <w:szCs w:val="24"/>
              </w:rPr>
              <w:t>вание банкоматов) и ФГУП "Почта России" (денежные средства для выдачи наличных по банковским терминалам, устано</w:t>
            </w:r>
            <w:r w:rsidRPr="000774FE">
              <w:rPr>
                <w:i/>
                <w:spacing w:val="-4"/>
                <w:sz w:val="24"/>
                <w:szCs w:val="24"/>
              </w:rPr>
              <w:t>в</w:t>
            </w:r>
            <w:r w:rsidRPr="000774FE">
              <w:rPr>
                <w:i/>
                <w:spacing w:val="-4"/>
                <w:sz w:val="24"/>
                <w:szCs w:val="24"/>
              </w:rPr>
              <w:t xml:space="preserve">ленным в ОПС) 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17.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jc w:val="right"/>
              <w:rPr>
                <w:i/>
                <w:spacing w:val="-4"/>
                <w:sz w:val="24"/>
                <w:szCs w:val="24"/>
              </w:rPr>
            </w:pPr>
            <w:r w:rsidRPr="000774FE">
              <w:rPr>
                <w:i/>
                <w:spacing w:val="-4"/>
                <w:sz w:val="24"/>
                <w:szCs w:val="24"/>
              </w:rPr>
              <w:t>- на охрану офисов кредитных организаций, помещений, в которых размещена банковская инфраструктура (банкоматы, те</w:t>
            </w:r>
            <w:r w:rsidRPr="000774FE">
              <w:rPr>
                <w:i/>
                <w:spacing w:val="-4"/>
                <w:sz w:val="24"/>
                <w:szCs w:val="24"/>
              </w:rPr>
              <w:t>р</w:t>
            </w:r>
            <w:r w:rsidRPr="000774FE">
              <w:rPr>
                <w:i/>
                <w:spacing w:val="-4"/>
                <w:sz w:val="24"/>
                <w:szCs w:val="24"/>
              </w:rPr>
              <w:t>миналы);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18.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jc w:val="right"/>
              <w:rPr>
                <w:i/>
                <w:spacing w:val="-4"/>
                <w:sz w:val="24"/>
                <w:szCs w:val="24"/>
              </w:rPr>
            </w:pPr>
            <w:r w:rsidRPr="000774FE">
              <w:rPr>
                <w:i/>
                <w:spacing w:val="-4"/>
                <w:sz w:val="24"/>
                <w:szCs w:val="24"/>
              </w:rPr>
              <w:t>- на строительство новых ОПС, капитальный ремонт помещений ОПС с размещением окон ПАО "Почта Банк" в удале</w:t>
            </w:r>
            <w:r w:rsidRPr="000774FE">
              <w:rPr>
                <w:i/>
                <w:spacing w:val="-4"/>
                <w:sz w:val="24"/>
                <w:szCs w:val="24"/>
              </w:rPr>
              <w:t>н</w:t>
            </w:r>
            <w:r w:rsidRPr="000774FE">
              <w:rPr>
                <w:i/>
                <w:spacing w:val="-4"/>
                <w:sz w:val="24"/>
                <w:szCs w:val="24"/>
              </w:rPr>
              <w:t xml:space="preserve">ных </w:t>
            </w:r>
            <w:proofErr w:type="gramStart"/>
            <w:r w:rsidRPr="000774FE">
              <w:rPr>
                <w:i/>
                <w:spacing w:val="-4"/>
                <w:sz w:val="24"/>
                <w:szCs w:val="24"/>
              </w:rPr>
              <w:t>территориях</w:t>
            </w:r>
            <w:proofErr w:type="gramEnd"/>
            <w:r w:rsidRPr="000774FE">
              <w:rPr>
                <w:i/>
                <w:spacing w:val="-4"/>
                <w:sz w:val="24"/>
                <w:szCs w:val="24"/>
              </w:rPr>
              <w:t xml:space="preserve"> края;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19.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jc w:val="right"/>
              <w:rPr>
                <w:i/>
                <w:spacing w:val="-4"/>
                <w:sz w:val="24"/>
                <w:szCs w:val="24"/>
              </w:rPr>
            </w:pPr>
            <w:r w:rsidRPr="000774FE">
              <w:rPr>
                <w:i/>
                <w:spacing w:val="-4"/>
                <w:sz w:val="24"/>
                <w:szCs w:val="24"/>
              </w:rPr>
              <w:t>- на компенсационные выплаты квалифицированным работникам с финансовым образованием, прибывшим на работу в удале</w:t>
            </w:r>
            <w:r w:rsidRPr="000774FE">
              <w:rPr>
                <w:i/>
                <w:spacing w:val="-4"/>
                <w:sz w:val="24"/>
                <w:szCs w:val="24"/>
              </w:rPr>
              <w:t>н</w:t>
            </w:r>
            <w:r w:rsidRPr="000774FE">
              <w:rPr>
                <w:i/>
                <w:spacing w:val="-4"/>
                <w:sz w:val="24"/>
                <w:szCs w:val="24"/>
              </w:rPr>
              <w:t>ные сельские территории (по принципу и с учетом практики обеспечения удаленных территорий медицинскими работниками, учителями).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743DFB" w:rsidRPr="000774FE" w:rsidTr="00743DFB">
        <w:tc>
          <w:tcPr>
            <w:tcW w:w="233" w:type="pct"/>
          </w:tcPr>
          <w:p w:rsidR="00743DFB" w:rsidRPr="000774FE" w:rsidRDefault="00CD3A2A" w:rsidP="000774FE">
            <w:pPr>
              <w:spacing w:line="200" w:lineRule="exac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20.</w:t>
            </w:r>
          </w:p>
        </w:tc>
        <w:tc>
          <w:tcPr>
            <w:tcW w:w="4177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r w:rsidRPr="000774FE">
              <w:rPr>
                <w:spacing w:val="-4"/>
                <w:sz w:val="24"/>
                <w:szCs w:val="24"/>
              </w:rPr>
              <w:t>Другое (укажите)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743DFB" w:rsidRPr="000774FE" w:rsidRDefault="00743DFB" w:rsidP="00195B40">
            <w:pPr>
              <w:spacing w:line="200" w:lineRule="exact"/>
              <w:ind w:firstLine="0"/>
              <w:rPr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5703B" w:rsidRDefault="0045703B" w:rsidP="00191E5D">
      <w:pPr>
        <w:spacing w:line="200" w:lineRule="exact"/>
        <w:ind w:right="-426" w:firstLine="0"/>
        <w:jc w:val="both"/>
        <w:rPr>
          <w:spacing w:val="-4"/>
          <w:sz w:val="24"/>
          <w:szCs w:val="24"/>
        </w:rPr>
      </w:pPr>
    </w:p>
    <w:p w:rsidR="00A1574B" w:rsidRPr="0045703B" w:rsidRDefault="004D1858" w:rsidP="00191E5D">
      <w:pPr>
        <w:spacing w:line="200" w:lineRule="exact"/>
        <w:ind w:right="-426" w:firstLine="0"/>
        <w:jc w:val="both"/>
        <w:rPr>
          <w:spacing w:val="-4"/>
          <w:sz w:val="24"/>
          <w:szCs w:val="24"/>
        </w:rPr>
      </w:pPr>
      <w:r w:rsidRPr="0045703B">
        <w:rPr>
          <w:spacing w:val="-4"/>
          <w:sz w:val="24"/>
          <w:szCs w:val="24"/>
        </w:rPr>
        <w:t xml:space="preserve">* 0 –не </w:t>
      </w:r>
      <w:r w:rsidR="0045703B">
        <w:rPr>
          <w:spacing w:val="-4"/>
          <w:sz w:val="24"/>
          <w:szCs w:val="24"/>
        </w:rPr>
        <w:t>влияет</w:t>
      </w:r>
      <w:r w:rsidRPr="0045703B">
        <w:rPr>
          <w:spacing w:val="-4"/>
          <w:sz w:val="24"/>
          <w:szCs w:val="24"/>
        </w:rPr>
        <w:t xml:space="preserve">, 1 – </w:t>
      </w:r>
      <w:r w:rsidR="0045703B" w:rsidRPr="0045703B">
        <w:rPr>
          <w:spacing w:val="-4"/>
          <w:sz w:val="24"/>
          <w:szCs w:val="24"/>
        </w:rPr>
        <w:t>низк</w:t>
      </w:r>
      <w:r w:rsidR="0045703B">
        <w:rPr>
          <w:spacing w:val="-4"/>
          <w:sz w:val="24"/>
          <w:szCs w:val="24"/>
        </w:rPr>
        <w:t>ое влияние</w:t>
      </w:r>
      <w:r w:rsidRPr="0045703B">
        <w:rPr>
          <w:spacing w:val="-4"/>
          <w:sz w:val="24"/>
          <w:szCs w:val="24"/>
        </w:rPr>
        <w:t>, 2– средн</w:t>
      </w:r>
      <w:r w:rsidR="0045703B">
        <w:rPr>
          <w:spacing w:val="-4"/>
          <w:sz w:val="24"/>
          <w:szCs w:val="24"/>
        </w:rPr>
        <w:t>ее влияние</w:t>
      </w:r>
      <w:r w:rsidRPr="0045703B">
        <w:rPr>
          <w:spacing w:val="-4"/>
          <w:sz w:val="24"/>
          <w:szCs w:val="24"/>
        </w:rPr>
        <w:t>, 3 – высок</w:t>
      </w:r>
      <w:r w:rsidR="0045703B">
        <w:rPr>
          <w:spacing w:val="-4"/>
          <w:sz w:val="24"/>
          <w:szCs w:val="24"/>
        </w:rPr>
        <w:t>ое влияние.</w:t>
      </w:r>
    </w:p>
    <w:sectPr w:rsidR="00A1574B" w:rsidRPr="0045703B" w:rsidSect="001D71F0"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D8" w:rsidRDefault="001854D8" w:rsidP="00D47085">
      <w:r>
        <w:separator/>
      </w:r>
    </w:p>
  </w:endnote>
  <w:endnote w:type="continuationSeparator" w:id="0">
    <w:p w:rsidR="001854D8" w:rsidRDefault="001854D8" w:rsidP="00D4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D8" w:rsidRDefault="001854D8" w:rsidP="00D47085">
      <w:r>
        <w:separator/>
      </w:r>
    </w:p>
  </w:footnote>
  <w:footnote w:type="continuationSeparator" w:id="0">
    <w:p w:rsidR="001854D8" w:rsidRDefault="001854D8" w:rsidP="00D47085">
      <w:r>
        <w:continuationSeparator/>
      </w:r>
    </w:p>
  </w:footnote>
  <w:footnote w:id="1">
    <w:p w:rsidR="00743DFB" w:rsidRPr="00D804D1" w:rsidRDefault="00743DFB" w:rsidP="00CB5978">
      <w:pPr>
        <w:pStyle w:val="a7"/>
        <w:spacing w:line="200" w:lineRule="exact"/>
        <w:ind w:firstLine="0"/>
        <w:rPr>
          <w:sz w:val="24"/>
          <w:szCs w:val="24"/>
        </w:rPr>
      </w:pPr>
      <w:r w:rsidRPr="00D804D1">
        <w:rPr>
          <w:rStyle w:val="a9"/>
          <w:sz w:val="24"/>
          <w:szCs w:val="24"/>
        </w:rPr>
        <w:footnoteRef/>
      </w:r>
      <w:r w:rsidRPr="00D804D1">
        <w:rPr>
          <w:sz w:val="24"/>
          <w:szCs w:val="24"/>
        </w:rPr>
        <w:t>http://kremlin.ru/acts/assignments/orders/58886</w:t>
      </w:r>
    </w:p>
  </w:footnote>
  <w:footnote w:id="2">
    <w:p w:rsidR="00743DFB" w:rsidRPr="00D804D1" w:rsidRDefault="00743DFB" w:rsidP="00CB5978">
      <w:pPr>
        <w:pStyle w:val="a7"/>
        <w:spacing w:line="200" w:lineRule="exact"/>
        <w:ind w:firstLine="0"/>
        <w:rPr>
          <w:sz w:val="24"/>
          <w:szCs w:val="24"/>
        </w:rPr>
      </w:pPr>
      <w:r w:rsidRPr="00D804D1">
        <w:rPr>
          <w:rStyle w:val="a9"/>
          <w:sz w:val="24"/>
          <w:szCs w:val="24"/>
        </w:rPr>
        <w:footnoteRef/>
      </w:r>
      <w:r w:rsidRPr="00D804D1">
        <w:rPr>
          <w:sz w:val="24"/>
          <w:szCs w:val="24"/>
        </w:rPr>
        <w:t>http://government.ru/news/36422/</w:t>
      </w:r>
    </w:p>
  </w:footnote>
  <w:footnote w:id="3">
    <w:p w:rsidR="00743DFB" w:rsidRPr="00D804D1" w:rsidRDefault="00743DFB" w:rsidP="00CB5978">
      <w:pPr>
        <w:pStyle w:val="a7"/>
        <w:spacing w:line="200" w:lineRule="exact"/>
        <w:ind w:right="141" w:firstLine="0"/>
        <w:jc w:val="both"/>
        <w:rPr>
          <w:sz w:val="24"/>
          <w:szCs w:val="24"/>
        </w:rPr>
      </w:pPr>
      <w:r w:rsidRPr="00D804D1">
        <w:rPr>
          <w:rStyle w:val="a9"/>
          <w:sz w:val="24"/>
          <w:szCs w:val="24"/>
        </w:rPr>
        <w:footnoteRef/>
      </w:r>
      <w:r w:rsidRPr="00D804D1">
        <w:rPr>
          <w:sz w:val="24"/>
          <w:szCs w:val="24"/>
        </w:rPr>
        <w:t>https://arb.ru/b2b/news/bank_rossii_razrabotaet_lgoty_dlya_msp_dlya_vykhoda_na_fondovyy_rynok_v_2019_god-10274645/?source=mail</w:t>
      </w:r>
    </w:p>
  </w:footnote>
  <w:footnote w:id="4">
    <w:p w:rsidR="00743DFB" w:rsidRPr="00D804D1" w:rsidRDefault="00743DFB" w:rsidP="00CB5978">
      <w:pPr>
        <w:pStyle w:val="a7"/>
        <w:spacing w:line="200" w:lineRule="exact"/>
        <w:ind w:firstLine="0"/>
        <w:jc w:val="both"/>
        <w:rPr>
          <w:sz w:val="24"/>
          <w:szCs w:val="24"/>
        </w:rPr>
      </w:pPr>
      <w:r w:rsidRPr="00D804D1">
        <w:rPr>
          <w:rStyle w:val="a9"/>
          <w:sz w:val="24"/>
          <w:szCs w:val="24"/>
        </w:rPr>
        <w:footnoteRef/>
      </w:r>
      <w:r w:rsidRPr="00D804D1">
        <w:rPr>
          <w:sz w:val="24"/>
          <w:szCs w:val="24"/>
        </w:rPr>
        <w:t xml:space="preserve"> https://news.rambler.ru/other/41961497-mihail-mamuta-ot-finansovoy-negramotnosti-spaset-geymifikatsiya/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28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703B" w:rsidRPr="0045703B" w:rsidRDefault="0045703B">
        <w:pPr>
          <w:pStyle w:val="aa"/>
          <w:jc w:val="center"/>
          <w:rPr>
            <w:sz w:val="24"/>
            <w:szCs w:val="24"/>
          </w:rPr>
        </w:pPr>
        <w:r w:rsidRPr="0045703B">
          <w:rPr>
            <w:sz w:val="24"/>
            <w:szCs w:val="24"/>
          </w:rPr>
          <w:fldChar w:fldCharType="begin"/>
        </w:r>
        <w:r w:rsidRPr="0045703B">
          <w:rPr>
            <w:sz w:val="24"/>
            <w:szCs w:val="24"/>
          </w:rPr>
          <w:instrText>PAGE   \* MERGEFORMAT</w:instrText>
        </w:r>
        <w:r w:rsidRPr="0045703B">
          <w:rPr>
            <w:sz w:val="24"/>
            <w:szCs w:val="24"/>
          </w:rPr>
          <w:fldChar w:fldCharType="separate"/>
        </w:r>
        <w:r w:rsidR="000774FE">
          <w:rPr>
            <w:noProof/>
            <w:sz w:val="24"/>
            <w:szCs w:val="24"/>
          </w:rPr>
          <w:t>2</w:t>
        </w:r>
        <w:r w:rsidRPr="0045703B">
          <w:rPr>
            <w:sz w:val="24"/>
            <w:szCs w:val="24"/>
          </w:rPr>
          <w:fldChar w:fldCharType="end"/>
        </w:r>
      </w:p>
    </w:sdtContent>
  </w:sdt>
  <w:p w:rsidR="0045703B" w:rsidRDefault="004570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2DE"/>
    <w:multiLevelType w:val="hybridMultilevel"/>
    <w:tmpl w:val="5F2CB852"/>
    <w:lvl w:ilvl="0" w:tplc="8F80B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509C"/>
    <w:multiLevelType w:val="hybridMultilevel"/>
    <w:tmpl w:val="BDDAF1A2"/>
    <w:lvl w:ilvl="0" w:tplc="6300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10B74"/>
    <w:multiLevelType w:val="hybridMultilevel"/>
    <w:tmpl w:val="5E5202E0"/>
    <w:lvl w:ilvl="0" w:tplc="9062A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2D"/>
    <w:rsid w:val="000256CD"/>
    <w:rsid w:val="00053115"/>
    <w:rsid w:val="000774FE"/>
    <w:rsid w:val="00084F54"/>
    <w:rsid w:val="00085E69"/>
    <w:rsid w:val="000D4780"/>
    <w:rsid w:val="00103500"/>
    <w:rsid w:val="00144F70"/>
    <w:rsid w:val="001854D8"/>
    <w:rsid w:val="00191E5D"/>
    <w:rsid w:val="00195B40"/>
    <w:rsid w:val="001D71F0"/>
    <w:rsid w:val="0021231C"/>
    <w:rsid w:val="00231F67"/>
    <w:rsid w:val="00252720"/>
    <w:rsid w:val="002D045C"/>
    <w:rsid w:val="002E5B67"/>
    <w:rsid w:val="0034678A"/>
    <w:rsid w:val="0045703B"/>
    <w:rsid w:val="00480DD2"/>
    <w:rsid w:val="004C1E5A"/>
    <w:rsid w:val="004D1048"/>
    <w:rsid w:val="004D1858"/>
    <w:rsid w:val="004D4485"/>
    <w:rsid w:val="004F54AF"/>
    <w:rsid w:val="0051588A"/>
    <w:rsid w:val="00545D10"/>
    <w:rsid w:val="005666E6"/>
    <w:rsid w:val="005B0DF2"/>
    <w:rsid w:val="005C2199"/>
    <w:rsid w:val="006A48CD"/>
    <w:rsid w:val="00702E2D"/>
    <w:rsid w:val="00743DFB"/>
    <w:rsid w:val="007A5E3C"/>
    <w:rsid w:val="00827CE4"/>
    <w:rsid w:val="00842306"/>
    <w:rsid w:val="00860315"/>
    <w:rsid w:val="008A6E85"/>
    <w:rsid w:val="008B061C"/>
    <w:rsid w:val="008C16F3"/>
    <w:rsid w:val="008D0FF4"/>
    <w:rsid w:val="008E7F98"/>
    <w:rsid w:val="009A2429"/>
    <w:rsid w:val="009C6512"/>
    <w:rsid w:val="00A1574B"/>
    <w:rsid w:val="00A26CD2"/>
    <w:rsid w:val="00B25D7C"/>
    <w:rsid w:val="00B7319E"/>
    <w:rsid w:val="00C406A8"/>
    <w:rsid w:val="00CB5978"/>
    <w:rsid w:val="00CD3A2A"/>
    <w:rsid w:val="00CF533A"/>
    <w:rsid w:val="00D47085"/>
    <w:rsid w:val="00D603E5"/>
    <w:rsid w:val="00D804D1"/>
    <w:rsid w:val="00DA5618"/>
    <w:rsid w:val="00E03501"/>
    <w:rsid w:val="00E4418C"/>
    <w:rsid w:val="00E713D1"/>
    <w:rsid w:val="00F260C0"/>
    <w:rsid w:val="00F35D56"/>
    <w:rsid w:val="00F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2D"/>
    <w:pPr>
      <w:ind w:left="720"/>
      <w:contextualSpacing/>
    </w:pPr>
  </w:style>
  <w:style w:type="table" w:styleId="a4">
    <w:name w:val="Table Grid"/>
    <w:basedOn w:val="a1"/>
    <w:uiPriority w:val="39"/>
    <w:rsid w:val="0070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47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80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47085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7085"/>
    <w:rPr>
      <w:sz w:val="20"/>
    </w:rPr>
  </w:style>
  <w:style w:type="character" w:styleId="a9">
    <w:name w:val="footnote reference"/>
    <w:basedOn w:val="a0"/>
    <w:uiPriority w:val="99"/>
    <w:semiHidden/>
    <w:unhideWhenUsed/>
    <w:rsid w:val="00D4708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570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703B"/>
  </w:style>
  <w:style w:type="paragraph" w:styleId="ac">
    <w:name w:val="footer"/>
    <w:basedOn w:val="a"/>
    <w:link w:val="ad"/>
    <w:uiPriority w:val="99"/>
    <w:unhideWhenUsed/>
    <w:rsid w:val="004570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7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2D"/>
    <w:pPr>
      <w:ind w:left="720"/>
      <w:contextualSpacing/>
    </w:pPr>
  </w:style>
  <w:style w:type="table" w:styleId="a4">
    <w:name w:val="Table Grid"/>
    <w:basedOn w:val="a1"/>
    <w:uiPriority w:val="39"/>
    <w:rsid w:val="0070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47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780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47085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7085"/>
    <w:rPr>
      <w:sz w:val="20"/>
    </w:rPr>
  </w:style>
  <w:style w:type="character" w:styleId="a9">
    <w:name w:val="footnote reference"/>
    <w:basedOn w:val="a0"/>
    <w:uiPriority w:val="99"/>
    <w:semiHidden/>
    <w:unhideWhenUsed/>
    <w:rsid w:val="00D4708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570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703B"/>
  </w:style>
  <w:style w:type="paragraph" w:styleId="ac">
    <w:name w:val="footer"/>
    <w:basedOn w:val="a"/>
    <w:link w:val="ad"/>
    <w:uiPriority w:val="99"/>
    <w:unhideWhenUsed/>
    <w:rsid w:val="004570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C8FD-EBAC-4275-816C-A211711E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Ольга Владимировна</dc:creator>
  <cp:lastModifiedBy>Егорова Вилена Александровна</cp:lastModifiedBy>
  <cp:revision>2</cp:revision>
  <cp:lastPrinted>2019-04-19T01:07:00Z</cp:lastPrinted>
  <dcterms:created xsi:type="dcterms:W3CDTF">2019-05-08T05:20:00Z</dcterms:created>
  <dcterms:modified xsi:type="dcterms:W3CDTF">2019-05-22T01:39:00Z</dcterms:modified>
</cp:coreProperties>
</file>