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02000000">
      <w:pPr>
        <w:pStyle w:val="Style_1"/>
      </w:pPr>
      <w:r>
        <w:drawing>
          <wp:inline>
            <wp:extent cx="5760720" cy="15615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60720" cy="15615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</w:pPr>
    </w:p>
    <w:p w14:paraId="04000000">
      <w:pPr>
        <w:pStyle w:val="Style_1"/>
      </w:pPr>
    </w:p>
    <w:p w14:paraId="05000000">
      <w:pPr>
        <w:pStyle w:val="Style_1"/>
      </w:pPr>
    </w:p>
    <w:p w14:paraId="06000000">
      <w:pPr>
        <w:pStyle w:val="Style_1"/>
      </w:pPr>
    </w:p>
    <w:p w14:paraId="07000000">
      <w:pPr>
        <w:pStyle w:val="Style_1"/>
      </w:pPr>
    </w:p>
    <w:p w14:paraId="08000000">
      <w:pPr>
        <w:ind/>
        <w:jc w:val="center"/>
        <w:rPr>
          <w:u w:val="single"/>
        </w:rPr>
      </w:pPr>
      <w:r>
        <w:t xml:space="preserve">от </w:t>
      </w:r>
      <w:r>
        <w:rPr>
          <w:u w:val="single"/>
        </w:rPr>
        <w:t xml:space="preserve">                            2023</w:t>
      </w:r>
      <w:r>
        <w:rPr>
          <w:u w:val="single"/>
        </w:rPr>
        <w:t xml:space="preserve"> г.</w:t>
      </w:r>
      <w:r>
        <w:t xml:space="preserve"> № </w:t>
      </w:r>
      <w:r>
        <w:rPr>
          <w:u w:val="single"/>
        </w:rPr>
        <w:t xml:space="preserve">           -</w:t>
      </w:r>
    </w:p>
    <w:p w14:paraId="09000000">
      <w:pPr>
        <w:widowControl w:val="0"/>
        <w:spacing w:line="360" w:lineRule="exact"/>
        <w:ind/>
        <w:jc w:val="center"/>
      </w:pPr>
    </w:p>
    <w:p w14:paraId="0A000000">
      <w:pPr>
        <w:widowControl w:val="0"/>
        <w:spacing w:line="360" w:lineRule="exact"/>
        <w:ind/>
        <w:jc w:val="center"/>
      </w:pPr>
    </w:p>
    <w:p w14:paraId="0B000000">
      <w:pPr>
        <w:widowControl w:val="0"/>
        <w:spacing w:line="276" w:lineRule="auto"/>
        <w:ind/>
        <w:jc w:val="center"/>
        <w:rPr>
          <w:b w:val="1"/>
        </w:rPr>
      </w:pPr>
      <w:r>
        <w:rPr>
          <w:b w:val="1"/>
        </w:rPr>
        <w:t>ОБ УТВЕРЖДЕНИИ МЕТОДИКИ РАСПРЕДЕЛЕНИЯ И ПРАВИЛ ПРЕДОСТАВЛЕНИЯ ИНЫХ МЕЖБЮДЖЕТНЫХ ТРАНСФЕРТОВ ИЗ ГОСУДАРСТВЕННОГО БЮДЖЕТА РЕСПУБЛИКИ САХА (ЯКУТИЯ) МЕСТНЫМ БЮДЖЕТАМ НА ВОЗМЕЩЕНИЕ ЧАСТИ ЗАТРАТ, СВЯЗАННЫХ СО СТРОИТЕЛЬСТВОМ, РЕКОНСТРУКЦИЕЙ И КАПИТАЛЬНЫМ РЕМОНТОМ МУНИЦИПАЛЬНЫХ ПРИЮТОВ ДЛЯ ЖИВОТНЫХ БЕЗ ВЛАДЕЛЬЦЕВ</w:t>
      </w:r>
    </w:p>
    <w:p w14:paraId="0C000000">
      <w:pPr>
        <w:widowControl w:val="0"/>
        <w:spacing w:line="360" w:lineRule="auto"/>
        <w:ind/>
        <w:jc w:val="center"/>
        <w:rPr>
          <w:b w:val="1"/>
        </w:rPr>
      </w:pPr>
    </w:p>
    <w:p w14:paraId="0D000000">
      <w:pPr>
        <w:widowControl w:val="0"/>
        <w:spacing w:line="360" w:lineRule="auto"/>
        <w:ind w:firstLine="851" w:left="0"/>
        <w:jc w:val="both"/>
      </w:pPr>
      <w:r>
        <w:t xml:space="preserve">В соответствии со статьей 139.1 </w:t>
      </w:r>
      <w:bookmarkStart w:id="1" w:name="_GoBack"/>
      <w:bookmarkEnd w:id="1"/>
      <w:r>
        <w:t>Бюджетного кодекса Российской Федерации, статьей 32 Закона Республики Саха (Якутия) от 5 февраля 2014 г. 1280-З № 111-V «О бюджетном устройстве и бюджетном процессе в Республике Саха (Якутия)», в целях реализации мероприятий государственной программы Республики Саха (Якутия) «Развитие сельского хозяйства и регулирование рынков сельскохозяйственной продукции, сырья и продовольствия», утвержденная постановлением Правительства Республики Саха (Якутия) от 18.07.2022 № 447, Правительство Республики Саха (Якутия)</w:t>
      </w:r>
      <w:r>
        <w:t xml:space="preserve"> </w:t>
      </w:r>
      <w:r>
        <w:t>п о с т а н о в л я е т:</w:t>
      </w:r>
      <w:r>
        <w:t xml:space="preserve"> </w:t>
      </w:r>
    </w:p>
    <w:p w14:paraId="0E000000">
      <w:pPr>
        <w:pStyle w:val="Style_2"/>
        <w:widowControl w:val="0"/>
        <w:numPr>
          <w:ilvl w:val="0"/>
          <w:numId w:val="1"/>
        </w:numPr>
        <w:spacing w:line="360" w:lineRule="auto"/>
        <w:ind w:firstLine="708" w:left="0"/>
        <w:jc w:val="both"/>
      </w:pPr>
      <w:r>
        <w:t xml:space="preserve">Утвердить методику распределения и правила предоставления иных межбюджетных трансфертов из государственного бюджета Республики Саха (Якутия) местным бюджетам на возмещение части затрат, связанных со строительством, реконструкцией и капитальным ремонтом муниципальных </w:t>
      </w:r>
      <w:r>
        <w:t>приютов для животных без владельцев согласно приложению, к настоящему постановлению.</w:t>
      </w:r>
    </w:p>
    <w:p w14:paraId="0F000000">
      <w:pPr>
        <w:pStyle w:val="Style_2"/>
        <w:widowControl w:val="0"/>
        <w:numPr>
          <w:ilvl w:val="0"/>
          <w:numId w:val="1"/>
        </w:numPr>
        <w:spacing w:line="360" w:lineRule="auto"/>
        <w:ind w:firstLine="708" w:left="0"/>
        <w:jc w:val="both"/>
      </w:pPr>
      <w:r>
        <w:t>Контроль исполнения настоящего постановления возложить на заместителя Председателя Правительства Республики Саха (Якутия) Местникова С.В.</w:t>
      </w:r>
    </w:p>
    <w:p w14:paraId="10000000">
      <w:pPr>
        <w:widowControl w:val="0"/>
        <w:spacing w:line="360" w:lineRule="auto"/>
        <w:ind w:firstLine="708" w:left="0"/>
        <w:jc w:val="both"/>
      </w:pPr>
      <w:r>
        <w:t>3</w:t>
      </w:r>
      <w:r>
        <w:t>. Опубликовать настоящее постановление в официальных средствах массовой информации.</w:t>
      </w:r>
    </w:p>
    <w:p w14:paraId="11000000">
      <w:pPr>
        <w:widowControl w:val="0"/>
        <w:spacing w:line="360" w:lineRule="auto"/>
        <w:ind/>
        <w:rPr>
          <w:b w:val="1"/>
        </w:rPr>
      </w:pPr>
    </w:p>
    <w:p w14:paraId="12000000">
      <w:pPr>
        <w:widowControl w:val="0"/>
        <w:spacing w:line="360" w:lineRule="auto"/>
        <w:ind/>
        <w:rPr>
          <w:b w:val="1"/>
        </w:rPr>
      </w:pPr>
    </w:p>
    <w:p w14:paraId="13000000">
      <w:pPr>
        <w:tabs>
          <w:tab w:leader="none" w:pos="709" w:val="left"/>
        </w:tabs>
        <w:spacing w:line="276" w:lineRule="auto"/>
        <w:ind/>
      </w:pPr>
      <w:r>
        <w:t xml:space="preserve">Председателя Правительства </w:t>
      </w:r>
    </w:p>
    <w:p w14:paraId="14000000">
      <w:pPr>
        <w:tabs>
          <w:tab w:leader="none" w:pos="709" w:val="left"/>
        </w:tabs>
        <w:spacing w:line="276" w:lineRule="auto"/>
        <w:ind/>
      </w:pPr>
      <w:r>
        <w:t xml:space="preserve">Республики Саха (Якутия) </w:t>
      </w:r>
      <w:r>
        <w:tab/>
      </w:r>
      <w:r>
        <w:t xml:space="preserve">                                                         К.Е. БЫЧКОВ</w:t>
      </w:r>
      <w:r>
        <w:tab/>
      </w:r>
      <w:r>
        <w:tab/>
      </w:r>
      <w:r>
        <w:t xml:space="preserve">             </w:t>
      </w:r>
      <w:r>
        <w:tab/>
      </w:r>
    </w:p>
    <w:p w14:paraId="15000000">
      <w:pPr>
        <w:spacing w:after="160" w:line="264" w:lineRule="auto"/>
        <w:ind/>
      </w:pPr>
      <w:r>
        <w:br w:type="page"/>
      </w:r>
    </w:p>
    <w:p w14:paraId="16000000">
      <w:pPr>
        <w:pStyle w:val="Style_3"/>
        <w:ind/>
        <w:jc w:val="right"/>
        <w:outlineLvl w:val="0"/>
        <w:rPr>
          <w:rFonts w:ascii="Times New Roman" w:hAnsi="Times New Roman"/>
          <w:sz w:val="28"/>
        </w:rPr>
      </w:pPr>
      <w:bookmarkStart w:id="2" w:name="P11"/>
      <w:bookmarkEnd w:id="2"/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ы</w:t>
      </w:r>
    </w:p>
    <w:p w14:paraId="17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</w:p>
    <w:p w14:paraId="18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19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_______________2023</w:t>
      </w:r>
      <w:r>
        <w:rPr>
          <w:rFonts w:ascii="Times New Roman" w:hAnsi="Times New Roman"/>
          <w:sz w:val="28"/>
        </w:rPr>
        <w:t xml:space="preserve"> г.</w:t>
      </w:r>
    </w:p>
    <w:p w14:paraId="1A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1B000000">
      <w:pPr>
        <w:pStyle w:val="Style_3"/>
        <w:ind w:firstLine="540" w:left="0"/>
        <w:jc w:val="both"/>
        <w:rPr>
          <w:rFonts w:ascii="Times New Roman" w:hAnsi="Times New Roman"/>
        </w:rPr>
      </w:pPr>
    </w:p>
    <w:p w14:paraId="1C000000">
      <w:pPr>
        <w:pStyle w:val="Style_4"/>
        <w:spacing w:line="276" w:lineRule="auto"/>
        <w:ind/>
        <w:jc w:val="center"/>
        <w:rPr>
          <w:rFonts w:ascii="Times New Roman" w:hAnsi="Times New Roman"/>
          <w:sz w:val="28"/>
        </w:rPr>
      </w:pPr>
      <w:bookmarkStart w:id="3" w:name="P33"/>
      <w:bookmarkEnd w:id="3"/>
      <w:r>
        <w:rPr>
          <w:rFonts w:ascii="Times New Roman" w:hAnsi="Times New Roman"/>
          <w:sz w:val="28"/>
        </w:rPr>
        <w:t xml:space="preserve">МЕТОДИКА </w:t>
      </w:r>
    </w:p>
    <w:p w14:paraId="1D000000">
      <w:pPr>
        <w:pStyle w:val="Style_4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РАСПРЕДЕЛЕНИЯ И ПРАВИЛ ПРЕДОСТАВЛЕНИЯ ИНЫХ МЕЖБЮДЖЕТНЫХ ТРАНСФЕРТОВ ИЗ ГОСУДАРСТВЕННОГО БЮДЖЕТА РЕСПУБЛИКИ САХА (ЯКУТИЯ) МЕСТНЫМ БЮДЖЕТАМ НА ВОЗМЕЩЕНИЕ ЧАСТИ ЗАТРАТ, СВЯЗАННЫХ СО СТРОИТЕЛЬСТВОМ, РЕКОНСТРУКЦИЕЙ И КАПИТАЛЬНЫМ РЕМОНТОМ МУНИЦИПАЛЬНЫХ ПРИЮТОВ ДЛЯ ЖИВОТНЫХ БЕЗ ВЛАДЕЛЬЦЕВ</w:t>
      </w:r>
    </w:p>
    <w:p w14:paraId="1E000000">
      <w:pPr>
        <w:pStyle w:val="Style_4"/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pStyle w:val="Style_4"/>
        <w:numPr>
          <w:ilvl w:val="0"/>
          <w:numId w:val="2"/>
        </w:num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положения.</w:t>
      </w:r>
    </w:p>
    <w:p w14:paraId="20000000">
      <w:pPr>
        <w:pStyle w:val="Style_3"/>
        <w:spacing w:line="36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numPr>
          <w:ilvl w:val="1"/>
          <w:numId w:val="3"/>
        </w:numPr>
        <w:spacing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Методика разработана в соответствии со статьей 139.1 Бюджетного кодекса Российской Федерации, статьей 32 Закон</w:t>
      </w:r>
      <w:r>
        <w:rPr>
          <w:rFonts w:ascii="Times New Roman" w:hAnsi="Times New Roman"/>
          <w:sz w:val="28"/>
        </w:rPr>
        <w:t>а Республики Саха (Якутия) от 05.02.</w:t>
      </w:r>
      <w:r>
        <w:rPr>
          <w:rFonts w:ascii="Times New Roman" w:hAnsi="Times New Roman"/>
          <w:sz w:val="28"/>
        </w:rPr>
        <w:t>2014 г. 1280-З № 111-V «О бюджетном устройстве и бюджетном процессе в Республике Саха (Якутия)», в целях реализации мероприятий государственной программы Республики Саха (Якутия) «Развитие сельского хозяйства и регулирование рынков сельскохозяйственной продукции, сырья и продовольствия», утвержденная постановлением Правительства Республики Саха (Якутия) от 18.07.2022 № 447, регламентирует предоставление иных межбюджетных трансфертов местным бюджетам Республики Саха (Якутия) на возмещение расходов части затрат, связанных со строительством, реконструкцией и капитальным ремонтом муниципальных приютов для животных без владельцев (далее - иные межбюджетные трансферты)</w:t>
      </w:r>
      <w:r>
        <w:rPr>
          <w:rFonts w:ascii="Times New Roman" w:hAnsi="Times New Roman"/>
          <w:sz w:val="28"/>
        </w:rPr>
        <w:t>.</w:t>
      </w:r>
    </w:p>
    <w:p w14:paraId="22000000">
      <w:pPr>
        <w:pStyle w:val="Style_3"/>
        <w:numPr>
          <w:ilvl w:val="1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настоящей М</w:t>
      </w:r>
      <w:r>
        <w:rPr>
          <w:rFonts w:ascii="Times New Roman" w:hAnsi="Times New Roman"/>
          <w:sz w:val="28"/>
        </w:rPr>
        <w:t xml:space="preserve">етодике </w:t>
      </w:r>
      <w:r>
        <w:rPr>
          <w:rFonts w:ascii="Times New Roman" w:hAnsi="Times New Roman"/>
          <w:sz w:val="28"/>
        </w:rPr>
        <w:t>используются следующие понятия:</w:t>
      </w:r>
    </w:p>
    <w:p w14:paraId="23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муниципальное образование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органы местного самоуправления Республики Саха (Якутия), в том числе </w:t>
      </w:r>
      <w:r>
        <w:rPr>
          <w:rFonts w:ascii="Times New Roman" w:hAnsi="Times New Roman"/>
          <w:sz w:val="28"/>
        </w:rPr>
        <w:t xml:space="preserve">городское или сельское поселение, муниципальный район, муниципальный округ, городской округ, городской </w:t>
      </w:r>
      <w:r>
        <w:rPr>
          <w:rFonts w:ascii="Times New Roman" w:hAnsi="Times New Roman"/>
          <w:sz w:val="28"/>
        </w:rPr>
        <w:t>округ с внутригородским делением, внутригородской район либо внутригородская территория города федерального значения</w:t>
      </w:r>
    </w:p>
    <w:p w14:paraId="24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муниципальны</w:t>
      </w:r>
      <w:r>
        <w:rPr>
          <w:rFonts w:ascii="Times New Roman" w:hAnsi="Times New Roman"/>
          <w:sz w:val="28"/>
        </w:rPr>
        <w:t xml:space="preserve">е приюты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приюты для животных без владельцев</w:t>
      </w:r>
      <w:r>
        <w:rPr>
          <w:rFonts w:ascii="Times New Roman" w:hAnsi="Times New Roman"/>
          <w:sz w:val="28"/>
        </w:rPr>
        <w:t xml:space="preserve">, находящиеся в муниципальной собственности, осуществляющие организацию мероприятий </w:t>
      </w:r>
      <w:r>
        <w:rPr>
          <w:rFonts w:ascii="Times New Roman" w:hAnsi="Times New Roman"/>
          <w:sz w:val="28"/>
        </w:rPr>
        <w:t xml:space="preserve">согласно статье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закон) </w:t>
      </w:r>
      <w:r>
        <w:rPr>
          <w:rFonts w:ascii="Times New Roman" w:hAnsi="Times New Roman"/>
          <w:sz w:val="28"/>
        </w:rPr>
        <w:t>при осуществлении деятельности по обраще</w:t>
      </w:r>
      <w:r>
        <w:rPr>
          <w:rFonts w:ascii="Times New Roman" w:hAnsi="Times New Roman"/>
          <w:sz w:val="28"/>
        </w:rPr>
        <w:t>нию с животными без владельцев</w:t>
      </w:r>
      <w:r>
        <w:rPr>
          <w:rFonts w:ascii="Times New Roman" w:hAnsi="Times New Roman"/>
          <w:sz w:val="28"/>
        </w:rPr>
        <w:t>;</w:t>
      </w:r>
    </w:p>
    <w:p w14:paraId="25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строительство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 зданий, строений, сооружений (в том числе на месте сносимых объектов капитального строительства)</w:t>
      </w:r>
      <w:r>
        <w:rPr>
          <w:rFonts w:ascii="Times New Roman" w:hAnsi="Times New Roman"/>
          <w:sz w:val="28"/>
        </w:rPr>
        <w:t>;</w:t>
      </w:r>
    </w:p>
    <w:p w14:paraId="26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14:paraId="27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реконструкция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это </w:t>
      </w:r>
      <w:r>
        <w:rPr>
          <w:rFonts w:ascii="Times New Roman" w:hAnsi="Times New Roman"/>
          <w:sz w:val="28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</w:t>
      </w:r>
      <w:r>
        <w:rPr>
          <w:rFonts w:ascii="Times New Roman" w:hAnsi="Times New Roman"/>
          <w:sz w:val="28"/>
        </w:rPr>
        <w:t>.</w:t>
      </w:r>
    </w:p>
    <w:p w14:paraId="28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 xml:space="preserve">. Общий объем иных межбюджетных трансфертов утверждается </w:t>
      </w:r>
      <w:r>
        <w:rPr>
          <w:rFonts w:ascii="Times New Roman" w:hAnsi="Times New Roman"/>
          <w:sz w:val="28"/>
        </w:rPr>
        <w:t>законом Республики Саха (Якутия) о государственном бюджете на очередной финансовый год и плановый период.</w:t>
      </w:r>
    </w:p>
    <w:p w14:paraId="29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. Главным распорядителем иных межбюджетных трансфертов</w:t>
      </w:r>
      <w:r>
        <w:t xml:space="preserve"> </w:t>
      </w:r>
      <w:r>
        <w:rPr>
          <w:rFonts w:ascii="Times New Roman" w:hAnsi="Times New Roman"/>
          <w:sz w:val="28"/>
        </w:rPr>
        <w:t xml:space="preserve">является Департамент ветеринарии Республики Саха (Якутия) (далее - Департамент).  </w:t>
      </w:r>
    </w:p>
    <w:p w14:paraId="2A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Иные межбюджетные трансферты предоставляются бюджетам муниципальных образований Республики Саха (Якутия) единовременно в целях возмещения части затрат, связанных со строительством, или капитальным ремонтом, или реконструкцией муниципальных приютов для животных без владельцев</w:t>
      </w:r>
    </w:p>
    <w:p w14:paraId="2B000000">
      <w:pPr>
        <w:pStyle w:val="Style_3"/>
        <w:numPr>
          <w:ilvl w:val="1"/>
          <w:numId w:val="4"/>
        </w:num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иных межбюджетных трансфертов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в пределах бюджетных ассигнований, предусмотренных законом Республики Саха (Якутия) о государственном бюджете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очередной финансовый год и плановый период на основании </w:t>
      </w:r>
      <w:r>
        <w:rPr>
          <w:rFonts w:ascii="Times New Roman" w:hAnsi="Times New Roman"/>
          <w:sz w:val="28"/>
        </w:rPr>
        <w:t>распоряжения Правительства Республики Саха (Якутия)</w:t>
      </w:r>
      <w:r>
        <w:rPr>
          <w:rFonts w:ascii="Times New Roman" w:hAnsi="Times New Roman"/>
          <w:sz w:val="28"/>
        </w:rPr>
        <w:t>, принятого по итогам рассмотрения заявок муниципальных образований</w:t>
      </w:r>
      <w:r>
        <w:rPr>
          <w:rFonts w:ascii="Times New Roman" w:hAnsi="Times New Roman"/>
          <w:sz w:val="28"/>
        </w:rPr>
        <w:t xml:space="preserve"> из государственной программы Республики Саха (Якутия) «Развитие сельского хозяйства и регулирование рынков сельскохозяйственной продукции, сырья и продовольствия» утвержденной постановлением Правительства Республики Саха (Якутия) от 18.07.2022 № 447.</w:t>
      </w:r>
    </w:p>
    <w:p w14:paraId="2C000000">
      <w:pPr>
        <w:pStyle w:val="Style_3"/>
        <w:numPr>
          <w:ilvl w:val="1"/>
          <w:numId w:val="4"/>
        </w:numPr>
        <w:spacing w:line="36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объема предусмотренных иных межбюджетных трансфертов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утверждается постановлением Правительства Республики Саха (Якутия) на основании решения</w:t>
      </w:r>
      <w:r>
        <w:rPr>
          <w:rFonts w:ascii="Times New Roman" w:hAnsi="Times New Roman"/>
          <w:sz w:val="28"/>
        </w:rPr>
        <w:t xml:space="preserve"> Комиссии, порядок работы и состав которой утверждается приказом Департамента (далее – Комиссия).</w:t>
      </w:r>
    </w:p>
    <w:p w14:paraId="2D000000">
      <w:pPr>
        <w:pStyle w:val="Style_3"/>
        <w:spacing w:line="36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numPr>
          <w:ilvl w:val="0"/>
          <w:numId w:val="2"/>
        </w:num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отбора, методика и условия предоставления иных межбюджетных трансфертов</w:t>
      </w:r>
      <w:r>
        <w:rPr>
          <w:rFonts w:ascii="Times New Roman" w:hAnsi="Times New Roman"/>
          <w:b w:val="1"/>
          <w:sz w:val="28"/>
        </w:rPr>
        <w:t>.</w:t>
      </w:r>
    </w:p>
    <w:p w14:paraId="2F000000">
      <w:pPr>
        <w:pStyle w:val="Style_3"/>
        <w:spacing w:line="276" w:lineRule="auto"/>
        <w:ind w:firstLine="0" w:left="1080"/>
        <w:rPr>
          <w:rFonts w:ascii="Times New Roman" w:hAnsi="Times New Roman"/>
          <w:b w:val="1"/>
          <w:sz w:val="28"/>
        </w:rPr>
      </w:pPr>
    </w:p>
    <w:p w14:paraId="30000000">
      <w:pPr>
        <w:pStyle w:val="Style_3"/>
        <w:numPr>
          <w:ilvl w:val="1"/>
          <w:numId w:val="1"/>
        </w:num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предоставляются бюджетам муниципальных образований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реализацию мероприятий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прошедшим отбор, в соответствии </w:t>
      </w:r>
      <w:r>
        <w:rPr>
          <w:rFonts w:ascii="Times New Roman" w:hAnsi="Times New Roman"/>
          <w:sz w:val="28"/>
        </w:rPr>
        <w:t>с 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2.2.5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Иные межбюджетные трансферты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возмещения части затрат, связанных со строительством, </w:t>
      </w:r>
      <w:r>
        <w:rPr>
          <w:rFonts w:ascii="Times New Roman" w:hAnsi="Times New Roman"/>
          <w:sz w:val="28"/>
        </w:rPr>
        <w:t>капитальным ремонтом</w:t>
      </w:r>
      <w:r>
        <w:rPr>
          <w:rFonts w:ascii="Times New Roman" w:hAnsi="Times New Roman"/>
          <w:sz w:val="28"/>
        </w:rPr>
        <w:t xml:space="preserve"> и реконструкцией муниципальных приютов для животных без владельцев</w:t>
      </w:r>
      <w:r>
        <w:rPr>
          <w:rFonts w:ascii="Times New Roman" w:hAnsi="Times New Roman"/>
          <w:sz w:val="28"/>
        </w:rPr>
        <w:t xml:space="preserve"> осуществляю</w:t>
      </w:r>
      <w:r>
        <w:rPr>
          <w:rFonts w:ascii="Times New Roman" w:hAnsi="Times New Roman"/>
          <w:sz w:val="28"/>
        </w:rPr>
        <w:t>тся по следующим требов</w:t>
      </w:r>
      <w:r>
        <w:rPr>
          <w:rFonts w:ascii="Times New Roman" w:hAnsi="Times New Roman"/>
          <w:sz w:val="28"/>
        </w:rPr>
        <w:t>аниям</w:t>
      </w:r>
      <w:r>
        <w:rPr>
          <w:rFonts w:ascii="Times New Roman" w:hAnsi="Times New Roman"/>
          <w:sz w:val="28"/>
        </w:rPr>
        <w:t>:</w:t>
      </w:r>
    </w:p>
    <w:p w14:paraId="32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Обязательными условиями предоставления иных межбюджетных трансфертов являются:</w:t>
      </w:r>
    </w:p>
    <w:p w14:paraId="33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Наличие нормативного правового акта муниципального образования, устанавливающего порядок расходования иных межбюджетных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трансфертов на возмещения части затрат, связанных со строительством, </w:t>
      </w:r>
      <w:r>
        <w:rPr>
          <w:rFonts w:ascii="Times New Roman" w:hAnsi="Times New Roman"/>
          <w:sz w:val="28"/>
        </w:rPr>
        <w:t>капитальным ремонтом</w:t>
      </w:r>
      <w:r>
        <w:rPr>
          <w:rFonts w:ascii="Times New Roman" w:hAnsi="Times New Roman"/>
          <w:sz w:val="28"/>
        </w:rPr>
        <w:t xml:space="preserve"> и реконструкцией муниципальных приютов для животных без владельцев</w:t>
      </w:r>
      <w:r>
        <w:rPr>
          <w:rFonts w:ascii="Times New Roman" w:hAnsi="Times New Roman"/>
          <w:sz w:val="28"/>
        </w:rPr>
        <w:t>;</w:t>
      </w:r>
    </w:p>
    <w:p w14:paraId="34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2.2.1.2</w:t>
      </w:r>
      <w:r>
        <w:rPr>
          <w:rFonts w:ascii="Times New Roman" w:hAnsi="Times New Roman"/>
          <w:sz w:val="28"/>
        </w:rPr>
        <w:t xml:space="preserve">. Наличие нормативного правового акта муниципального образования о проведении строительных работ, работ по </w:t>
      </w:r>
      <w:r>
        <w:rPr>
          <w:rFonts w:ascii="Times New Roman" w:hAnsi="Times New Roman"/>
          <w:sz w:val="28"/>
        </w:rPr>
        <w:t xml:space="preserve">капитальному ремонту и реконструкции </w:t>
      </w:r>
      <w:r>
        <w:rPr>
          <w:rFonts w:ascii="Times New Roman" w:hAnsi="Times New Roman"/>
          <w:sz w:val="28"/>
        </w:rPr>
        <w:t>муниципального приюта.</w:t>
      </w:r>
    </w:p>
    <w:p w14:paraId="35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аличие земельного участка под </w:t>
      </w:r>
      <w:r>
        <w:rPr>
          <w:rFonts w:ascii="Times New Roman" w:hAnsi="Times New Roman"/>
          <w:sz w:val="28"/>
        </w:rPr>
        <w:t xml:space="preserve">строительство, </w:t>
      </w:r>
      <w:r>
        <w:rPr>
          <w:rFonts w:ascii="Times New Roman" w:hAnsi="Times New Roman"/>
          <w:sz w:val="28"/>
        </w:rPr>
        <w:t xml:space="preserve">капитальный ремонт и реконструкцию </w:t>
      </w:r>
      <w:r>
        <w:rPr>
          <w:rFonts w:ascii="Times New Roman" w:hAnsi="Times New Roman"/>
          <w:sz w:val="28"/>
        </w:rPr>
        <w:t>муниципального приюта</w:t>
      </w:r>
      <w:r>
        <w:rPr>
          <w:rFonts w:ascii="Times New Roman" w:hAnsi="Times New Roman"/>
          <w:sz w:val="28"/>
        </w:rPr>
        <w:t xml:space="preserve">.  </w:t>
      </w:r>
    </w:p>
    <w:p w14:paraId="36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аличие </w:t>
      </w:r>
      <w:r>
        <w:rPr>
          <w:rFonts w:ascii="Times New Roman" w:hAnsi="Times New Roman"/>
          <w:sz w:val="28"/>
        </w:rPr>
        <w:t>подтверждающих первичных документов у муниципального образования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капитальному ремонту</w:t>
      </w:r>
      <w:r>
        <w:rPr>
          <w:rFonts w:ascii="Times New Roman" w:hAnsi="Times New Roman"/>
          <w:sz w:val="28"/>
        </w:rPr>
        <w:t xml:space="preserve"> и реконструкци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муниципального приюта</w:t>
      </w:r>
      <w:r>
        <w:rPr>
          <w:rFonts w:ascii="Times New Roman" w:hAnsi="Times New Roman"/>
          <w:sz w:val="28"/>
        </w:rPr>
        <w:t>:</w:t>
      </w:r>
    </w:p>
    <w:p w14:paraId="37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платежных поручений и выписок из лицевого счета учреждения;</w:t>
      </w:r>
    </w:p>
    <w:p w14:paraId="38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копии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онтракт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(договор</w:t>
      </w:r>
      <w:r>
        <w:rPr>
          <w:rFonts w:ascii="Times New Roman" w:hAnsi="Times New Roman"/>
          <w:sz w:val="28"/>
        </w:rPr>
        <w:t>ов, соглашений</w:t>
      </w:r>
      <w:r>
        <w:rPr>
          <w:rFonts w:ascii="Times New Roman" w:hAnsi="Times New Roman"/>
          <w:sz w:val="28"/>
        </w:rPr>
        <w:t>), счет</w:t>
      </w:r>
      <w:r>
        <w:rPr>
          <w:rFonts w:ascii="Times New Roman" w:hAnsi="Times New Roman"/>
          <w:sz w:val="28"/>
        </w:rPr>
        <w:t>ов (счетов-фактур</w:t>
      </w:r>
      <w:r>
        <w:rPr>
          <w:rFonts w:ascii="Times New Roman" w:hAnsi="Times New Roman"/>
          <w:sz w:val="28"/>
        </w:rPr>
        <w:t>);</w:t>
      </w:r>
    </w:p>
    <w:p w14:paraId="39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копии актов приема выполненных работ (</w:t>
      </w:r>
      <w:r>
        <w:rPr>
          <w:rFonts w:ascii="Times New Roman" w:hAnsi="Times New Roman"/>
          <w:sz w:val="28"/>
        </w:rPr>
        <w:t>форма КС-2</w:t>
      </w:r>
      <w:r>
        <w:rPr>
          <w:rFonts w:ascii="Times New Roman" w:hAnsi="Times New Roman"/>
          <w:sz w:val="28"/>
        </w:rPr>
        <w:t>);</w:t>
      </w:r>
    </w:p>
    <w:p w14:paraId="3A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копии справок о стоимости выполненных работ и затрат (форма КС-3);</w:t>
      </w:r>
    </w:p>
    <w:p w14:paraId="3B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проектно-сметной документации</w:t>
      </w:r>
      <w:r>
        <w:rPr>
          <w:rFonts w:ascii="Times New Roman" w:hAnsi="Times New Roman"/>
          <w:sz w:val="28"/>
        </w:rPr>
        <w:t xml:space="preserve"> и локальных смет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строительства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капитального ремонта</w:t>
      </w:r>
      <w:r>
        <w:rPr>
          <w:rFonts w:ascii="Times New Roman" w:hAnsi="Times New Roman"/>
          <w:sz w:val="28"/>
        </w:rPr>
        <w:t xml:space="preserve"> и реконс</w:t>
      </w:r>
      <w:r>
        <w:rPr>
          <w:rFonts w:ascii="Times New Roman" w:hAnsi="Times New Roman"/>
          <w:sz w:val="28"/>
        </w:rPr>
        <w:t>трукции;</w:t>
      </w:r>
    </w:p>
    <w:p w14:paraId="3C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дополнительно </w:t>
      </w:r>
      <w:r>
        <w:rPr>
          <w:rFonts w:ascii="Times New Roman" w:hAnsi="Times New Roman"/>
          <w:sz w:val="28"/>
        </w:rPr>
        <w:t>предоставлять иные документы по запросу Департамента.</w:t>
      </w:r>
    </w:p>
    <w:p w14:paraId="3D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2.2.2.</w:t>
      </w:r>
      <w:r>
        <w:rPr>
          <w:rFonts w:ascii="Times New Roman" w:hAnsi="Times New Roman"/>
          <w:sz w:val="28"/>
        </w:rPr>
        <w:t xml:space="preserve"> Критериями отбора муниципальных образований для предоставления иных межбюджетных трансфертов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являются: </w:t>
      </w:r>
    </w:p>
    <w:p w14:paraId="3E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очередность </w:t>
      </w:r>
      <w:r>
        <w:rPr>
          <w:rFonts w:ascii="Times New Roman" w:hAnsi="Times New Roman"/>
          <w:sz w:val="28"/>
        </w:rPr>
        <w:t>предоставления заявок</w:t>
      </w:r>
      <w:r>
        <w:rPr>
          <w:rFonts w:ascii="Times New Roman" w:hAnsi="Times New Roman"/>
          <w:sz w:val="28"/>
        </w:rPr>
        <w:t xml:space="preserve"> в установленные сроки, </w:t>
      </w:r>
      <w:r>
        <w:rPr>
          <w:rFonts w:ascii="Times New Roman" w:hAnsi="Times New Roman"/>
          <w:sz w:val="28"/>
        </w:rPr>
        <w:t>наличие необходимых документов, направленных</w:t>
      </w:r>
      <w:r>
        <w:rPr>
          <w:rFonts w:ascii="Times New Roman" w:hAnsi="Times New Roman"/>
          <w:sz w:val="28"/>
        </w:rPr>
        <w:t xml:space="preserve"> посредством </w:t>
      </w:r>
      <w:r>
        <w:rPr>
          <w:rFonts w:ascii="Times New Roman" w:hAnsi="Times New Roman"/>
          <w:sz w:val="28"/>
        </w:rPr>
        <w:t>единой системы электронного документооборота</w:t>
      </w:r>
      <w:r>
        <w:rPr>
          <w:rFonts w:ascii="Times New Roman" w:hAnsi="Times New Roman"/>
          <w:sz w:val="28"/>
        </w:rPr>
        <w:t>;</w:t>
      </w:r>
    </w:p>
    <w:p w14:paraId="3F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наличие </w:t>
      </w:r>
      <w:r>
        <w:rPr>
          <w:rFonts w:ascii="Times New Roman" w:hAnsi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в пункте 2.2.1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.</w:t>
      </w:r>
    </w:p>
    <w:p w14:paraId="40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иных межбюджетных трансфертов</w:t>
      </w:r>
      <w:r>
        <w:t xml:space="preserve"> </w:t>
      </w:r>
      <w:r>
        <w:rPr>
          <w:rFonts w:ascii="Times New Roman" w:hAnsi="Times New Roman"/>
          <w:sz w:val="28"/>
        </w:rPr>
        <w:t xml:space="preserve">муниципальные образования </w:t>
      </w:r>
      <w:r>
        <w:rPr>
          <w:rFonts w:ascii="Times New Roman" w:hAnsi="Times New Roman"/>
          <w:sz w:val="28"/>
        </w:rPr>
        <w:t>подают заявки в адрес Департамента посредством единой системы электронного документооборота</w:t>
      </w:r>
      <w:r>
        <w:rPr>
          <w:rFonts w:ascii="Times New Roman" w:hAnsi="Times New Roman"/>
          <w:sz w:val="28"/>
        </w:rPr>
        <w:t>, в установленные сроки в пункте 2.2.3.</w:t>
      </w:r>
    </w:p>
    <w:p w14:paraId="41000000">
      <w:pPr>
        <w:pStyle w:val="Style_3"/>
        <w:numPr>
          <w:ilvl w:val="2"/>
          <w:numId w:val="5"/>
        </w:num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муниципальных образований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возмещения части затрат, связанных со строительством, </w:t>
      </w:r>
      <w:r>
        <w:rPr>
          <w:rFonts w:ascii="Times New Roman" w:hAnsi="Times New Roman"/>
          <w:sz w:val="28"/>
        </w:rPr>
        <w:t>капитальным ремонтом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реконструкцией муниципальных приютов для животных без владельцев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принимаются Департам</w:t>
      </w:r>
      <w:r>
        <w:rPr>
          <w:rFonts w:ascii="Times New Roman" w:hAnsi="Times New Roman"/>
          <w:sz w:val="28"/>
        </w:rPr>
        <w:t>ентом до 1 июня текущего года</w:t>
      </w:r>
      <w:r>
        <w:rPr>
          <w:rFonts w:ascii="Times New Roman" w:hAnsi="Times New Roman"/>
          <w:sz w:val="28"/>
        </w:rPr>
        <w:t xml:space="preserve"> для определения потребности на получение иных межбюджетных трансфертов из государственного бюджета Республики Саха (Якутия) на очередной финансовый год.</w:t>
      </w:r>
    </w:p>
    <w:p w14:paraId="42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и документы, принятые после установленного срока подачи заявок, не подлежат рассмотрению для участия в отборе.</w:t>
      </w:r>
    </w:p>
    <w:p w14:paraId="43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и документы муници</w:t>
      </w:r>
      <w:r>
        <w:rPr>
          <w:rFonts w:ascii="Times New Roman" w:hAnsi="Times New Roman"/>
          <w:sz w:val="28"/>
        </w:rPr>
        <w:t>пальные образования направляют</w:t>
      </w:r>
      <w:r>
        <w:rPr>
          <w:rFonts w:ascii="Times New Roman" w:hAnsi="Times New Roman"/>
          <w:sz w:val="28"/>
        </w:rPr>
        <w:t xml:space="preserve"> посредством единой системы электронного документооборота.</w:t>
      </w:r>
    </w:p>
    <w:p w14:paraId="44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</w:t>
      </w:r>
      <w:r>
        <w:rPr>
          <w:rFonts w:ascii="Times New Roman" w:hAnsi="Times New Roman"/>
          <w:sz w:val="28"/>
        </w:rPr>
        <w:t xml:space="preserve"> Заявки муниципальных образований на предоставление иных межбюджетных трансфертов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возмещения части затрат, связанных со строительством, </w:t>
      </w:r>
      <w:r>
        <w:rPr>
          <w:rFonts w:ascii="Times New Roman" w:hAnsi="Times New Roman"/>
          <w:sz w:val="28"/>
        </w:rPr>
        <w:t>капитальным ремонтом</w:t>
      </w:r>
      <w:r>
        <w:rPr>
          <w:rFonts w:ascii="Times New Roman" w:hAnsi="Times New Roman"/>
          <w:sz w:val="28"/>
        </w:rPr>
        <w:t xml:space="preserve"> и реконструкцией муниципальных приютов для животных без владельцев</w:t>
      </w:r>
      <w:r>
        <w:rPr>
          <w:rFonts w:ascii="Times New Roman" w:hAnsi="Times New Roman"/>
          <w:sz w:val="28"/>
        </w:rPr>
        <w:t xml:space="preserve"> должны содержать следующие документы:</w:t>
      </w:r>
    </w:p>
    <w:p w14:paraId="45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заявка главы муниципального образования на возмещение указанных расходов</w:t>
      </w:r>
      <w:r>
        <w:rPr>
          <w:rFonts w:ascii="Times New Roman" w:hAnsi="Times New Roman"/>
          <w:sz w:val="28"/>
        </w:rPr>
        <w:t>;</w:t>
      </w:r>
    </w:p>
    <w:p w14:paraId="46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правоустанавливающие документы на земельный участок (выписка из ЕГРН, договор аренды и т. д.);</w:t>
      </w:r>
    </w:p>
    <w:p w14:paraId="47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документов, указанных в пункте 2.2.1.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.</w:t>
      </w:r>
    </w:p>
    <w:p w14:paraId="48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должна быть подписана главой или исполняющим обязанности главы муниципального образования и скреплена печатью.</w:t>
      </w:r>
    </w:p>
    <w:p w14:paraId="49000000">
      <w:pPr>
        <w:pStyle w:val="Style_3"/>
        <w:numPr>
          <w:ilvl w:val="2"/>
          <w:numId w:val="6"/>
        </w:num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муниципальных образований, претендующих на предоставление иных межбюджетных трансфертов, осуществляется Комиссией.</w:t>
      </w:r>
    </w:p>
    <w:p w14:paraId="4A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рассматривает поступившие заявки не </w:t>
      </w:r>
      <w:r>
        <w:rPr>
          <w:rFonts w:ascii="Times New Roman" w:hAnsi="Times New Roman"/>
          <w:sz w:val="28"/>
        </w:rPr>
        <w:t xml:space="preserve">более 30 рабочих дней </w:t>
      </w:r>
      <w:r>
        <w:rPr>
          <w:rFonts w:ascii="Times New Roman" w:hAnsi="Times New Roman"/>
          <w:sz w:val="28"/>
        </w:rPr>
        <w:t>и принимает решение о предоставлении (об отказе в предоставлении) иных межбюджетных трансфертов муниципальным образованиям.</w:t>
      </w:r>
    </w:p>
    <w:p w14:paraId="4B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и положение К</w:t>
      </w:r>
      <w:r>
        <w:rPr>
          <w:rFonts w:ascii="Times New Roman" w:hAnsi="Times New Roman"/>
          <w:sz w:val="28"/>
        </w:rPr>
        <w:t>омиссии утверждается приказом Департамента.</w:t>
      </w:r>
    </w:p>
    <w:p w14:paraId="4C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рассмотрения заявок 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>ниципальных образований оформляю</w:t>
      </w:r>
      <w:r>
        <w:rPr>
          <w:rFonts w:ascii="Times New Roman" w:hAnsi="Times New Roman"/>
          <w:sz w:val="28"/>
        </w:rPr>
        <w:t>тся решением К</w:t>
      </w:r>
      <w:r>
        <w:rPr>
          <w:rFonts w:ascii="Times New Roman" w:hAnsi="Times New Roman"/>
          <w:sz w:val="28"/>
        </w:rPr>
        <w:t xml:space="preserve">омиссии в виде протокола, </w:t>
      </w:r>
      <w:r>
        <w:rPr>
          <w:rFonts w:ascii="Times New Roman" w:hAnsi="Times New Roman"/>
          <w:sz w:val="28"/>
        </w:rPr>
        <w:t xml:space="preserve">который </w:t>
      </w:r>
      <w:r>
        <w:rPr>
          <w:rFonts w:ascii="Times New Roman" w:hAnsi="Times New Roman"/>
          <w:sz w:val="28"/>
        </w:rPr>
        <w:t xml:space="preserve">подписывается председательствующим комиссии в течение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рабочего дня, следующего за днем проведен</w:t>
      </w:r>
      <w:r>
        <w:rPr>
          <w:rFonts w:ascii="Times New Roman" w:hAnsi="Times New Roman"/>
          <w:sz w:val="28"/>
        </w:rPr>
        <w:t>ия заседания комиссии и размещае</w:t>
      </w:r>
      <w:r>
        <w:rPr>
          <w:rFonts w:ascii="Times New Roman" w:hAnsi="Times New Roman"/>
          <w:sz w:val="28"/>
        </w:rPr>
        <w:t>тся на официальном сайте Департамента в информационно-телекоммуникационной сети Интернет не позднее 5 календ</w:t>
      </w:r>
      <w:r>
        <w:rPr>
          <w:rFonts w:ascii="Times New Roman" w:hAnsi="Times New Roman"/>
          <w:sz w:val="28"/>
        </w:rPr>
        <w:t>арных дней, следующих за днем подведения</w:t>
      </w:r>
      <w:r>
        <w:rPr>
          <w:rFonts w:ascii="Times New Roman" w:hAnsi="Times New Roman"/>
          <w:sz w:val="28"/>
        </w:rPr>
        <w:t xml:space="preserve"> итогов.</w:t>
      </w:r>
    </w:p>
    <w:p w14:paraId="4D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Предоставленная заявка с пакетом документов муниципального образования должна соответствовать требованиям, установленным пунктом 2.</w:t>
      </w:r>
      <w:r>
        <w:rPr>
          <w:rFonts w:ascii="Times New Roman" w:hAnsi="Times New Roman"/>
          <w:sz w:val="28"/>
        </w:rPr>
        <w:t>2.4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4E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Департамент осуществляет проверку соответствия участника отбора требованиям, установленным </w:t>
      </w:r>
      <w:r>
        <w:rPr>
          <w:rFonts w:ascii="Times New Roman" w:hAnsi="Times New Roman"/>
          <w:sz w:val="28"/>
        </w:rPr>
        <w:t>пунктом 2.2.3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настоящего Порядка, на основании документов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указанных в пункте </w:t>
      </w:r>
      <w:r>
        <w:rPr>
          <w:rFonts w:ascii="Times New Roman" w:hAnsi="Times New Roman"/>
          <w:sz w:val="28"/>
        </w:rPr>
        <w:t>2.2.4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настоящего Порядка. </w:t>
      </w:r>
    </w:p>
    <w:p w14:paraId="4F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вправе вынести решение об отказе в предоставлении иных межбюджетных трансфертов</w:t>
      </w:r>
      <w:r>
        <w:t xml:space="preserve"> </w:t>
      </w:r>
      <w:r>
        <w:rPr>
          <w:rFonts w:ascii="Times New Roman" w:hAnsi="Times New Roman"/>
          <w:sz w:val="28"/>
        </w:rPr>
        <w:t>по следующим основаниям</w:t>
      </w:r>
      <w:r>
        <w:rPr>
          <w:rFonts w:ascii="Times New Roman" w:hAnsi="Times New Roman"/>
          <w:sz w:val="28"/>
        </w:rPr>
        <w:t>:</w:t>
      </w:r>
    </w:p>
    <w:p w14:paraId="50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предоставление заявки с нарушением сроков, установленных пунктом </w:t>
      </w:r>
      <w:r>
        <w:rPr>
          <w:rFonts w:ascii="Times New Roman" w:hAnsi="Times New Roman"/>
          <w:sz w:val="28"/>
        </w:rPr>
        <w:t>2.2.4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1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правоустанавливающего документа на земельный участок (выписка из ЕГРН, договора аренды и т.д.);</w:t>
      </w:r>
    </w:p>
    <w:p w14:paraId="52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отсутствие </w:t>
      </w:r>
      <w:r>
        <w:rPr>
          <w:rFonts w:ascii="Times New Roman" w:hAnsi="Times New Roman"/>
          <w:sz w:val="28"/>
        </w:rPr>
        <w:t>(полных и частичных</w:t>
      </w:r>
      <w:r>
        <w:rPr>
          <w:rFonts w:ascii="Times New Roman" w:hAnsi="Times New Roman"/>
          <w:sz w:val="28"/>
        </w:rPr>
        <w:t>) документов, указанных в пункте 2.2.1. настоящего постановления.</w:t>
      </w:r>
    </w:p>
    <w:p w14:paraId="53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недостоверность предоставленной информации.</w:t>
      </w:r>
    </w:p>
    <w:p w14:paraId="54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2.2.6. Распределение иных межбюджетных трансфертов из государственного бюджета Республики Саха (Якутия) местным бюджетам </w:t>
      </w:r>
      <w:r>
        <w:rPr>
          <w:rFonts w:ascii="Times New Roman" w:hAnsi="Times New Roman"/>
          <w:sz w:val="28"/>
        </w:rPr>
        <w:t>утверждается распоряжением Правительства Респу</w:t>
      </w:r>
      <w:r>
        <w:rPr>
          <w:rFonts w:ascii="Times New Roman" w:hAnsi="Times New Roman"/>
          <w:sz w:val="28"/>
        </w:rPr>
        <w:t>блики Саха (Якутия).</w:t>
      </w:r>
    </w:p>
    <w:p w14:paraId="55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Распределение иных межбюджетных трансфертов осуществляется по формуле:</w:t>
      </w:r>
    </w:p>
    <w:p w14:paraId="56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7000000">
      <w:pPr>
        <w:pStyle w:val="Style_3"/>
        <w:spacing w:line="36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0,3</w:t>
      </w:r>
      <w:r>
        <w:rPr>
          <w:rFonts w:ascii="Times New Roman" w:hAnsi="Times New Roman"/>
          <w:sz w:val="28"/>
        </w:rPr>
        <w:t xml:space="preserve"> * </w:t>
      </w:r>
      <w:r>
        <w:rPr>
          <w:rFonts w:ascii="Times New Roman" w:hAnsi="Times New Roman"/>
          <w:sz w:val="28"/>
        </w:rPr>
        <w:t>Рсп</w:t>
      </w:r>
    </w:p>
    <w:p w14:paraId="58000000">
      <w:pPr>
        <w:pStyle w:val="Style_3"/>
        <w:spacing w:line="36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59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- потребность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муниципального образования на предоставление иных межбюджетных трансфертов на строительство или на капитальный ремонт, или на реконструкцию муниципального приюта</w:t>
      </w:r>
    </w:p>
    <w:p w14:paraId="5A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Рсп</w:t>
      </w:r>
      <w:r>
        <w:rPr>
          <w:rFonts w:ascii="Times New Roman" w:hAnsi="Times New Roman"/>
          <w:sz w:val="28"/>
        </w:rPr>
        <w:t xml:space="preserve"> - произведенные расходы </w:t>
      </w:r>
      <w:r>
        <w:rPr>
          <w:rFonts w:ascii="Times New Roman" w:hAnsi="Times New Roman"/>
          <w:sz w:val="28"/>
        </w:rPr>
        <w:t>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по строительству</w:t>
      </w:r>
      <w:r>
        <w:rPr>
          <w:rFonts w:ascii="Times New Roman" w:hAnsi="Times New Roman"/>
          <w:sz w:val="28"/>
        </w:rPr>
        <w:t>, или по капитальному ремонту, или по реконструкции</w:t>
      </w:r>
      <w:r>
        <w:rPr>
          <w:rFonts w:ascii="Times New Roman" w:hAnsi="Times New Roman"/>
          <w:sz w:val="28"/>
        </w:rPr>
        <w:t xml:space="preserve"> приютов, подтвержденные документами согласно пункта 2.2.1 настоящего Порядка;</w:t>
      </w:r>
    </w:p>
    <w:p w14:paraId="5B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</w:t>
      </w:r>
      <w:r>
        <w:rPr>
          <w:rFonts w:ascii="Times New Roman" w:hAnsi="Times New Roman"/>
          <w:sz w:val="28"/>
        </w:rPr>
        <w:t>. В случае если лимиты объемов иных межбюджетных трансфертов, предусмотренных законом Республики Саха (Якутия) о государственном бюджете на очередной финансовый год и плановый период больше, чем общая сумма заявок муниципальных образований, то распределение осуществляется в полном объеме в размере 100 процентов от расчетного размера финансовых средств, необходимых для возмещения части затрат, связанных со строительством, капитальным ремонтом и реконструкцией муниципальных приютов для животных без владельцев.</w:t>
      </w:r>
    </w:p>
    <w:p w14:paraId="5C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лимита объемов иных межбюджетных трансфертов, предусмотренных законом Республики Саха (Якутия) о государственном бюджете на очередной финансовый год и плановый период в меньшем размере, чем общая расчетная потребность муниципальных образований, то размер иного межбюджетного трансферта одному муниципальному образованию определяется в соответствии с формулой:</w:t>
      </w:r>
    </w:p>
    <w:p w14:paraId="5D000000">
      <w:pPr>
        <w:pStyle w:val="Style_3"/>
        <w:spacing w:line="36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5E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</w:rPr>
        <w:t xml:space="preserve"> * </w:t>
      </w:r>
      <w:r>
        <w:rPr>
          <w:rFonts w:ascii="Times New Roman" w:hAnsi="Times New Roman"/>
          <w:sz w:val="28"/>
        </w:rPr>
        <w:t>Сi</w:t>
      </w:r>
      <w:r>
        <w:rPr>
          <w:rFonts w:ascii="Times New Roman" w:hAnsi="Times New Roman"/>
          <w:sz w:val="28"/>
        </w:rPr>
        <w:t>,</w:t>
      </w:r>
    </w:p>
    <w:p w14:paraId="5F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</w:p>
    <w:p w14:paraId="60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</w:rPr>
        <w:t xml:space="preserve"> = Т /</w:t>
      </w:r>
      <w:r>
        <w:rPr>
          <w:rFonts w:ascii="Times New Roman" w:hAnsi="Times New Roman"/>
          <w:sz w:val="28"/>
        </w:rPr>
        <w:t>∑С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,</w:t>
      </w:r>
    </w:p>
    <w:p w14:paraId="61000000">
      <w:pPr>
        <w:pStyle w:val="Style_3"/>
        <w:spacing w:line="36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62000000">
      <w:pPr>
        <w:pStyle w:val="Style_3"/>
        <w:spacing w:line="36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63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Ai</w:t>
      </w:r>
      <w:r>
        <w:rPr>
          <w:rFonts w:ascii="Times New Roman" w:hAnsi="Times New Roman"/>
          <w:sz w:val="28"/>
        </w:rPr>
        <w:t xml:space="preserve"> - размер иных межбюджетных трансфертов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муниципального образования;</w:t>
      </w:r>
    </w:p>
    <w:p w14:paraId="64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- коэффициент для расчета размера иных межбюджетных трансфертов;</w:t>
      </w:r>
    </w:p>
    <w:p w14:paraId="65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- потребность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муниципального образования на предоставление иных межбюджетных трансфертов</w:t>
      </w:r>
      <w:r>
        <w:rPr>
          <w:rFonts w:ascii="Times New Roman" w:hAnsi="Times New Roman"/>
          <w:sz w:val="28"/>
        </w:rPr>
        <w:t xml:space="preserve"> на строительство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капитальный ремонт, или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реконструкцию муниципального приюта</w:t>
      </w:r>
      <w:r>
        <w:rPr>
          <w:rFonts w:ascii="Times New Roman" w:hAnsi="Times New Roman"/>
          <w:sz w:val="28"/>
        </w:rPr>
        <w:t>, которая составляется Департаментом на основании заявки муниципального образования;</w:t>
      </w:r>
    </w:p>
    <w:p w14:paraId="66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 - объем иных межбюджетных трансфертов, предусмотренных законом Республики Саха (Якутия) о государственном бю</w:t>
      </w:r>
      <w:r>
        <w:rPr>
          <w:rFonts w:ascii="Times New Roman" w:hAnsi="Times New Roman"/>
          <w:sz w:val="28"/>
        </w:rPr>
        <w:t>джете на текущий финансовый год</w:t>
      </w:r>
      <w:r>
        <w:rPr>
          <w:rFonts w:ascii="Times New Roman" w:hAnsi="Times New Roman"/>
          <w:sz w:val="28"/>
        </w:rPr>
        <w:t>.</w:t>
      </w:r>
    </w:p>
    <w:p w14:paraId="67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Определение размера, перечисляемого иного межбюджетного трансферта, прошедшим отбор, производится в соответствии с пунктом </w:t>
      </w: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8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Предоставление иных межбюджетных трансфертов</w:t>
      </w:r>
      <w:r>
        <w:t xml:space="preserve"> </w:t>
      </w:r>
      <w:r>
        <w:rPr>
          <w:rFonts w:ascii="Times New Roman" w:hAnsi="Times New Roman"/>
          <w:sz w:val="28"/>
        </w:rPr>
        <w:t>осуществляется на основании Соглашения, заключаемого между Департаментом и муниципальным образованием</w:t>
      </w:r>
      <w:r>
        <w:rPr>
          <w:rFonts w:ascii="Times New Roman" w:hAnsi="Times New Roman"/>
          <w:sz w:val="28"/>
        </w:rPr>
        <w:t xml:space="preserve"> (далее – Соглашение)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оглашения утверждается Приказом Департамента в соответствии с Типовой формой соглашений о предоставлении иных межбюджетных трансфертов из государственного бюджета Республики Саха (Якутия) местным бюджетам и дополнительных соглашений к указанным соглашениям, предусматривающие внесение в них изменений или их расторжение, утвержденной Приказом М</w:t>
      </w:r>
      <w:r>
        <w:rPr>
          <w:rFonts w:ascii="Times New Roman" w:hAnsi="Times New Roman"/>
          <w:sz w:val="28"/>
        </w:rPr>
        <w:t>инистерства финансов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еспублики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аха </w:t>
      </w:r>
      <w:r>
        <w:rPr>
          <w:rFonts w:ascii="Times New Roman" w:hAnsi="Times New Roman"/>
          <w:sz w:val="28"/>
        </w:rPr>
        <w:t>(Я</w:t>
      </w:r>
      <w:r>
        <w:rPr>
          <w:rFonts w:ascii="Times New Roman" w:hAnsi="Times New Roman"/>
          <w:sz w:val="28"/>
        </w:rPr>
        <w:t>кутия</w:t>
      </w:r>
      <w:r>
        <w:rPr>
          <w:rFonts w:ascii="Times New Roman" w:hAnsi="Times New Roman"/>
          <w:sz w:val="28"/>
        </w:rPr>
        <w:t>) от 03.09.2021 г. № 01-04/1334-Н»</w:t>
      </w:r>
      <w:r>
        <w:rPr>
          <w:rFonts w:ascii="Times New Roman" w:hAnsi="Times New Roman"/>
          <w:sz w:val="28"/>
        </w:rPr>
        <w:t>.</w:t>
      </w:r>
    </w:p>
    <w:p w14:paraId="69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о предоставлении иных межбюджетных трансфертов из государственного бюджета Республики Саха (Якутия) бюджетам муниципальных образований Республики </w:t>
      </w:r>
      <w:r>
        <w:rPr>
          <w:rFonts w:ascii="Times New Roman" w:hAnsi="Times New Roman"/>
          <w:sz w:val="28"/>
        </w:rPr>
        <w:t xml:space="preserve">Саха (Якутия) подписывается Департаментом </w:t>
      </w:r>
      <w:r>
        <w:rPr>
          <w:rFonts w:ascii="Times New Roman" w:hAnsi="Times New Roman"/>
          <w:sz w:val="28"/>
        </w:rPr>
        <w:t>и муниципальным образованием в течение 10 рабочих дней с момента принятия распоряжения Правительства Республики Саха (Якутия) о распределении иных межбюджетных трансфертов.</w:t>
      </w:r>
    </w:p>
    <w:p w14:paraId="6A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Соглашениях</w:t>
      </w:r>
      <w:r>
        <w:rPr>
          <w:rFonts w:ascii="Times New Roman" w:hAnsi="Times New Roman"/>
          <w:sz w:val="28"/>
        </w:rPr>
        <w:t xml:space="preserve"> предусматриваются:</w:t>
      </w:r>
    </w:p>
    <w:p w14:paraId="6B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целевое назначение иных межбюджетных трансфертов;</w:t>
      </w:r>
    </w:p>
    <w:p w14:paraId="6C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размер предоставляемых иных межбюджетных трансфертов, порядок и условия их перечисления в бюджет муниципального образования;</w:t>
      </w:r>
    </w:p>
    <w:p w14:paraId="6D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обязательство муниципального образования представлять отчеты об осуществлении расходов бюджета муниципального образования, источником финансового обеспечения которых являются иные межбюджетные трансферты;</w:t>
      </w:r>
    </w:p>
    <w:p w14:paraId="6E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формы, сроки и порядок представления муниципальным образованием отчетов;</w:t>
      </w:r>
    </w:p>
    <w:p w14:paraId="6F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право Департамента на проведение проверок соблюдения условий и положений, установленных соглашением;</w:t>
      </w:r>
    </w:p>
    <w:p w14:paraId="70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значение результатов предоставления иных межбюджетных трансфертов и обязательство муниципального образования по их достижению;</w:t>
      </w:r>
    </w:p>
    <w:p w14:paraId="71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порядок возврата иных межбюджетных трансфертов в случае установления по итогам проверок, факта нарушения целей и условий предоставления иных межбюджетных трансфертов, установленных настоящим Порядком и соглашением;</w:t>
      </w:r>
    </w:p>
    <w:p w14:paraId="72000000">
      <w:pPr>
        <w:pStyle w:val="Style_3"/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условие</w:t>
      </w:r>
      <w:r>
        <w:rPr>
          <w:rFonts w:ascii="Times New Roman" w:hAnsi="Times New Roman"/>
          <w:sz w:val="28"/>
        </w:rPr>
        <w:t xml:space="preserve"> о вступлении в силу соглашения</w:t>
      </w:r>
      <w:r>
        <w:rPr>
          <w:rFonts w:ascii="Times New Roman" w:hAnsi="Times New Roman"/>
          <w:sz w:val="28"/>
        </w:rPr>
        <w:t>.</w:t>
      </w:r>
    </w:p>
    <w:p w14:paraId="73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2.2.1</w:t>
      </w:r>
      <w:r>
        <w:rPr>
          <w:rFonts w:ascii="Times New Roman" w:hAnsi="Times New Roman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После заключения Соглашения Департаментом осуществляется перечисление иных межбюджетных трансфертов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из государственного бюджета Республики Саха (Якутия) </w:t>
      </w:r>
      <w:r>
        <w:rPr>
          <w:rFonts w:ascii="Times New Roman" w:hAnsi="Times New Roman"/>
          <w:sz w:val="28"/>
          <w:highlight w:val="white"/>
        </w:rPr>
        <w:t xml:space="preserve">в течение 10 рабочих дней </w:t>
      </w:r>
      <w:r>
        <w:rPr>
          <w:rFonts w:ascii="Times New Roman" w:hAnsi="Times New Roman"/>
          <w:sz w:val="28"/>
          <w:highlight w:val="white"/>
        </w:rPr>
        <w:t xml:space="preserve">на лицевые счета муниципальных образований в соответствии с </w:t>
      </w:r>
      <w:r>
        <w:rPr>
          <w:rFonts w:ascii="Times New Roman" w:hAnsi="Times New Roman"/>
          <w:sz w:val="28"/>
          <w:highlight w:val="white"/>
        </w:rPr>
        <w:t xml:space="preserve">действующим </w:t>
      </w:r>
      <w:r>
        <w:rPr>
          <w:rFonts w:ascii="Times New Roman" w:hAnsi="Times New Roman"/>
          <w:sz w:val="28"/>
          <w:highlight w:val="white"/>
        </w:rPr>
        <w:t>законо</w:t>
      </w:r>
      <w:r>
        <w:rPr>
          <w:rFonts w:ascii="Times New Roman" w:hAnsi="Times New Roman"/>
          <w:sz w:val="28"/>
          <w:highlight w:val="white"/>
        </w:rPr>
        <w:t xml:space="preserve">дательством </w:t>
      </w:r>
      <w:r>
        <w:rPr>
          <w:rFonts w:ascii="Times New Roman" w:hAnsi="Times New Roman"/>
          <w:sz w:val="28"/>
          <w:highlight w:val="white"/>
        </w:rPr>
        <w:t xml:space="preserve">Республики Саха (Якутия) </w:t>
      </w:r>
      <w:r>
        <w:rPr>
          <w:rFonts w:ascii="Times New Roman" w:hAnsi="Times New Roman"/>
          <w:sz w:val="28"/>
          <w:highlight w:val="white"/>
        </w:rPr>
        <w:t>при условии выполнения пункта</w:t>
      </w:r>
      <w:r>
        <w:rPr>
          <w:rFonts w:ascii="Times New Roman" w:hAnsi="Times New Roman"/>
          <w:sz w:val="28"/>
          <w:highlight w:val="white"/>
        </w:rPr>
        <w:t xml:space="preserve"> 2.2.9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настоящего Порядка.</w:t>
      </w:r>
    </w:p>
    <w:p w14:paraId="74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3"/>
        <w:numPr>
          <w:ilvl w:val="0"/>
          <w:numId w:val="2"/>
        </w:num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Контроль,</w:t>
      </w:r>
      <w:r>
        <w:rPr>
          <w:rFonts w:ascii="Times New Roman" w:hAnsi="Times New Roman"/>
          <w:b w:val="1"/>
          <w:sz w:val="28"/>
        </w:rPr>
        <w:t xml:space="preserve"> отчетность</w:t>
      </w:r>
      <w:r>
        <w:rPr>
          <w:rFonts w:ascii="Times New Roman" w:hAnsi="Times New Roman"/>
          <w:b w:val="1"/>
          <w:sz w:val="28"/>
        </w:rPr>
        <w:t xml:space="preserve"> и оценка эффективности </w:t>
      </w:r>
      <w:r>
        <w:rPr>
          <w:rFonts w:ascii="Times New Roman" w:hAnsi="Times New Roman"/>
          <w:b w:val="1"/>
          <w:sz w:val="28"/>
        </w:rPr>
        <w:t>использования иных межбюджетных трансфертов</w:t>
      </w:r>
    </w:p>
    <w:p w14:paraId="76000000">
      <w:pPr>
        <w:pStyle w:val="Style_3"/>
        <w:spacing w:line="360" w:lineRule="auto"/>
        <w:ind/>
        <w:rPr>
          <w:rFonts w:ascii="Times New Roman" w:hAnsi="Times New Roman"/>
          <w:b w:val="1"/>
          <w:sz w:val="28"/>
        </w:rPr>
      </w:pPr>
    </w:p>
    <w:p w14:paraId="77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Департамент имеет право на проведение проверок соблюдения </w:t>
      </w:r>
      <w:r>
        <w:rPr>
          <w:rFonts w:ascii="Times New Roman" w:hAnsi="Times New Roman"/>
          <w:sz w:val="28"/>
        </w:rPr>
        <w:t xml:space="preserve">установленных соглашением условий и положений. </w:t>
      </w:r>
    </w:p>
    <w:p w14:paraId="78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 невозможности исполнения органом местного самоуправления обязательств по заключенному соглашению, а также существенного нарушения его условий соглашение подлежит расторжению в одностороннем порядке по инициативе одной из сторон либо по соглашению </w:t>
      </w:r>
      <w:r>
        <w:rPr>
          <w:rFonts w:ascii="Times New Roman" w:hAnsi="Times New Roman"/>
          <w:sz w:val="28"/>
        </w:rPr>
        <w:t>сторон</w:t>
      </w:r>
      <w:r>
        <w:t xml:space="preserve"> </w:t>
      </w:r>
      <w:r>
        <w:rPr>
          <w:rFonts w:ascii="Times New Roman" w:hAnsi="Times New Roman"/>
          <w:sz w:val="28"/>
        </w:rPr>
        <w:t>с возвратом на лицевой счет Департамента ранее перечисленных средств иных межбюджетных трансфертов в полном объеме.</w:t>
      </w:r>
    </w:p>
    <w:p w14:paraId="79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Муниципальные об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азования</w:t>
      </w:r>
      <w:r>
        <w:rPr>
          <w:rFonts w:ascii="Times New Roman" w:hAnsi="Times New Roman"/>
          <w:sz w:val="28"/>
        </w:rPr>
        <w:t xml:space="preserve"> представляют </w:t>
      </w:r>
      <w:r>
        <w:rPr>
          <w:rFonts w:ascii="Times New Roman" w:hAnsi="Times New Roman"/>
          <w:sz w:val="28"/>
        </w:rPr>
        <w:t>отчеты о</w:t>
      </w:r>
      <w:r>
        <w:rPr>
          <w:rFonts w:ascii="Times New Roman" w:hAnsi="Times New Roman"/>
          <w:sz w:val="28"/>
        </w:rPr>
        <w:t xml:space="preserve"> расходах бюджетов </w:t>
      </w:r>
      <w:r>
        <w:rPr>
          <w:rFonts w:ascii="Times New Roman" w:hAnsi="Times New Roman"/>
          <w:sz w:val="28"/>
        </w:rPr>
        <w:t>по форме и в сроки, установленные соглашением.</w:t>
      </w:r>
    </w:p>
    <w:p w14:paraId="7A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Ответственность за целевое использование средств иного межбюджетного трансферта, достижение результата и ответственность за достоверность и своевременность представляемых в Департамент информации, документов и отчетов возлагается на главу муниципального образования.</w:t>
      </w:r>
    </w:p>
    <w:p w14:paraId="7B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>. Контроль за осуществлением расходов, источником финансового обеспечения которых являются иные межбюджетные трансферты, осуществляется Департаментом и органами государственного финансового контроля.</w:t>
      </w:r>
    </w:p>
    <w:p w14:paraId="7C000000">
      <w:pPr>
        <w:pStyle w:val="Style_3"/>
        <w:spacing w:line="36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>6</w:t>
      </w:r>
      <w:r>
        <w:rPr>
          <w:rFonts w:ascii="Times New Roman" w:hAnsi="Times New Roman"/>
          <w:sz w:val="28"/>
          <w:highlight w:val="white"/>
        </w:rPr>
        <w:t>. Иные межбюджетные трансферты, в случае их нецелевого использования, подлежат взысканию в доход государственного бюджета Республики Саха (Якутия) в соответствии с действующим бюджетным законодательством.</w:t>
      </w:r>
      <w:r>
        <w:t xml:space="preserve"> </w:t>
      </w:r>
    </w:p>
    <w:p w14:paraId="7D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</w:t>
      </w:r>
      <w:r>
        <w:rPr>
          <w:rFonts w:ascii="Times New Roman" w:hAnsi="Times New Roman"/>
          <w:sz w:val="28"/>
        </w:rPr>
        <w:t>Не использованные по состоянию на 1 января текущего финансового года иные межбюджетные трансферты, имеющие целевое назначение, подлежат возврату в доход государственного бюджета Республики Саха (Якутия) в течение первых 15 рабочих дней текущего финансового года.</w:t>
      </w:r>
    </w:p>
    <w:p w14:paraId="7E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Оценка эффективности использования </w:t>
      </w:r>
      <w:r>
        <w:rPr>
          <w:rFonts w:ascii="Times New Roman" w:hAnsi="Times New Roman"/>
          <w:sz w:val="28"/>
        </w:rPr>
        <w:t>иных межбюджетных трансфертов осуществляется Департаментом</w:t>
      </w:r>
      <w:r>
        <w:rPr>
          <w:rFonts w:ascii="Times New Roman" w:hAnsi="Times New Roman"/>
          <w:sz w:val="28"/>
        </w:rPr>
        <w:t xml:space="preserve"> путем сравнения фактически достигнутых значений и установленных в соответствующих соглашениях между </w:t>
      </w:r>
      <w:r>
        <w:rPr>
          <w:rFonts w:ascii="Times New Roman" w:hAnsi="Times New Roman"/>
          <w:sz w:val="28"/>
        </w:rPr>
        <w:t>Департаментом</w:t>
      </w:r>
      <w:r>
        <w:rPr>
          <w:rFonts w:ascii="Times New Roman" w:hAnsi="Times New Roman"/>
          <w:sz w:val="28"/>
        </w:rPr>
        <w:t xml:space="preserve"> и муниципальными образованиями значения </w:t>
      </w:r>
      <w:r>
        <w:rPr>
          <w:rFonts w:ascii="Times New Roman" w:hAnsi="Times New Roman"/>
          <w:sz w:val="28"/>
        </w:rPr>
        <w:t xml:space="preserve">результата использования </w:t>
      </w:r>
      <w:r>
        <w:rPr>
          <w:rFonts w:ascii="Times New Roman" w:hAnsi="Times New Roman"/>
          <w:sz w:val="28"/>
        </w:rPr>
        <w:t>иных межбюджетных трансфертов</w:t>
      </w:r>
      <w:r>
        <w:rPr>
          <w:rFonts w:ascii="Times New Roman" w:hAnsi="Times New Roman"/>
          <w:sz w:val="28"/>
        </w:rPr>
        <w:t>.</w:t>
      </w:r>
    </w:p>
    <w:p w14:paraId="7F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представления муниципальными образованиями отчетности об использовании </w:t>
      </w:r>
      <w:r>
        <w:rPr>
          <w:rFonts w:ascii="Times New Roman" w:hAnsi="Times New Roman"/>
          <w:sz w:val="28"/>
        </w:rPr>
        <w:t>иных межбюджетных трансфертов</w:t>
      </w:r>
      <w:r>
        <w:rPr>
          <w:rFonts w:ascii="Times New Roman" w:hAnsi="Times New Roman"/>
          <w:sz w:val="28"/>
        </w:rPr>
        <w:t xml:space="preserve"> местными бюджетами утверждается </w:t>
      </w:r>
      <w:r>
        <w:rPr>
          <w:rFonts w:ascii="Times New Roman" w:hAnsi="Times New Roman"/>
          <w:sz w:val="28"/>
        </w:rPr>
        <w:t>Департаментом</w:t>
      </w:r>
      <w:r>
        <w:rPr>
          <w:rFonts w:ascii="Times New Roman" w:hAnsi="Times New Roman"/>
          <w:sz w:val="28"/>
        </w:rPr>
        <w:t xml:space="preserve"> и должна содержать показатели результата для проведения оценки эффективности использования </w:t>
      </w:r>
      <w:r>
        <w:rPr>
          <w:rFonts w:ascii="Times New Roman" w:hAnsi="Times New Roman"/>
          <w:sz w:val="28"/>
        </w:rPr>
        <w:t>иных межбюджетных трансфертов</w:t>
      </w:r>
      <w:r>
        <w:rPr>
          <w:rFonts w:ascii="Times New Roman" w:hAnsi="Times New Roman"/>
          <w:sz w:val="28"/>
        </w:rPr>
        <w:t>.</w:t>
      </w:r>
    </w:p>
    <w:p w14:paraId="80000000">
      <w:pPr>
        <w:spacing w:after="160" w:line="264" w:lineRule="auto"/>
        <w:ind/>
        <w:rPr>
          <w:b w:val="1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360" w:left="106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720" w:left="142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080" w:left="1788"/>
      </w:pPr>
    </w:lvl>
    <w:lvl w:ilvl="6">
      <w:start w:val="1"/>
      <w:numFmt w:val="decimal"/>
      <w:lvlText w:val="%1.%2.%3.%4.%5.%6.%7."/>
      <w:lvlJc w:val="left"/>
      <w:pPr>
        <w:ind w:hanging="1440" w:left="2148"/>
      </w:pPr>
    </w:lvl>
    <w:lvl w:ilvl="7">
      <w:start w:val="1"/>
      <w:numFmt w:val="decimal"/>
      <w:lvlText w:val="%1.%2.%3.%4.%5.%6.%7.%8."/>
      <w:lvlJc w:val="left"/>
      <w:pPr>
        <w:ind w:hanging="1440" w:left="2148"/>
      </w:pPr>
    </w:lvl>
    <w:lvl w:ilvl="8">
      <w:start w:val="1"/>
      <w:numFmt w:val="decimal"/>
      <w:lvlText w:val="%1.%2.%3.%4.%5.%6.%7.%8.%9."/>
      <w:lvlJc w:val="left"/>
      <w:pPr>
        <w:ind w:hanging="1800" w:left="2508"/>
      </w:pPr>
    </w:lvl>
  </w:abstractNum>
  <w:abstractNum w:abstractNumId="1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5"/>
      <w:numFmt w:val="decimal"/>
      <w:lvlText w:val="%1.%2"/>
      <w:lvlJc w:val="left"/>
      <w:pPr>
        <w:ind w:hanging="360" w:left="4045"/>
      </w:pPr>
    </w:lvl>
    <w:lvl w:ilvl="2">
      <w:start w:val="1"/>
      <w:numFmt w:val="decimal"/>
      <w:lvlText w:val="%1.%2.%3"/>
      <w:lvlJc w:val="left"/>
      <w:pPr>
        <w:ind w:hanging="720" w:left="1776"/>
      </w:pPr>
    </w:lvl>
    <w:lvl w:ilvl="3">
      <w:start w:val="1"/>
      <w:numFmt w:val="decimal"/>
      <w:lvlText w:val="%1.%2.%3.%4"/>
      <w:lvlJc w:val="left"/>
      <w:pPr>
        <w:ind w:hanging="720" w:left="2124"/>
      </w:pPr>
    </w:lvl>
    <w:lvl w:ilvl="4">
      <w:start w:val="1"/>
      <w:numFmt w:val="decimal"/>
      <w:lvlText w:val="%1.%2.%3.%4.%5"/>
      <w:lvlJc w:val="left"/>
      <w:pPr>
        <w:ind w:hanging="1080" w:left="2832"/>
      </w:pPr>
    </w:lvl>
    <w:lvl w:ilvl="5">
      <w:start w:val="1"/>
      <w:numFmt w:val="decimal"/>
      <w:lvlText w:val="%1.%2.%3.%4.%5.%6"/>
      <w:lvlJc w:val="left"/>
      <w:pPr>
        <w:ind w:hanging="1080" w:left="3180"/>
      </w:pPr>
    </w:lvl>
    <w:lvl w:ilvl="6">
      <w:start w:val="1"/>
      <w:numFmt w:val="decimal"/>
      <w:lvlText w:val="%1.%2.%3.%4.%5.%6.%7"/>
      <w:lvlJc w:val="left"/>
      <w:pPr>
        <w:ind w:hanging="1440" w:left="3888"/>
      </w:pPr>
    </w:lvl>
    <w:lvl w:ilvl="7">
      <w:start w:val="1"/>
      <w:numFmt w:val="decimal"/>
      <w:lvlText w:val="%1.%2.%3.%4.%5.%6.%7.%8"/>
      <w:lvlJc w:val="left"/>
      <w:pPr>
        <w:ind w:hanging="1440" w:left="4236"/>
      </w:pPr>
    </w:lvl>
    <w:lvl w:ilvl="8">
      <w:start w:val="1"/>
      <w:numFmt w:val="decimal"/>
      <w:lvlText w:val="%1.%2.%3.%4.%5.%6.%7.%8.%9"/>
      <w:lvlJc w:val="left"/>
      <w:pPr>
        <w:ind w:hanging="1440" w:left="4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360" w:left="106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720" w:left="142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080" w:left="1788"/>
      </w:pPr>
    </w:lvl>
    <w:lvl w:ilvl="6">
      <w:start w:val="1"/>
      <w:numFmt w:val="decimal"/>
      <w:lvlText w:val="%1.%2.%3.%4.%5.%6.%7."/>
      <w:lvlJc w:val="left"/>
      <w:pPr>
        <w:ind w:hanging="1440" w:left="2148"/>
      </w:pPr>
    </w:lvl>
    <w:lvl w:ilvl="7">
      <w:start w:val="1"/>
      <w:numFmt w:val="decimal"/>
      <w:lvlText w:val="%1.%2.%3.%4.%5.%6.%7.%8."/>
      <w:lvlJc w:val="left"/>
      <w:pPr>
        <w:ind w:hanging="1440" w:left="2148"/>
      </w:pPr>
    </w:lvl>
    <w:lvl w:ilvl="8">
      <w:start w:val="1"/>
      <w:numFmt w:val="decimal"/>
      <w:lvlText w:val="%1.%2.%3.%4.%5.%6.%7.%8.%9."/>
      <w:lvlJc w:val="left"/>
      <w:pPr>
        <w:ind w:hanging="1800" w:left="2508"/>
      </w:pPr>
    </w:lvl>
  </w:abstractNum>
  <w:abstractNum w:abstractNumId="3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6"/>
      <w:numFmt w:val="decimal"/>
      <w:lvlText w:val="%1.%2."/>
      <w:lvlJc w:val="left"/>
      <w:pPr>
        <w:ind w:hanging="720" w:left="1146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4">
    <w:lvl w:ilvl="0">
      <w:start w:val="2"/>
      <w:numFmt w:val="decimal"/>
      <w:lvlText w:val="%1."/>
      <w:lvlJc w:val="left"/>
      <w:pPr>
        <w:ind w:hanging="675" w:left="675"/>
      </w:pPr>
    </w:lvl>
    <w:lvl w:ilvl="1">
      <w:start w:val="2"/>
      <w:numFmt w:val="decimal"/>
      <w:lvlText w:val="%1.%2."/>
      <w:lvlJc w:val="left"/>
      <w:pPr>
        <w:ind w:hanging="720" w:left="1074"/>
      </w:pPr>
    </w:lvl>
    <w:lvl w:ilvl="2">
      <w:start w:val="3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2142"/>
      </w:pPr>
    </w:lvl>
    <w:lvl w:ilvl="4">
      <w:start w:val="1"/>
      <w:numFmt w:val="decimal"/>
      <w:lvlText w:val="%1.%2.%3.%4.%5."/>
      <w:lvlJc w:val="left"/>
      <w:pPr>
        <w:ind w:hanging="1080" w:left="2496"/>
      </w:pPr>
    </w:lvl>
    <w:lvl w:ilvl="5">
      <w:start w:val="1"/>
      <w:numFmt w:val="decimal"/>
      <w:lvlText w:val="%1.%2.%3.%4.%5.%6."/>
      <w:lvlJc w:val="left"/>
      <w:pPr>
        <w:ind w:hanging="1440" w:left="3210"/>
      </w:pPr>
    </w:lvl>
    <w:lvl w:ilvl="6">
      <w:start w:val="1"/>
      <w:numFmt w:val="decimal"/>
      <w:lvlText w:val="%1.%2.%3.%4.%5.%6.%7."/>
      <w:lvlJc w:val="left"/>
      <w:pPr>
        <w:ind w:hanging="1800" w:left="3924"/>
      </w:pPr>
    </w:lvl>
    <w:lvl w:ilvl="7">
      <w:start w:val="1"/>
      <w:numFmt w:val="decimal"/>
      <w:lvlText w:val="%1.%2.%3.%4.%5.%6.%7.%8."/>
      <w:lvlJc w:val="left"/>
      <w:pPr>
        <w:ind w:hanging="1800" w:left="4278"/>
      </w:pPr>
    </w:lvl>
    <w:lvl w:ilvl="8">
      <w:start w:val="1"/>
      <w:numFmt w:val="decimal"/>
      <w:lvlText w:val="%1.%2.%3.%4.%5.%6.%7.%8.%9."/>
      <w:lvlJc w:val="left"/>
      <w:pPr>
        <w:ind w:hanging="2160" w:left="4992"/>
      </w:pPr>
    </w:lvl>
  </w:abstractNum>
  <w:abstractNum w:abstractNumId="5">
    <w:lvl w:ilvl="0">
      <w:start w:val="2"/>
      <w:numFmt w:val="decimal"/>
      <w:lvlText w:val="%1."/>
      <w:lvlJc w:val="left"/>
      <w:pPr>
        <w:ind w:hanging="675" w:left="675"/>
      </w:pPr>
    </w:lvl>
    <w:lvl w:ilvl="1">
      <w:start w:val="2"/>
      <w:numFmt w:val="decimal"/>
      <w:lvlText w:val="%1.%2."/>
      <w:lvlJc w:val="left"/>
      <w:pPr>
        <w:ind w:hanging="720" w:left="1074"/>
      </w:pPr>
    </w:lvl>
    <w:lvl w:ilvl="2">
      <w:start w:val="5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2142"/>
      </w:pPr>
    </w:lvl>
    <w:lvl w:ilvl="4">
      <w:start w:val="1"/>
      <w:numFmt w:val="decimal"/>
      <w:lvlText w:val="%1.%2.%3.%4.%5."/>
      <w:lvlJc w:val="left"/>
      <w:pPr>
        <w:ind w:hanging="1080" w:left="2496"/>
      </w:pPr>
    </w:lvl>
    <w:lvl w:ilvl="5">
      <w:start w:val="1"/>
      <w:numFmt w:val="decimal"/>
      <w:lvlText w:val="%1.%2.%3.%4.%5.%6."/>
      <w:lvlJc w:val="left"/>
      <w:pPr>
        <w:ind w:hanging="1440" w:left="3210"/>
      </w:pPr>
    </w:lvl>
    <w:lvl w:ilvl="6">
      <w:start w:val="1"/>
      <w:numFmt w:val="decimal"/>
      <w:lvlText w:val="%1.%2.%3.%4.%5.%6.%7."/>
      <w:lvlJc w:val="left"/>
      <w:pPr>
        <w:ind w:hanging="1800" w:left="3924"/>
      </w:pPr>
    </w:lvl>
    <w:lvl w:ilvl="7">
      <w:start w:val="1"/>
      <w:numFmt w:val="decimal"/>
      <w:lvlText w:val="%1.%2.%3.%4.%5.%6.%7.%8."/>
      <w:lvlJc w:val="left"/>
      <w:pPr>
        <w:ind w:hanging="1800" w:left="4278"/>
      </w:pPr>
    </w:lvl>
    <w:lvl w:ilvl="8">
      <w:start w:val="1"/>
      <w:numFmt w:val="decimal"/>
      <w:lvlText w:val="%1.%2.%3.%4.%5.%6.%7.%8.%9."/>
      <w:lvlJc w:val="left"/>
      <w:pPr>
        <w:ind w:hanging="2160" w:left="499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Normal"/>
    <w:link w:val="Style_13_ch"/>
    <w:pPr>
      <w:widowControl w:val="0"/>
      <w:spacing w:after="0" w:line="240" w:lineRule="auto"/>
      <w:ind w:firstLine="720" w:left="0"/>
    </w:pPr>
    <w:rPr>
      <w:rFonts w:ascii="Arial" w:hAnsi="Arial"/>
      <w:sz w:val="16"/>
    </w:rPr>
  </w:style>
  <w:style w:styleId="Style_13_ch" w:type="character">
    <w:name w:val="ConsNormal"/>
    <w:link w:val="Style_13"/>
    <w:rPr>
      <w:rFonts w:ascii="Arial" w:hAnsi="Arial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_ch" w:type="character">
    <w:name w:val="ConsPlusTitle"/>
    <w:link w:val="Style_4"/>
    <w:rPr>
      <w:rFonts w:ascii="Calibri" w:hAnsi="Calibri"/>
      <w:b w:val="1"/>
    </w:rPr>
  </w:style>
  <w:style w:styleId="Style_1" w:type="paragraph">
    <w:name w:val="ConsPlusTitlePage"/>
    <w:link w:val="Style_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_ch" w:type="character">
    <w:name w:val="ConsPlusTitlePage"/>
    <w:link w:val="Style_1"/>
    <w:rPr>
      <w:rFonts w:ascii="Tahoma" w:hAnsi="Tahoma"/>
      <w:sz w:val="20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2023-10-04T23:46:54Z</dcterms:modified>
</cp:coreProperties>
</file>