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жилищно-коммунального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хозяйства и энергетики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Саха Өрөспүүбүлүкэтин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олорор дьиэҕэ, коммунальнай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хаhаайыстыбаҕа уонна энергетикэҕэ министиэристибэтэ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Кирова, д. 13, г. Якутск, 677000,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(4112) 34-19-33, факс: (4112) 42-27-39</w:t>
      </w:r>
    </w:p>
    <w:p>
      <w:pPr>
        <w:pBdr>
          <w:bottom w:val="double" w:color="auto" w:sz="6" w:space="0"/>
        </w:pBd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"http://www.sakha.gov.ru/minjkh" </w:instrText>
      </w:r>
      <w:r>
        <w:fldChar w:fldCharType="separate"/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minjkh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"mailto:mingkx@sakha.gov.ru" </w:instrText>
      </w:r>
      <w:r>
        <w:fldChar w:fldCharType="separate"/>
      </w:r>
      <w:r>
        <w:rPr>
          <w:sz w:val="20"/>
          <w:szCs w:val="20"/>
          <w:lang w:val="en-US"/>
        </w:rPr>
        <w:t>mingkx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</w:p>
    <w:p>
      <w:pPr>
        <w:rPr>
          <w:b/>
          <w:i/>
          <w:szCs w:val="20"/>
        </w:rPr>
      </w:pPr>
    </w:p>
    <w:p>
      <w:pPr>
        <w:spacing w:line="300" w:lineRule="auto"/>
        <w:jc w:val="both"/>
      </w:pPr>
      <w:bookmarkStart w:id="0" w:name="REGNUMDATESTAMP"/>
      <w:r>
        <w:t>от ______________ 20____ г. № ________</w:t>
      </w:r>
      <w:bookmarkEnd w:id="0"/>
    </w:p>
    <w:p/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СВОДНЫЙ ОТЧЕТ</w:t>
      </w:r>
    </w:p>
    <w:p>
      <w:pPr>
        <w:jc w:val="center"/>
        <w:rPr>
          <w:b/>
          <w:bCs/>
        </w:rPr>
      </w:pPr>
      <w:r>
        <w:rPr>
          <w:b/>
          <w:bCs/>
        </w:rPr>
        <w:t>о результатах проведения оценки регулирующего воздействия проекта нормативного правового акта</w:t>
      </w:r>
    </w:p>
    <w:p/>
    <w:p>
      <w:pPr>
        <w:pStyle w:val="43"/>
        <w:numPr>
          <w:ilvl w:val="0"/>
          <w:numId w:val="1"/>
        </w:numPr>
        <w:spacing w:line="276" w:lineRule="auto"/>
        <w:ind w:left="0" w:leftChars="0" w:firstLine="0" w:firstLine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</w:t>
      </w:r>
    </w:p>
    <w:p>
      <w:pPr>
        <w:spacing w:line="276" w:lineRule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Орган-разработчик: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Министерство жилищно-коммунального хозяйства и энергетики Республики Саха (Якутия).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Вид и наименование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/>
          <w:bCs/>
          <w:highlight w:val="none"/>
        </w:rPr>
      </w:pPr>
      <w:r>
        <w:rPr>
          <w:highlight w:val="none"/>
        </w:rPr>
        <w:t xml:space="preserve">Проект </w:t>
      </w:r>
      <w:r>
        <w:rPr>
          <w:highlight w:val="none"/>
          <w:lang w:val="ru-RU"/>
        </w:rPr>
        <w:t>постановления</w:t>
      </w:r>
      <w:r>
        <w:rPr>
          <w:rFonts w:hint="default"/>
          <w:highlight w:val="none"/>
          <w:lang w:val="ru-RU"/>
        </w:rPr>
        <w:t xml:space="preserve"> Правительства Республики Саха (Якутия) </w:t>
      </w:r>
      <w:r>
        <w:rPr>
          <w:highlight w:val="none"/>
        </w:rPr>
        <w:t>«</w:t>
      </w:r>
      <w:r>
        <w:rPr>
          <w:rFonts w:hint="default"/>
          <w:highlight w:val="none"/>
          <w:lang w:val="en-US" w:eastAsia="zh-CN"/>
        </w:rPr>
        <w:t>О внесении изменений в постановление Правительства Республики Саха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(Якутия) от 02 сентября 2024 г. № 407 «Об утверждении порядка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предоставления субсидий на финансовое обеспечение затрат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региональным операторам по обращению с твердыми коммунальными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отходами на территории Республики Саха (Якутия) на приобретение</w:t>
      </w:r>
      <w:r>
        <w:rPr>
          <w:rFonts w:hint="default"/>
          <w:highlight w:val="none"/>
          <w:lang w:val="ru-RU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оборудования по обращению с отходами»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highlight w:val="none"/>
        </w:rPr>
      </w:pPr>
      <w:r>
        <w:rPr>
          <w:b/>
          <w:bCs/>
          <w:sz w:val="24"/>
          <w:szCs w:val="24"/>
          <w:highlight w:val="none"/>
        </w:rPr>
        <w:t>Краткое описание проблемы, на решение которой направлено предлагаемое правовое регулирование: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559" w:firstLineChars="233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highlight w:val="none"/>
          <w:lang w:val="en-US" w:eastAsia="zh-CN" w:bidi="ar"/>
        </w:rPr>
        <w:t>В настоящий момент порядок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отходами, утвержденный постановлением Правительства Республики Саха (Якутия) от 02.09.2024 № 407 не соответствует федеральному законодательству.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Краткое описание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 w:eastAsia="zh-CN"/>
        </w:rPr>
      </w:pPr>
      <w:r>
        <w:rPr>
          <w:highlight w:val="none"/>
          <w:lang w:val="en-US" w:eastAsia="zh-CN"/>
        </w:rPr>
        <w:t xml:space="preserve">Целью проекта является </w:t>
      </w:r>
      <w:r>
        <w:rPr>
          <w:rFonts w:hint="default"/>
          <w:highlight w:val="none"/>
          <w:lang w:val="ru-RU" w:eastAsia="zh-CN"/>
        </w:rPr>
        <w:t>приведение порядка предоставления субсидии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в соответствие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Краткое описание содержания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</w:rPr>
      </w:pPr>
      <w:r>
        <w:rPr>
          <w:rFonts w:hint="default"/>
          <w:highlight w:val="none"/>
        </w:rPr>
        <w:t>Проект приводит в соответствие с постановлением Правительства Российской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</w:rPr>
        <w:t>Федерации от 25.10.2023 № 1782 «Об утверждении общих требований к нормативным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правовым актам, муниципальным правовым актам, регулирующим предоставление из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бюджетов субъектов Российской Федерации, местных бюджетов субсидий, в том числе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грантов в форме субсидий, юридическим лицам, индивидуальным предпринимателям, а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также физическим лицам - производителям товаров, работ, услуг и проведение отборов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получателей указанных субсидий, в том числе грантов в форме субсидий»</w:t>
      </w:r>
      <w:r>
        <w:rPr>
          <w:rFonts w:hint="default"/>
          <w:highlight w:val="none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Контактная информация исполнителя в органе-разработчике: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Ф.И.О.: </w:t>
      </w:r>
      <w:r>
        <w:rPr>
          <w:highlight w:val="none"/>
          <w:lang w:val="ru-RU"/>
        </w:rPr>
        <w:t>Кюндяйцев</w:t>
      </w:r>
      <w:r>
        <w:rPr>
          <w:rFonts w:hint="default"/>
          <w:highlight w:val="none"/>
          <w:lang w:val="ru-RU"/>
        </w:rPr>
        <w:t xml:space="preserve"> Айаал Вениаминович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Должность: </w:t>
      </w:r>
      <w:r>
        <w:rPr>
          <w:highlight w:val="none"/>
          <w:lang w:val="ru-RU"/>
        </w:rPr>
        <w:t>заместитель</w:t>
      </w:r>
      <w:r>
        <w:rPr>
          <w:rFonts w:hint="default"/>
          <w:highlight w:val="none"/>
          <w:lang w:val="ru-RU"/>
        </w:rPr>
        <w:t xml:space="preserve"> директора ГАУ РС(Я) «Центр развития жилищно-коммунального хозяйства и повышения энергоэффективности».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335" t="5715" r="5715" b="12065"/>
                <wp:wrapTopAndBottom/>
                <wp:docPr id="1159758464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05pt;margin-top:13.5pt;height:0.1pt;width:450pt;mso-position-horizontal-relative:page;mso-wrap-distance-bottom:0pt;mso-wrap-distance-top:0pt;z-index:-251656192;mso-width-relative:page;mso-height-relative:page;" filled="f" stroked="t" coordsize="9000,1" o:gfxdata="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DIHDILVAgAA+wUAAA4AAAAAAAAAAQAgAAAA&#10;OgEAAGRycy9lMm9Eb2MueG1sUEsBAhQAFAAAAAgAh07iQJhMoG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highlight w:val="none"/>
        </w:rPr>
        <w:t>Телефон (4112) 50</w:t>
      </w:r>
      <w:r>
        <w:rPr>
          <w:rFonts w:hint="default"/>
          <w:highlight w:val="none"/>
          <w:lang w:val="ru-RU"/>
        </w:rPr>
        <w:t>9</w:t>
      </w:r>
      <w:r>
        <w:rPr>
          <w:highlight w:val="none"/>
        </w:rPr>
        <w:t>-86</w:t>
      </w:r>
      <w:r>
        <w:rPr>
          <w:rFonts w:hint="default"/>
          <w:highlight w:val="none"/>
          <w:lang w:val="ru-RU"/>
        </w:rPr>
        <w:t>1</w:t>
      </w:r>
      <w:r>
        <w:rPr>
          <w:highlight w:val="none"/>
        </w:rPr>
        <w:t xml:space="preserve"> Адрес электронной почты: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"mailto:tko.otdel@centerjkh.ru" </w:instrText>
      </w:r>
      <w:r>
        <w:rPr>
          <w:rFonts w:hint="default"/>
          <w:highlight w:val="none"/>
        </w:rPr>
        <w:fldChar w:fldCharType="separate"/>
      </w:r>
      <w:r>
        <w:rPr>
          <w:rStyle w:val="9"/>
          <w:rFonts w:hint="default"/>
          <w:highlight w:val="none"/>
        </w:rPr>
        <w:t>tko.otdel@centerjkh.ru</w:t>
      </w:r>
      <w:r>
        <w:rPr>
          <w:rFonts w:hint="default"/>
          <w:highlight w:val="none"/>
        </w:rPr>
        <w:fldChar w:fldCharType="end"/>
      </w:r>
      <w:r>
        <w:rPr>
          <w:rFonts w:hint="default"/>
          <w:highlight w:val="none"/>
          <w:lang w:val="ru-RU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Степень регулирующего воздействия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  <w:lang w:val="ru-RU"/>
        </w:rPr>
        <w:t>Низкая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Обоснование отнесения проекта нормативного правового акта к определенной степени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Проект </w:t>
      </w:r>
      <w:r>
        <w:rPr>
          <w:highlight w:val="none"/>
          <w:lang w:val="ru-RU"/>
        </w:rPr>
        <w:t>постановления</w:t>
      </w:r>
      <w:r>
        <w:rPr>
          <w:rFonts w:hint="default"/>
          <w:highlight w:val="none"/>
          <w:lang w:val="ru-RU"/>
        </w:rPr>
        <w:t xml:space="preserve"> Правительства Республики Саха (Якутия) </w:t>
      </w:r>
      <w:r>
        <w:rPr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направлен на реализацию </w:t>
      </w:r>
      <w:r>
        <w:rPr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>регионального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проекта «Экономика замкнутого цикла» </w:t>
      </w:r>
      <w:r>
        <w:rPr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национального проекта 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Экологи</w:t>
      </w:r>
      <w:r>
        <w:rPr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>ческое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благополучие»</w:t>
      </w:r>
      <w:r>
        <w:rPr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, а также обеспечение санитарно-эпидемиологического благополучия населения.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Проект постановления Правительства РС(Я) не содержит положений,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предусмотренных абзацами вторым, третьим пункта 1.12 Указ Главы Республики Саха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(Якутия) от 19.07.2023 № 2911«Об утверждении Положения об оценке регулирующего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воздействия проектов нормативных правовых актов Республики Саха (Якутия),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мониторинге фактического воздействия нормативных правовых актов Республики Саха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(Якутия) и экспертизе нормативных правовых актов Республики Саха (Якутия)» и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направлено на повышение устойчивости экономики Республики Саха (Якутия) в условиях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санкций и обеспечения санитарно-эпидемиологического благополучия населения.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Таким образом, проект нормативного правового акта относиться к низкой степени</w:t>
      </w:r>
      <w:r>
        <w:rPr>
          <w:rFonts w:hint="default"/>
          <w:color w:val="000000" w:themeColor="text1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регулирующего воздействия.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ОПИСАНИЕ ПРОБЛЕМЫ, НА РЕШЕНИЕ КОТОРОЙ НАПРАВЛЕНО ПРЕДЛАГАЕМОЕ ПРАВОВОЕ РЕГУЛИРОВАНИЕ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Формулировка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  <w:r>
        <w:rPr>
          <w:rFonts w:hint="default"/>
          <w:bCs/>
          <w:highlight w:val="none"/>
          <w:lang w:val="ru-RU" w:eastAsia="zh-CN"/>
        </w:rPr>
        <w:t>В соответствии с пунктом 8 постановления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  <w:r>
        <w:rPr>
          <w:rFonts w:hint="default"/>
          <w:bCs/>
          <w:highlight w:val="none"/>
          <w:lang w:val="ru-RU" w:eastAsia="zh-CN"/>
        </w:rPr>
        <w:t>В настоящий момент порядок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утверждена постановлением Правительства Республики Саха (Якутия) от 02.09.2024 № 407.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  <w:r>
        <w:rPr>
          <w:rFonts w:hint="default"/>
          <w:bCs/>
          <w:highlight w:val="none"/>
          <w:lang w:val="ru-RU" w:eastAsia="zh-CN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Социальные группы, заинтересованные в устранении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1. Юридические лица, которые имеют статус регионального оператора по </w:t>
      </w:r>
      <w:r>
        <w:rPr>
          <w:rFonts w:hint="default"/>
          <w:highlight w:val="none"/>
          <w:lang w:val="ru-RU"/>
        </w:rPr>
        <w:t>о</w:t>
      </w:r>
      <w:r>
        <w:rPr>
          <w:rFonts w:hint="default"/>
          <w:highlight w:val="none"/>
        </w:rPr>
        <w:t>бращению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с твердыми коммунальными отходами присвоенного в порядке, установленном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Правительством Российской Федерации, заключившие соглашение с Министерством в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порядке, установленном постановлением Правительства Республики Саха (Якутия) от 04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мая 2017 года № 159 «Об организации деятельности по обращению с твердыми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коммунальными отходами на территории Республики Саха (Якутия)»;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</w:rPr>
      </w:pPr>
      <w:r>
        <w:rPr>
          <w:rFonts w:hint="default"/>
          <w:highlight w:val="none"/>
        </w:rPr>
        <w:t>На 01.0</w:t>
      </w:r>
      <w:r>
        <w:rPr>
          <w:rFonts w:hint="default"/>
          <w:highlight w:val="none"/>
          <w:lang w:val="ru-RU"/>
        </w:rPr>
        <w:t>6</w:t>
      </w:r>
      <w:r>
        <w:rPr>
          <w:rFonts w:hint="default"/>
          <w:highlight w:val="none"/>
        </w:rPr>
        <w:t>.2025 в Республике Саха (Якутия) 12 региональных операторов.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</w:rPr>
      </w:pPr>
      <w:r>
        <w:rPr>
          <w:rFonts w:hint="default"/>
          <w:highlight w:val="none"/>
        </w:rPr>
        <w:t>Невозможность предоставления субсидии на финансовое обеспечение затрат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региональным операторам по обращению с твердыми коммунальными отходами на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территории Республики Саха (Якутия) на приобретение оборудования по обращению с</w:t>
      </w:r>
      <w:r>
        <w:rPr>
          <w:rFonts w:hint="default"/>
          <w:highlight w:val="none"/>
          <w:lang w:val="ru-RU"/>
        </w:rPr>
        <w:t xml:space="preserve"> </w:t>
      </w:r>
      <w:r>
        <w:rPr>
          <w:rFonts w:hint="default"/>
          <w:highlight w:val="none"/>
        </w:rPr>
        <w:t>отходами.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возникновения проблемы и факторы, поддерживающие ее существование: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559" w:firstLineChars="233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Порядок предоставления субсидий на финансовое обеспечение затрат региональным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операторам по обращению с твердыми коммунальными отходами на территории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Республики Саха (Якутия) на приобретение оборудования по обращению с отходами,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утвержденный постановлением Правительства Республики Саха (Якутия) от 02.09.2024 №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407 не соответствует постановлению Правительства Российской Федерации от 25.10.2023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№ 1782 «Об утверждении общих требований к нормативным правовым актам,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муниципальным правовым актам, регулирующим предоставление из бюджетов субъектов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Российской Федерации, местных бюджетов субсидий, в том числе грантов в форме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субсидий, юридическим лицам, индивидуальным предпринимателям, а также физическим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лицам - производителям товаров, работ, услуг и проведение отборов получателей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</w:rPr>
        <w:t>указанных субсидий, в том числе грантов в форме субсидий».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/>
          <w:highlight w:val="none"/>
          <w:lang w:val="ru-RU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 решения аналогичных проблем в других субъектах Российской Федерации, иностранных государствах: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Иная информация о проблеме: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3420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537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40" w:leftChars="0" w:right="166" w:rightChars="69" w:hanging="1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342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Сроки достижения целей предлагаемого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правового регулирования</w:t>
            </w:r>
          </w:p>
        </w:tc>
        <w:tc>
          <w:tcPr>
            <w:tcW w:w="254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Периодичность мониторинга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достижения целей предлагаемого правового регулирования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eastAsiaTheme="minorHAnsi"/>
                <w:highlight w:val="none"/>
                <w:lang w:val="ru-RU" w:eastAsia="en-US"/>
              </w:rPr>
              <w:t>и</w:t>
            </w:r>
            <w:r>
              <w:rPr>
                <w:rFonts w:eastAsiaTheme="minorHAnsi"/>
                <w:highlight w:val="none"/>
                <w:lang w:val="en-US" w:eastAsia="en-US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40" w:leftChars="100" w:firstLine="0" w:firstLineChars="0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Со дня вступления нормативного правового акта в законную силу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Ежегодно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- Статья 78 Бюджетного кодекса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- </w:t>
      </w:r>
      <w:r>
        <w:rPr>
          <w:rFonts w:hint="default"/>
          <w:highlight w:val="none"/>
          <w:lang w:val="ru-RU"/>
        </w:rPr>
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709"/>
        <w:jc w:val="both"/>
        <w:textAlignment w:val="auto"/>
        <w:rPr>
          <w:sz w:val="28"/>
          <w:szCs w:val="28"/>
        </w:rPr>
      </w:pPr>
    </w:p>
    <w:tbl>
      <w:tblPr>
        <w:tblStyle w:val="41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2381"/>
        <w:gridCol w:w="170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83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Индикаторы достижения целей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предлагаемого правового регулирования</w:t>
            </w:r>
          </w:p>
        </w:tc>
        <w:tc>
          <w:tcPr>
            <w:tcW w:w="17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Единица измерения индикаторов</w:t>
            </w:r>
          </w:p>
        </w:tc>
        <w:tc>
          <w:tcPr>
            <w:tcW w:w="185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right="140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Целевы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rFonts w:hint="default" w:eastAsiaTheme="minorHAnsi"/>
                <w:b/>
                <w:bCs/>
                <w:sz w:val="24"/>
                <w:szCs w:val="24"/>
                <w:lang w:val="ru-RU"/>
              </w:rPr>
              <w:t xml:space="preserve"> з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начения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индикаторов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eastAsiaTheme="minorHAnsi"/>
                <w:highlight w:val="none"/>
                <w:lang w:val="ru-RU" w:eastAsia="en-US"/>
              </w:rPr>
              <w:t>и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Своевременность предоставления субсидий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Ед.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исполнение условий Порядком и соглашением о предоставлении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мониторинга и иные способы (методы) оценки достижения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lang w:val="ru-RU"/>
        </w:rPr>
        <w:t>Отсутствует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lang w:val="ru-RU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затрат на проведение мониторинга достижения целей</w:t>
      </w:r>
      <w:r>
        <w:rPr>
          <w:sz w:val="24"/>
          <w:szCs w:val="24"/>
        </w:rPr>
        <w:t xml:space="preserve"> </w:t>
      </w:r>
      <w:r>
        <w:rPr>
          <w:b/>
          <w:bCs/>
        </w:rPr>
        <w:t>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Источники информации для расчета индикаторов: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исполнения условий Порядком и соглашением о предоставлении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08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Группы потенциальных адресатов предлагаемого правового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Количество участников группы</w:t>
            </w:r>
          </w:p>
        </w:tc>
        <w:tc>
          <w:tcPr>
            <w:tcW w:w="20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Источники</w:t>
            </w:r>
            <w:r>
              <w:rPr>
                <w:rFonts w:hint="default" w:eastAsia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86" w:type="dxa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Юридические лица, которые имеют статус регионального оператора по обращению с твердыми коммунальными отходами присвоенного в порядке, установленном Правительством Российской Федерации, заключившие соглашение с Министерством в порядке, установленном постановлением Правительства Республики Саха (Якутия) от 04 мая 2017 года № 159 «Об организации деятельности по обращению с твердыми коммунальными отходами на территории Республики Саха (Якутия)»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Более 12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Ведомственная информация уполномоченного органа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720" w:firstLineChars="30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Не 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yellow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701"/>
        <w:gridCol w:w="1701"/>
        <w:gridCol w:w="175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29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 w:leftChars="0" w:firstLine="8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 обязанности или права)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14" w:leftChars="0" w:hanging="214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Характер функции (новая/ изменяемая /отменяемая)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504" w:right="199" w:hanging="50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199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Предпологае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199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ый порядок реализации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tabs>
                <w:tab w:val="left" w:pos="24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70" w:leftChars="0" w:right="65" w:rightChars="27" w:hanging="70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а изменения трудовых затрат (чел./час. в год), изменения трудовых затрат (чел./час в год), изменения численности сотрудников (чел.)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" w:right="133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изменен я потребностей в других ресурсах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Наименование органа государственной власти: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Министерство жилищно-коммунального хозяйства и энергетики Республики Саха (Якутия):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 обязанность или право) 1.1.,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</w:tbl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jc w:val="both"/>
        <w:textAlignment w:val="auto"/>
        <w:rPr>
          <w:b/>
          <w:bCs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Autospacing="0" w:line="288" w:lineRule="auto"/>
        <w:ind w:left="0" w:leftChars="0" w:firstLine="720" w:firstLineChars="300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 предоставлению субсидий, 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26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579" w:right="398" w:hanging="425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(полномочия, обязанности или права)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(в соответствии с подпунктом 5.1)</w:t>
            </w:r>
          </w:p>
        </w:tc>
        <w:tc>
          <w:tcPr>
            <w:tcW w:w="439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97" w:hanging="792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Виды расходов (возможных поступлений) государственного бюджета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97" w:hanging="79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Республики Саха (Якутия) (местных бюджетов)</w:t>
            </w:r>
          </w:p>
        </w:tc>
        <w:tc>
          <w:tcPr>
            <w:tcW w:w="198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hanging="608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hanging="608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Количественная оценка расходов и возможных поступлений,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6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Наименование органа государственной власти (органа местного самоуправления) (от 1 до K):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Министерство жилищно-коммунального хозяйства и энергетики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или право) 1.1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Периодические расходы (от 1 до N)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или право) 1.N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Периодические расходы (от 1 до N)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единовременные расходы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периодические расходы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возможные доходы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Ведомственная информация уполномоченного органа.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284"/>
        <w:jc w:val="both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41"/>
        <w:tblpPr w:leftFromText="180" w:rightFromText="180" w:vertAnchor="text" w:horzAnchor="margin" w:tblpXSpec="center" w:tblpY="230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552"/>
        <w:gridCol w:w="1701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396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Группы потенциальных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адресатов предлагаемого правового регулирования (в соответствии с пп. 4.1 сводного отчета)</w:t>
            </w:r>
          </w:p>
        </w:tc>
        <w:tc>
          <w:tcPr>
            <w:tcW w:w="255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3" w:right="300" w:hanging="29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Новые обязанности и ограничения, изменения существующих обязанностей 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3" w:right="30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36" w:right="155" w:firstLine="136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Описание расходов и возможных доходов,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26" w:right="155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связанных с введением предлагаемого правового регулирования</w:t>
            </w:r>
          </w:p>
        </w:tc>
        <w:tc>
          <w:tcPr>
            <w:tcW w:w="189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right="151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Количественная оценка,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3964" w:type="dxa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_GoBack"/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юридические лица, которые имеют статус регионального оператора по обращению с твердыми коммунальными отходами присвоенного в порядке, установленном Правительством Российской Федерации, заключившие соглашение с Министерством в порядке, установленном постановлением Правительства Республики Саха (Якутия) от 04 мая 2017 года № 159 «Об организации деятельности по обращению с твердыми коммунальными отходами на территории Республики Саха (Якутия)»;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Расходы не предполагаются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Оценка рисков неблагоприятных последствий применения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none"/>
        </w:rPr>
      </w:pPr>
    </w:p>
    <w:tbl>
      <w:tblPr>
        <w:tblStyle w:val="41"/>
        <w:tblW w:w="96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381"/>
        <w:gridCol w:w="241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2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 w:leftChars="0" w:hanging="154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Виды рисков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Оценка вероятности наступления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неблагоприятных последствий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7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Методы контроля рисков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13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Степень контроля рисков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textAlignment w:val="auto"/>
              <w:rPr>
                <w:rFonts w:eastAsiaTheme="minorHAnsi"/>
                <w:b/>
                <w:bCs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(полный/частичный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/отсутствует)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Риск 1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567" w:firstLineChars="0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Сравнение возможных вариантов решения проблемы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924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977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4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Вариант 1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Вариант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Содержание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варианта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решения проблемы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Принятие настоящего проекта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Не </w:t>
            </w:r>
            <w:r>
              <w:rPr>
                <w:rFonts w:eastAsiaTheme="minorHAnsi"/>
                <w:lang w:val="ru-RU" w:eastAsia="en-US"/>
              </w:rPr>
              <w:t>принятие</w:t>
            </w:r>
            <w:r>
              <w:rPr>
                <w:rFonts w:hint="default" w:eastAsiaTheme="minorHAnsi"/>
                <w:lang w:val="ru-RU" w:eastAsia="en-US"/>
              </w:rPr>
              <w:t xml:space="preserve"> настоящего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Своевременное и обоснованное предоставление субсиди</w:t>
            </w:r>
            <w:r>
              <w:rPr>
                <w:rFonts w:eastAsiaTheme="minorHAnsi"/>
                <w:lang w:val="ru-RU" w:eastAsia="en-US"/>
              </w:rPr>
              <w:t>и</w:t>
            </w:r>
            <w:r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Увеличение убытков </w:t>
            </w:r>
            <w:r>
              <w:rPr>
                <w:rFonts w:eastAsiaTheme="minorHAnsi"/>
                <w:lang w:val="ru-RU" w:eastAsia="en-US"/>
              </w:rPr>
              <w:t>организаций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эффективно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не эффективно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рисков неблагоприятных последствий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Theme="minorHAnsi"/>
                <w:highlight w:val="yellow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Качественное и своевременное предоставление услуги по обращению с ТКО на территории Республики Саха (Якутия)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yellow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Не качественное и несвоевременное предоставление услуги по обращению с ТКО на территории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 иные мероприятия, общий объем затрат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Н</w:t>
            </w:r>
            <w:r>
              <w:rPr>
                <w:rFonts w:eastAsiaTheme="minorHAnsi"/>
                <w:highlight w:val="none"/>
                <w:lang w:val="en-US" w:eastAsia="en-US"/>
              </w:rPr>
              <w:t>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Обоснование выбора предпочтительного варианта решения выявленной проблемы</w:t>
      </w:r>
      <w:r>
        <w:rPr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highlight w:val="none"/>
        </w:rPr>
        <w:t xml:space="preserve">Первый вариант предпочтительнее в целях </w:t>
      </w:r>
      <w:r>
        <w:rPr>
          <w:highlight w:val="none"/>
          <w:lang w:val="ru-RU"/>
        </w:rPr>
        <w:t>качественного</w:t>
      </w:r>
      <w:r>
        <w:rPr>
          <w:rFonts w:hint="default"/>
          <w:highlight w:val="none"/>
          <w:lang w:val="ru-RU"/>
        </w:rPr>
        <w:t xml:space="preserve"> и своевременного предоставления услуги по обращению с ТКО на территории республики.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715000" cy="1270"/>
                <wp:effectExtent l="13335" t="11430" r="5715" b="6350"/>
                <wp:wrapTopAndBottom/>
                <wp:docPr id="1639989299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05pt;margin-top:15.85pt;height:0.1pt;width:450pt;mso-position-horizontal-relative:page;mso-wrap-distance-bottom:0pt;mso-wrap-distance-top:0pt;z-index:-251655168;mso-width-relative:page;mso-height-relative:page;" filled="f" stroked="t" coordsize="9000,1" o:gfxdata="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MyS/XzVAgAA+wUAAA4AAAAAAAAAAQAgAAAA&#10;OgEAAGRycy9lMm9Eb2MueG1sUEsBAhQAFAAAAAgAh07iQEerxT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center"/>
        <w:textAlignment w:val="auto"/>
        <w:rPr>
          <w:b/>
          <w:bCs/>
        </w:rPr>
      </w:pPr>
      <w:r>
        <w:rPr>
          <w:b/>
          <w:bCs/>
        </w:rPr>
        <w:t>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Предполагаемая дата вступления в силу нормативного правового акта: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textAlignment w:val="auto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июль </w:t>
      </w:r>
      <w:r>
        <w:rPr>
          <w:sz w:val="24"/>
          <w:szCs w:val="24"/>
          <w:highlight w:val="none"/>
        </w:rPr>
        <w:t>202</w:t>
      </w:r>
      <w:r>
        <w:rPr>
          <w:rFonts w:hint="default"/>
          <w:sz w:val="24"/>
          <w:szCs w:val="24"/>
          <w:highlight w:val="none"/>
          <w:lang w:val="ru-RU"/>
        </w:rPr>
        <w:t>5</w:t>
      </w:r>
      <w:r>
        <w:rPr>
          <w:sz w:val="24"/>
          <w:szCs w:val="24"/>
          <w:highlight w:val="none"/>
        </w:rPr>
        <w:t xml:space="preserve"> года.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textAlignment w:val="auto"/>
        <w:rPr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а) срок переходного периода: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б) отсрочка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highlight w:val="none"/>
          <w:lang w:val="ru-RU"/>
        </w:rPr>
      </w:pPr>
      <w:r>
        <w:rPr>
          <w:highlight w:val="none"/>
          <w:lang w:val="ru-RU"/>
        </w:rPr>
        <w:t>Не</w:t>
      </w:r>
      <w:r>
        <w:rPr>
          <w:rFonts w:hint="default"/>
          <w:highlight w:val="none"/>
          <w:lang w:val="ru-RU"/>
        </w:rPr>
        <w:t xml:space="preserve"> требуется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Период распространения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Не требуется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lang w:val="ru-RU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СРОКАХ ПРОВЕДЕНИЯ ПУБЛИЧНЫХ КОНСУЛЬТАЦИЙ ПО ПРОЕКТУ НОРМАТИВНОГО ПРАВОВОГО АКТА И СВОДНОМУ ОТЧЕТУ: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начало: </w:t>
      </w:r>
      <w:r>
        <w:rPr>
          <w:rFonts w:hint="default"/>
          <w:lang w:val="ru-RU"/>
        </w:rPr>
        <w:t>16.06.2025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окончание: </w:t>
      </w:r>
      <w:r>
        <w:rPr>
          <w:rFonts w:hint="default"/>
          <w:lang w:val="ru-RU"/>
        </w:rPr>
        <w:t>24.06.2025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Всего замечаний и предложений:_____, из них учтено: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полностью: ______ , учтено частично: __________.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</w:pPr>
      <w:r>
        <w:rPr>
          <w:b/>
          <w:bCs/>
          <w:sz w:val="24"/>
          <w:szCs w:val="24"/>
        </w:rPr>
        <w:t>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r>
        <w:t xml:space="preserve"> </w:t>
      </w:r>
    </w:p>
    <w:p>
      <w:pPr>
        <w:pStyle w:val="43"/>
        <w:spacing w:line="276" w:lineRule="auto"/>
        <w:ind w:left="567" w:firstLine="0"/>
      </w:pPr>
    </w:p>
    <w:p>
      <w:pPr>
        <w:pStyle w:val="43"/>
        <w:spacing w:line="276" w:lineRule="auto"/>
        <w:ind w:left="567" w:firstLine="0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2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0" w:type="dxa"/>
          </w:tcPr>
          <w:p>
            <w:pPr>
              <w:spacing w:after="160" w:line="259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Министр</w:t>
            </w:r>
            <w:r>
              <w:rPr>
                <w:rFonts w:hint="default"/>
                <w:lang w:val="ru-RU"/>
              </w:rPr>
              <w:t xml:space="preserve"> ЖКХ и энергетики РС (Я)</w:t>
            </w:r>
          </w:p>
        </w:tc>
        <w:tc>
          <w:tcPr>
            <w:tcW w:w="4329" w:type="dxa"/>
          </w:tcPr>
          <w:p>
            <w:pPr>
              <w:spacing w:after="160" w:line="259" w:lineRule="auto"/>
            </w:pPr>
            <w:bookmarkStart w:id="1" w:name="SIGNERSTAMP1"/>
            <w:bookmarkEnd w:id="1"/>
          </w:p>
        </w:tc>
        <w:tc>
          <w:tcPr>
            <w:tcW w:w="2836" w:type="dxa"/>
          </w:tcPr>
          <w:p>
            <w:pPr>
              <w:spacing w:after="160" w:line="259" w:lineRule="auto"/>
              <w:jc w:val="center"/>
              <w:rPr>
                <w:rFonts w:hint="default"/>
                <w:lang w:val="ru-RU"/>
              </w:rPr>
            </w:pPr>
            <w:bookmarkStart w:id="2" w:name="SIGNERNAME1"/>
            <w:r>
              <w:t xml:space="preserve">      </w:t>
            </w:r>
            <w:bookmarkEnd w:id="2"/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.П. Емельянов</w:t>
            </w:r>
          </w:p>
        </w:tc>
      </w:tr>
    </w:tbl>
    <w:p>
      <w:pPr>
        <w:jc w:val="both"/>
      </w:pPr>
    </w:p>
    <w:sectPr>
      <w:footerReference r:id="rId5" w:type="first"/>
      <w:headerReference r:id="rId3" w:type="even"/>
      <w:footerReference r:id="rId4" w:type="even"/>
      <w:pgSz w:w="11906" w:h="16838"/>
      <w:pgMar w:top="851" w:right="850" w:bottom="993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57</w:t>
    </w:r>
    <w:r>
      <w:rPr>
        <w:rStyle w:val="1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t>(Документ создан в электронной форме в Министерстве жилищно-коммунального хозяйства и энергетики Республики Саха (Якутия)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060A6"/>
    <w:multiLevelType w:val="multilevel"/>
    <w:tmpl w:val="3C606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C"/>
    <w:rsid w:val="0000067F"/>
    <w:rsid w:val="00000CF9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4FC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FE4"/>
    <w:rsid w:val="00074671"/>
    <w:rsid w:val="00074702"/>
    <w:rsid w:val="00074A2E"/>
    <w:rsid w:val="000813F5"/>
    <w:rsid w:val="00081B0B"/>
    <w:rsid w:val="00082CE9"/>
    <w:rsid w:val="00090373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C7BF3"/>
    <w:rsid w:val="000D003F"/>
    <w:rsid w:val="000D0611"/>
    <w:rsid w:val="000D3680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0E99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4873"/>
    <w:rsid w:val="00275699"/>
    <w:rsid w:val="00277D45"/>
    <w:rsid w:val="002800F4"/>
    <w:rsid w:val="0028078B"/>
    <w:rsid w:val="00284F5E"/>
    <w:rsid w:val="00287393"/>
    <w:rsid w:val="0029022B"/>
    <w:rsid w:val="00291474"/>
    <w:rsid w:val="00291E62"/>
    <w:rsid w:val="002950FD"/>
    <w:rsid w:val="00295319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522E"/>
    <w:rsid w:val="002E5D6C"/>
    <w:rsid w:val="003006A3"/>
    <w:rsid w:val="00302AE3"/>
    <w:rsid w:val="003066D7"/>
    <w:rsid w:val="003116B8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2FC6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35D"/>
    <w:rsid w:val="004164CC"/>
    <w:rsid w:val="0041721C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A2F"/>
    <w:rsid w:val="00457DB1"/>
    <w:rsid w:val="00473E3E"/>
    <w:rsid w:val="00475FAA"/>
    <w:rsid w:val="0047766A"/>
    <w:rsid w:val="00477B1C"/>
    <w:rsid w:val="0048005A"/>
    <w:rsid w:val="00480E9D"/>
    <w:rsid w:val="00484672"/>
    <w:rsid w:val="004855F8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1421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52C"/>
    <w:rsid w:val="00511FD5"/>
    <w:rsid w:val="005124FE"/>
    <w:rsid w:val="005143FC"/>
    <w:rsid w:val="00515306"/>
    <w:rsid w:val="005165A5"/>
    <w:rsid w:val="005170A0"/>
    <w:rsid w:val="00517567"/>
    <w:rsid w:val="005216F6"/>
    <w:rsid w:val="005225C9"/>
    <w:rsid w:val="0052436D"/>
    <w:rsid w:val="005245C0"/>
    <w:rsid w:val="00530022"/>
    <w:rsid w:val="005311F6"/>
    <w:rsid w:val="0053226F"/>
    <w:rsid w:val="00533066"/>
    <w:rsid w:val="005333AE"/>
    <w:rsid w:val="00534217"/>
    <w:rsid w:val="0053570B"/>
    <w:rsid w:val="005362AF"/>
    <w:rsid w:val="005368D0"/>
    <w:rsid w:val="00547308"/>
    <w:rsid w:val="00547AF1"/>
    <w:rsid w:val="00550657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76368"/>
    <w:rsid w:val="005800DF"/>
    <w:rsid w:val="0058032E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2A57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6587"/>
    <w:rsid w:val="006175FD"/>
    <w:rsid w:val="0062090F"/>
    <w:rsid w:val="00621DBA"/>
    <w:rsid w:val="00622218"/>
    <w:rsid w:val="006229F3"/>
    <w:rsid w:val="00623DE9"/>
    <w:rsid w:val="00625947"/>
    <w:rsid w:val="00627AB9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380"/>
    <w:rsid w:val="006655D3"/>
    <w:rsid w:val="006672EB"/>
    <w:rsid w:val="0067459D"/>
    <w:rsid w:val="006755AB"/>
    <w:rsid w:val="00675DF9"/>
    <w:rsid w:val="00677923"/>
    <w:rsid w:val="00683891"/>
    <w:rsid w:val="00685BAC"/>
    <w:rsid w:val="00686594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B5582"/>
    <w:rsid w:val="006C175A"/>
    <w:rsid w:val="006C51C0"/>
    <w:rsid w:val="006C5E80"/>
    <w:rsid w:val="006D2384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32A"/>
    <w:rsid w:val="0072267E"/>
    <w:rsid w:val="0072473F"/>
    <w:rsid w:val="00725006"/>
    <w:rsid w:val="00725D7E"/>
    <w:rsid w:val="00731657"/>
    <w:rsid w:val="0073240E"/>
    <w:rsid w:val="007344EE"/>
    <w:rsid w:val="00735B9E"/>
    <w:rsid w:val="007377EB"/>
    <w:rsid w:val="0074037F"/>
    <w:rsid w:val="0074474D"/>
    <w:rsid w:val="00747EDE"/>
    <w:rsid w:val="007502C3"/>
    <w:rsid w:val="00750761"/>
    <w:rsid w:val="0075659C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C613E"/>
    <w:rsid w:val="008D0FCC"/>
    <w:rsid w:val="008D1A5A"/>
    <w:rsid w:val="008D4C93"/>
    <w:rsid w:val="008D5077"/>
    <w:rsid w:val="008E1523"/>
    <w:rsid w:val="008E5A4B"/>
    <w:rsid w:val="008E5A69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17401"/>
    <w:rsid w:val="00920A9D"/>
    <w:rsid w:val="00921FBB"/>
    <w:rsid w:val="00922E29"/>
    <w:rsid w:val="00922F4F"/>
    <w:rsid w:val="00923432"/>
    <w:rsid w:val="00925140"/>
    <w:rsid w:val="00931E62"/>
    <w:rsid w:val="00933006"/>
    <w:rsid w:val="0093584A"/>
    <w:rsid w:val="009363E0"/>
    <w:rsid w:val="00940766"/>
    <w:rsid w:val="00941B11"/>
    <w:rsid w:val="00943798"/>
    <w:rsid w:val="00944989"/>
    <w:rsid w:val="00945425"/>
    <w:rsid w:val="00946D3A"/>
    <w:rsid w:val="00947786"/>
    <w:rsid w:val="00953481"/>
    <w:rsid w:val="00954EC0"/>
    <w:rsid w:val="0095716B"/>
    <w:rsid w:val="00961637"/>
    <w:rsid w:val="00965A8A"/>
    <w:rsid w:val="00966249"/>
    <w:rsid w:val="00967604"/>
    <w:rsid w:val="00976041"/>
    <w:rsid w:val="0097729B"/>
    <w:rsid w:val="00984075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22EB"/>
    <w:rsid w:val="009B5011"/>
    <w:rsid w:val="009C1B78"/>
    <w:rsid w:val="009C2BDD"/>
    <w:rsid w:val="009E3613"/>
    <w:rsid w:val="009E3617"/>
    <w:rsid w:val="009E5282"/>
    <w:rsid w:val="009E731C"/>
    <w:rsid w:val="009F01CA"/>
    <w:rsid w:val="009F367B"/>
    <w:rsid w:val="009F3CD0"/>
    <w:rsid w:val="009F5F8F"/>
    <w:rsid w:val="009F6378"/>
    <w:rsid w:val="00A03A69"/>
    <w:rsid w:val="00A0659C"/>
    <w:rsid w:val="00A079CA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6177"/>
    <w:rsid w:val="00A77A3C"/>
    <w:rsid w:val="00A8775E"/>
    <w:rsid w:val="00A87923"/>
    <w:rsid w:val="00A9158D"/>
    <w:rsid w:val="00A94C57"/>
    <w:rsid w:val="00A95804"/>
    <w:rsid w:val="00AA1919"/>
    <w:rsid w:val="00AA1AF6"/>
    <w:rsid w:val="00AA23A2"/>
    <w:rsid w:val="00AA29D7"/>
    <w:rsid w:val="00AA5848"/>
    <w:rsid w:val="00AB0F0D"/>
    <w:rsid w:val="00AB559C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06AC"/>
    <w:rsid w:val="00B0454B"/>
    <w:rsid w:val="00B0513D"/>
    <w:rsid w:val="00B160C1"/>
    <w:rsid w:val="00B168DE"/>
    <w:rsid w:val="00B16A17"/>
    <w:rsid w:val="00B17D28"/>
    <w:rsid w:val="00B17E38"/>
    <w:rsid w:val="00B21A89"/>
    <w:rsid w:val="00B22FAF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786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2104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3819"/>
    <w:rsid w:val="00BD47A7"/>
    <w:rsid w:val="00BD7975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36307"/>
    <w:rsid w:val="00C43A48"/>
    <w:rsid w:val="00C47AE2"/>
    <w:rsid w:val="00C47FDE"/>
    <w:rsid w:val="00C51A4C"/>
    <w:rsid w:val="00C52E83"/>
    <w:rsid w:val="00C54866"/>
    <w:rsid w:val="00C54A69"/>
    <w:rsid w:val="00C565E8"/>
    <w:rsid w:val="00C57EF6"/>
    <w:rsid w:val="00C634B1"/>
    <w:rsid w:val="00C63A92"/>
    <w:rsid w:val="00C666E8"/>
    <w:rsid w:val="00C72E1F"/>
    <w:rsid w:val="00C73790"/>
    <w:rsid w:val="00C746F1"/>
    <w:rsid w:val="00C81BE2"/>
    <w:rsid w:val="00C82F5F"/>
    <w:rsid w:val="00C83F23"/>
    <w:rsid w:val="00C86225"/>
    <w:rsid w:val="00C906A2"/>
    <w:rsid w:val="00C909EF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8D"/>
    <w:rsid w:val="00CC069A"/>
    <w:rsid w:val="00CC521E"/>
    <w:rsid w:val="00CC72E9"/>
    <w:rsid w:val="00CD419A"/>
    <w:rsid w:val="00CE65EF"/>
    <w:rsid w:val="00CE6F0C"/>
    <w:rsid w:val="00CF3D33"/>
    <w:rsid w:val="00CF4042"/>
    <w:rsid w:val="00CF56D3"/>
    <w:rsid w:val="00CF6856"/>
    <w:rsid w:val="00CF77D9"/>
    <w:rsid w:val="00D045C1"/>
    <w:rsid w:val="00D10F47"/>
    <w:rsid w:val="00D13031"/>
    <w:rsid w:val="00D14BFF"/>
    <w:rsid w:val="00D170D3"/>
    <w:rsid w:val="00D200A4"/>
    <w:rsid w:val="00D21EEC"/>
    <w:rsid w:val="00D2436F"/>
    <w:rsid w:val="00D30120"/>
    <w:rsid w:val="00D37BF0"/>
    <w:rsid w:val="00D42AE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53A"/>
    <w:rsid w:val="00E018BC"/>
    <w:rsid w:val="00E02FCC"/>
    <w:rsid w:val="00E02FE6"/>
    <w:rsid w:val="00E0395E"/>
    <w:rsid w:val="00E03C2C"/>
    <w:rsid w:val="00E042C6"/>
    <w:rsid w:val="00E07129"/>
    <w:rsid w:val="00E14A09"/>
    <w:rsid w:val="00E1555D"/>
    <w:rsid w:val="00E1637C"/>
    <w:rsid w:val="00E200E7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9E9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AC7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536A"/>
    <w:rsid w:val="00F36BA0"/>
    <w:rsid w:val="00F471E4"/>
    <w:rsid w:val="00F51025"/>
    <w:rsid w:val="00F516A6"/>
    <w:rsid w:val="00F51986"/>
    <w:rsid w:val="00F6419C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C43DC"/>
    <w:rsid w:val="00FC577D"/>
    <w:rsid w:val="00FD1C04"/>
    <w:rsid w:val="00FD48D6"/>
    <w:rsid w:val="00FE057C"/>
    <w:rsid w:val="00FE2091"/>
    <w:rsid w:val="00FE2284"/>
    <w:rsid w:val="00FE2BC7"/>
    <w:rsid w:val="00FE3F38"/>
    <w:rsid w:val="00FE407B"/>
    <w:rsid w:val="00FE6C78"/>
    <w:rsid w:val="00FF078E"/>
    <w:rsid w:val="00FF0B87"/>
    <w:rsid w:val="00FF16BD"/>
    <w:rsid w:val="00FF1A21"/>
    <w:rsid w:val="00FF2692"/>
    <w:rsid w:val="00FF4A3F"/>
    <w:rsid w:val="073F738C"/>
    <w:rsid w:val="17ED6879"/>
    <w:rsid w:val="1D7A6BB9"/>
    <w:rsid w:val="1EEF6EAF"/>
    <w:rsid w:val="1EFF253D"/>
    <w:rsid w:val="2BCFF02A"/>
    <w:rsid w:val="30FF68BC"/>
    <w:rsid w:val="35AF5A93"/>
    <w:rsid w:val="395DD38A"/>
    <w:rsid w:val="3B57DF00"/>
    <w:rsid w:val="3CEBDB56"/>
    <w:rsid w:val="3FAE055A"/>
    <w:rsid w:val="3FE631C3"/>
    <w:rsid w:val="3FEFDD13"/>
    <w:rsid w:val="3FF5F571"/>
    <w:rsid w:val="43FF7048"/>
    <w:rsid w:val="4E73AF08"/>
    <w:rsid w:val="4FB33367"/>
    <w:rsid w:val="4FB758C9"/>
    <w:rsid w:val="4FF9EF30"/>
    <w:rsid w:val="51CE1339"/>
    <w:rsid w:val="52EF1D64"/>
    <w:rsid w:val="55D65C98"/>
    <w:rsid w:val="55D69522"/>
    <w:rsid w:val="57960D2C"/>
    <w:rsid w:val="59CF5BDD"/>
    <w:rsid w:val="5CE9239E"/>
    <w:rsid w:val="5DEF9176"/>
    <w:rsid w:val="5EEEAED1"/>
    <w:rsid w:val="5F5EB362"/>
    <w:rsid w:val="60EF7ADB"/>
    <w:rsid w:val="60FA14C7"/>
    <w:rsid w:val="66FFDE9A"/>
    <w:rsid w:val="69FEDB0B"/>
    <w:rsid w:val="6C0F6D55"/>
    <w:rsid w:val="6D7E7E1E"/>
    <w:rsid w:val="6FDD596D"/>
    <w:rsid w:val="76D7FB0F"/>
    <w:rsid w:val="7747C32F"/>
    <w:rsid w:val="7754C3D2"/>
    <w:rsid w:val="77972367"/>
    <w:rsid w:val="77B283A1"/>
    <w:rsid w:val="77FB7768"/>
    <w:rsid w:val="77FF0C6C"/>
    <w:rsid w:val="78BB31B2"/>
    <w:rsid w:val="79D319D0"/>
    <w:rsid w:val="79FF2DFF"/>
    <w:rsid w:val="7ADB029A"/>
    <w:rsid w:val="7AFDA2DF"/>
    <w:rsid w:val="7BD7A0B3"/>
    <w:rsid w:val="7BDC4DC6"/>
    <w:rsid w:val="7C5FD36B"/>
    <w:rsid w:val="7DEECE0B"/>
    <w:rsid w:val="7DEF777F"/>
    <w:rsid w:val="7EDFE888"/>
    <w:rsid w:val="7EF1C46D"/>
    <w:rsid w:val="7F1234E8"/>
    <w:rsid w:val="7F570974"/>
    <w:rsid w:val="7F7316BA"/>
    <w:rsid w:val="7F7E1245"/>
    <w:rsid w:val="7FB3F34B"/>
    <w:rsid w:val="7FBB541A"/>
    <w:rsid w:val="7FCF8603"/>
    <w:rsid w:val="7FDDE447"/>
    <w:rsid w:val="7FDF52DD"/>
    <w:rsid w:val="7FEFB39D"/>
    <w:rsid w:val="7FEFE654"/>
    <w:rsid w:val="7FFAC536"/>
    <w:rsid w:val="7FFDEEC0"/>
    <w:rsid w:val="7FFEE644"/>
    <w:rsid w:val="9C7F627B"/>
    <w:rsid w:val="A3FFE881"/>
    <w:rsid w:val="ABE8E33B"/>
    <w:rsid w:val="AC5F0DDD"/>
    <w:rsid w:val="AF1F8C87"/>
    <w:rsid w:val="AF2D08D2"/>
    <w:rsid w:val="B39EE037"/>
    <w:rsid w:val="B3AF21A8"/>
    <w:rsid w:val="B5E7B65E"/>
    <w:rsid w:val="B6ED3564"/>
    <w:rsid w:val="B7771EFF"/>
    <w:rsid w:val="BCFF8556"/>
    <w:rsid w:val="BDBFFC3D"/>
    <w:rsid w:val="BDEF7AE0"/>
    <w:rsid w:val="BECF1F44"/>
    <w:rsid w:val="BF1F15FB"/>
    <w:rsid w:val="CB67B5B2"/>
    <w:rsid w:val="D6AFCA38"/>
    <w:rsid w:val="D7F750CA"/>
    <w:rsid w:val="D9EE4271"/>
    <w:rsid w:val="DA9F8553"/>
    <w:rsid w:val="DBFDD709"/>
    <w:rsid w:val="DF6922F1"/>
    <w:rsid w:val="DF6F6BFD"/>
    <w:rsid w:val="DFFBB741"/>
    <w:rsid w:val="DFFF893D"/>
    <w:rsid w:val="E7F30116"/>
    <w:rsid w:val="EB560C7A"/>
    <w:rsid w:val="EDBF3D47"/>
    <w:rsid w:val="EECB9FE5"/>
    <w:rsid w:val="EEDC4E83"/>
    <w:rsid w:val="EF568796"/>
    <w:rsid w:val="EFDF7EAE"/>
    <w:rsid w:val="F21BEB80"/>
    <w:rsid w:val="F43FCB3A"/>
    <w:rsid w:val="F47D4547"/>
    <w:rsid w:val="F5E796BF"/>
    <w:rsid w:val="F5FFA097"/>
    <w:rsid w:val="F6BE98E1"/>
    <w:rsid w:val="F6E7B4CB"/>
    <w:rsid w:val="F7D35296"/>
    <w:rsid w:val="F7EF85B3"/>
    <w:rsid w:val="F97F2206"/>
    <w:rsid w:val="F9ABF8D1"/>
    <w:rsid w:val="F9BA6EC5"/>
    <w:rsid w:val="F9EE748E"/>
    <w:rsid w:val="FA7B3441"/>
    <w:rsid w:val="FBF6A260"/>
    <w:rsid w:val="FBFF73AD"/>
    <w:rsid w:val="FCCF2CBF"/>
    <w:rsid w:val="FD7FA3F6"/>
    <w:rsid w:val="FDD4E0B3"/>
    <w:rsid w:val="FDFBB28E"/>
    <w:rsid w:val="FDFF0B89"/>
    <w:rsid w:val="FE9FA26E"/>
    <w:rsid w:val="FEA7D484"/>
    <w:rsid w:val="FEBD41D9"/>
    <w:rsid w:val="FEEF1143"/>
    <w:rsid w:val="FF31E37A"/>
    <w:rsid w:val="FF7FC9DC"/>
    <w:rsid w:val="FFDE8DB3"/>
    <w:rsid w:val="FFEC59FA"/>
    <w:rsid w:val="FFF70763"/>
    <w:rsid w:val="FFF752CA"/>
    <w:rsid w:val="FFFF7156"/>
    <w:rsid w:val="FF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ind w:right="-1333"/>
      <w:outlineLvl w:val="0"/>
    </w:pPr>
    <w:rPr>
      <w:sz w:val="28"/>
    </w:rPr>
  </w:style>
  <w:style w:type="paragraph" w:styleId="3">
    <w:name w:val="heading 2"/>
    <w:basedOn w:val="1"/>
    <w:next w:val="1"/>
    <w:link w:val="2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locked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locked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6"/>
    <w:qFormat/>
    <w:uiPriority w:val="99"/>
    <w:rPr>
      <w:rFonts w:cs="Times New Roman"/>
    </w:rPr>
  </w:style>
  <w:style w:type="paragraph" w:styleId="11">
    <w:name w:val="Balloon Text"/>
    <w:basedOn w:val="1"/>
    <w:link w:val="30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42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styleId="14">
    <w:name w:val="toc 1"/>
    <w:basedOn w:val="1"/>
    <w:next w:val="1"/>
    <w:qFormat/>
    <w:locked/>
    <w:uiPriority w:val="39"/>
    <w:pPr>
      <w:tabs>
        <w:tab w:val="right" w:leader="dot" w:pos="9836"/>
      </w:tabs>
    </w:pPr>
  </w:style>
  <w:style w:type="paragraph" w:styleId="15">
    <w:name w:val="toc 3"/>
    <w:basedOn w:val="1"/>
    <w:next w:val="1"/>
    <w:qFormat/>
    <w:locked/>
    <w:uiPriority w:val="39"/>
    <w:pPr>
      <w:tabs>
        <w:tab w:val="right" w:leader="dot" w:pos="9836"/>
      </w:tabs>
      <w:ind w:left="480"/>
    </w:pPr>
  </w:style>
  <w:style w:type="paragraph" w:styleId="16">
    <w:name w:val="toc 2"/>
    <w:basedOn w:val="1"/>
    <w:next w:val="1"/>
    <w:qFormat/>
    <w:locked/>
    <w:uiPriority w:val="39"/>
    <w:pPr>
      <w:ind w:left="240"/>
    </w:p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table" w:styleId="18">
    <w:name w:val="Table Grid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character" w:customStyle="1" w:styleId="20">
    <w:name w:val="Заголовок 2 Знак"/>
    <w:basedOn w:val="6"/>
    <w:link w:val="3"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Заголовок 3 Знак"/>
    <w:basedOn w:val="6"/>
    <w:link w:val="4"/>
    <w:qFormat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Заголовок 4 Знак"/>
    <w:basedOn w:val="6"/>
    <w:link w:val="5"/>
    <w:qFormat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4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Нижний колонтитул Знак"/>
    <w:basedOn w:val="6"/>
    <w:link w:val="17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Текст выноски Знак"/>
    <w:basedOn w:val="6"/>
    <w:link w:val="11"/>
    <w:semiHidden/>
    <w:qFormat/>
    <w:locked/>
    <w:uiPriority w:val="99"/>
    <w:rPr>
      <w:rFonts w:ascii="Tahoma" w:hAnsi="Tahoma" w:cs="Times New Roman"/>
      <w:sz w:val="16"/>
      <w:lang w:val="zh-CN" w:eastAsia="ru-RU"/>
    </w:rPr>
  </w:style>
  <w:style w:type="paragraph" w:customStyle="1" w:styleId="3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35">
    <w:name w:val="Название книги1"/>
    <w:basedOn w:val="6"/>
    <w:qFormat/>
    <w:uiPriority w:val="33"/>
    <w:rPr>
      <w:rFonts w:cs="Times New Roman"/>
      <w:b/>
      <w:smallCaps/>
      <w:spacing w:val="5"/>
    </w:rPr>
  </w:style>
  <w:style w:type="table" w:customStyle="1" w:styleId="36">
    <w:name w:val="Сетка таблицы1"/>
    <w:basedOn w:val="7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Стиль1"/>
    <w:basedOn w:val="2"/>
    <w:link w:val="38"/>
    <w:qFormat/>
    <w:uiPriority w:val="0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38">
    <w:name w:val="Стиль1 Знак"/>
    <w:link w:val="37"/>
    <w:qFormat/>
    <w:locked/>
    <w:uiPriority w:val="0"/>
    <w:rPr>
      <w:rFonts w:ascii="Times New Roman" w:hAnsi="Times New Roman"/>
      <w:b/>
      <w:sz w:val="24"/>
      <w:lang w:val="en-US" w:eastAsia="ru-RU"/>
    </w:rPr>
  </w:style>
  <w:style w:type="table" w:customStyle="1" w:styleId="39">
    <w:name w:val="Сетка таблицы2"/>
    <w:basedOn w:val="7"/>
    <w:qFormat/>
    <w:uiPriority w:val="39"/>
    <w:rPr>
      <w:rFonts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 Style13"/>
    <w:qFormat/>
    <w:uiPriority w:val="99"/>
    <w:rPr>
      <w:rFonts w:ascii="Times New Roman" w:hAnsi="Times New Roman"/>
      <w:sz w:val="20"/>
    </w:rPr>
  </w:style>
  <w:style w:type="table" w:customStyle="1" w:styleId="4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Знак"/>
    <w:basedOn w:val="6"/>
    <w:link w:val="13"/>
    <w:qFormat/>
    <w:uiPriority w:val="1"/>
    <w:rPr>
      <w:rFonts w:ascii="Times New Roman" w:hAnsi="Times New Roman" w:cs="Times New Roman"/>
      <w:sz w:val="24"/>
      <w:szCs w:val="24"/>
      <w:lang w:eastAsia="en-US"/>
    </w:rPr>
  </w:style>
  <w:style w:type="paragraph" w:styleId="43">
    <w:name w:val="List Paragraph"/>
    <w:basedOn w:val="1"/>
    <w:qFormat/>
    <w:uiPriority w:val="1"/>
    <w:pPr>
      <w:widowControl w:val="0"/>
      <w:autoSpaceDE w:val="0"/>
      <w:autoSpaceDN w:val="0"/>
      <w:ind w:left="541" w:firstLine="709"/>
      <w:jc w:val="both"/>
    </w:pPr>
    <w:rPr>
      <w:sz w:val="22"/>
      <w:szCs w:val="22"/>
      <w:lang w:eastAsia="en-US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2757</Words>
  <Characters>20852</Characters>
  <Lines>173</Lines>
  <Paragraphs>47</Paragraphs>
  <TotalTime>70</TotalTime>
  <ScaleCrop>false</ScaleCrop>
  <LinksUpToDate>false</LinksUpToDate>
  <CharactersWithSpaces>23562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2023-07-05T10:11:00Z</dcterms:created>
  <dc:creator>Захарова</dc:creator>
  <cp:lastModifiedBy>hovrova_sn</cp:lastModifiedBy>
  <cp:lastPrinted>2023-07-05T13:09:00Z</cp:lastPrinted>
  <dcterms:modified xsi:type="dcterms:W3CDTF">2025-06-11T11:54:38Z</dcterms:modified>
  <dc:title>МИНИСТЕРСТВО ЖКХ и энергетики РС(Я)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