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74" w:rsidRPr="00616D24" w:rsidRDefault="00281974" w:rsidP="0028197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16D2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Министерство предпринимательства, торговли и туризма РС (Я)</w:t>
      </w:r>
    </w:p>
    <w:p w:rsidR="00281974" w:rsidRPr="00616D24" w:rsidRDefault="00281974" w:rsidP="0028197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16D2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ГКУ РС (Я) «Центр поддержки предпринимательства РС (Я)»</w:t>
      </w:r>
    </w:p>
    <w:p w:rsidR="00281974" w:rsidRPr="00D82055" w:rsidRDefault="00281974" w:rsidP="00281974">
      <w:pPr>
        <w:spacing w:after="30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5EA5"/>
          <w:kern w:val="36"/>
          <w:sz w:val="24"/>
          <w:szCs w:val="24"/>
          <w:lang w:eastAsia="ru-RU"/>
        </w:rPr>
      </w:pPr>
    </w:p>
    <w:p w:rsidR="00281974" w:rsidRPr="00D82055" w:rsidRDefault="00281974" w:rsidP="0028197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281974" w:rsidRPr="00D82055" w:rsidRDefault="00281974" w:rsidP="0028197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281974" w:rsidRPr="00D82055" w:rsidRDefault="00281974" w:rsidP="0028197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281974" w:rsidRPr="00D82055" w:rsidRDefault="00281974" w:rsidP="0028197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281974" w:rsidRDefault="00281974" w:rsidP="0028197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8661BC" w:rsidRDefault="008661BC" w:rsidP="0028197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8661BC" w:rsidRDefault="008661BC" w:rsidP="0028197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8661BC" w:rsidRDefault="008661BC" w:rsidP="0028197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8661BC" w:rsidRDefault="008661BC" w:rsidP="0028197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8661BC" w:rsidRPr="00D82055" w:rsidRDefault="008661BC" w:rsidP="0028197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281974" w:rsidRPr="00D82055" w:rsidRDefault="00281974" w:rsidP="0028197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281974" w:rsidRPr="00D82055" w:rsidRDefault="00281974" w:rsidP="00281974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281974" w:rsidRPr="00D82055" w:rsidRDefault="00281974" w:rsidP="00281974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  <w:r w:rsidRPr="00D82055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“</w:t>
      </w:r>
      <w:r w:rsidRPr="00D82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ДЛЯ НАЧИНАЮЩИХ ЭКСПОРТЕРОВ</w:t>
      </w:r>
      <w:r w:rsidRPr="00D82055"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”</w:t>
      </w:r>
    </w:p>
    <w:p w:rsidR="00281974" w:rsidRPr="00D82055" w:rsidRDefault="00281974" w:rsidP="00281974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</w:p>
    <w:p w:rsidR="00281974" w:rsidRPr="00D82055" w:rsidRDefault="00281974" w:rsidP="00281974">
      <w:pPr>
        <w:spacing w:before="120" w:line="360" w:lineRule="auto"/>
        <w:jc w:val="center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jc w:val="center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jc w:val="center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jc w:val="center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jc w:val="center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jc w:val="center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jc w:val="center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jc w:val="center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jc w:val="center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jc w:val="center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rPr>
          <w:rFonts w:ascii="Calibri" w:eastAsia="Calibri" w:hAnsi="Calibri" w:cs="Times New Roman"/>
          <w:bCs/>
          <w:color w:val="000000" w:themeColor="text1"/>
          <w:sz w:val="24"/>
          <w:szCs w:val="24"/>
          <w:lang w:val="sah-RU"/>
        </w:rPr>
      </w:pPr>
    </w:p>
    <w:p w:rsidR="00281974" w:rsidRPr="00D82055" w:rsidRDefault="00281974" w:rsidP="00281974">
      <w:pPr>
        <w:spacing w:before="120" w:line="36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8205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Якутск-2018</w:t>
      </w:r>
    </w:p>
    <w:p w:rsidR="00713149" w:rsidRPr="00616D24" w:rsidRDefault="00713149" w:rsidP="00713149">
      <w:pPr>
        <w:spacing w:before="120" w:line="360" w:lineRule="auto"/>
        <w:ind w:right="-143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16D2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Содержание:</w:t>
      </w:r>
    </w:p>
    <w:p w:rsidR="00713149" w:rsidRPr="00673C21" w:rsidRDefault="00713149" w:rsidP="00824DDD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284" w:right="-143" w:hanging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73C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……</w:t>
      </w:r>
      <w:r w:rsidR="00CA370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</w:t>
      </w:r>
    </w:p>
    <w:p w:rsidR="00713149" w:rsidRPr="00673C21" w:rsidRDefault="00CA3702" w:rsidP="00824DDD">
      <w:pPr>
        <w:pStyle w:val="a7"/>
        <w:numPr>
          <w:ilvl w:val="0"/>
          <w:numId w:val="1"/>
        </w:numPr>
        <w:spacing w:after="0" w:line="360" w:lineRule="auto"/>
        <w:ind w:left="284" w:right="-143" w:hanging="28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ВЫБОР РЫНКА И ПОИСК КЛИЕНТОВ..</w:t>
      </w:r>
      <w:r w:rsidR="0071314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…………………………………………………4</w:t>
      </w:r>
    </w:p>
    <w:p w:rsidR="00713149" w:rsidRPr="00673C21" w:rsidRDefault="00CA3702" w:rsidP="00824DDD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284" w:right="-143" w:hanging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ИНСТИТУТЫ ФИНАНСОВОЙ И НЕФИНАНСОВОЙ ПОДДЕРЖКИ ЭКПОРТЕРОВ</w:t>
      </w:r>
      <w:r w:rsidR="0071314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......................................................................................................</w:t>
      </w:r>
      <w:r w:rsidR="00824DDD"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.....</w:t>
      </w:r>
      <w:r w:rsidR="00824DD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……</w:t>
      </w:r>
      <w:r w:rsidR="00CF334B"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6</w:t>
      </w:r>
    </w:p>
    <w:p w:rsidR="00713149" w:rsidRPr="00673C21" w:rsidRDefault="00CA3702" w:rsidP="00824DDD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284" w:right="-143" w:hanging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НЕОБХОДИМОСТЬ ПРОВЕРКИ ПОКУПАТЕЛЯ И СПОСОБЫ ПРОВЕРКИ...........................................................................</w:t>
      </w:r>
      <w:r w:rsidR="00824DD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………………………………….</w:t>
      </w:r>
      <w:r w:rsidR="00CF334B"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.7</w:t>
      </w:r>
    </w:p>
    <w:p w:rsidR="00713149" w:rsidRPr="00673C21" w:rsidRDefault="00824DDD" w:rsidP="00824DDD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284" w:right="-143" w:hanging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ПОДГОТОВКА ПРОДУКТА К ТРЕБОВАНИЯМ РЫНКА И ПОКУПАТЕЛЯ...</w:t>
      </w:r>
      <w:r w:rsidR="0071314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……</w:t>
      </w:r>
      <w:r w:rsidR="00CF3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CF334B"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8</w:t>
      </w:r>
    </w:p>
    <w:p w:rsidR="00713149" w:rsidRPr="00673C21" w:rsidRDefault="00824DDD" w:rsidP="00824DDD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284" w:right="-143" w:hanging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ПЕРЕЧЕНЬ СУЩЕСТВЕННЫХ УСЛОВИЙ ВНЕШНЕТОРГОВОГО КОНТРАКТА</w:t>
      </w:r>
      <w:r w:rsidR="0071314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……</w:t>
      </w:r>
      <w:r w:rsidR="00CF3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…………………………………………………………………………….10</w:t>
      </w:r>
    </w:p>
    <w:p w:rsidR="00713149" w:rsidRPr="00824DDD" w:rsidRDefault="00824DDD" w:rsidP="00824DDD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284" w:right="-143" w:hanging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ОПЛАТА: ПЛАТЕЖИ И РИСКИ........................................................................</w:t>
      </w:r>
      <w:r w:rsidR="00CF3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……………12</w:t>
      </w:r>
    </w:p>
    <w:p w:rsidR="00824DDD" w:rsidRPr="00673C21" w:rsidRDefault="00824DDD" w:rsidP="00824DDD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284" w:right="-143" w:hanging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КЛЮЧЕВЫЕ ОРГАНИЗАЦИИ...............................................................................................14</w:t>
      </w:r>
    </w:p>
    <w:p w:rsidR="00713149" w:rsidRDefault="00713149" w:rsidP="00824DDD">
      <w:pPr>
        <w:spacing w:line="360" w:lineRule="auto"/>
        <w:ind w:right="-143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</w:p>
    <w:p w:rsidR="00713149" w:rsidRDefault="00713149" w:rsidP="00824DDD">
      <w:pPr>
        <w:spacing w:line="360" w:lineRule="auto"/>
        <w:ind w:right="-143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</w:p>
    <w:p w:rsidR="00713149" w:rsidRDefault="00713149" w:rsidP="00713149">
      <w:pPr>
        <w:spacing w:line="360" w:lineRule="auto"/>
        <w:ind w:right="-143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713149" w:rsidRDefault="00713149" w:rsidP="00E54502">
      <w:pPr>
        <w:ind w:firstLine="567"/>
        <w:jc w:val="center"/>
        <w:rPr>
          <w:b/>
          <w:sz w:val="32"/>
          <w:szCs w:val="32"/>
          <w:lang w:val="sah-RU"/>
        </w:rPr>
      </w:pPr>
    </w:p>
    <w:p w:rsidR="00824DDD" w:rsidRDefault="00824DDD" w:rsidP="00727681">
      <w:pPr>
        <w:spacing w:line="360" w:lineRule="auto"/>
        <w:ind w:firstLine="567"/>
        <w:rPr>
          <w:b/>
          <w:lang w:val="sah-RU"/>
        </w:rPr>
      </w:pPr>
    </w:p>
    <w:p w:rsidR="00824DDD" w:rsidRDefault="00824DDD" w:rsidP="00727681">
      <w:pPr>
        <w:spacing w:line="360" w:lineRule="auto"/>
        <w:ind w:firstLine="567"/>
        <w:rPr>
          <w:b/>
          <w:lang w:val="sah-RU"/>
        </w:rPr>
      </w:pPr>
    </w:p>
    <w:p w:rsidR="00824DDD" w:rsidRDefault="00824DDD" w:rsidP="00727681">
      <w:pPr>
        <w:spacing w:line="360" w:lineRule="auto"/>
        <w:ind w:firstLine="567"/>
        <w:rPr>
          <w:b/>
          <w:lang w:val="sah-RU"/>
        </w:rPr>
      </w:pPr>
    </w:p>
    <w:p w:rsidR="00824DDD" w:rsidRDefault="00824DDD" w:rsidP="00727681">
      <w:pPr>
        <w:spacing w:line="360" w:lineRule="auto"/>
        <w:ind w:firstLine="567"/>
        <w:rPr>
          <w:b/>
          <w:lang w:val="sah-RU"/>
        </w:rPr>
      </w:pPr>
    </w:p>
    <w:p w:rsidR="00824DDD" w:rsidRDefault="00824DDD" w:rsidP="00727681">
      <w:pPr>
        <w:spacing w:line="360" w:lineRule="auto"/>
        <w:ind w:firstLine="567"/>
        <w:rPr>
          <w:b/>
          <w:lang w:val="sah-RU"/>
        </w:rPr>
      </w:pPr>
    </w:p>
    <w:p w:rsidR="00D82055" w:rsidRPr="00E9291A" w:rsidRDefault="00616D24" w:rsidP="00E9291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727681" w:rsidRPr="00E9291A" w:rsidRDefault="00E54502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Базовые элементы экспорта (товар, рынок, покупатель) схожи с  элементами продаж на внутреннем рынке. Если компания активно продает свой товар на территории России, знает, как определить внутренний рынок и покупателя, как обеспечить своему товару конкурентные преимущества, организовать производство и хранение, вовремя доставить товар покупателю, то она уже владеет базовыми навыками предпринимательства, необходимыми для начала экспортной деятельности.</w:t>
      </w:r>
    </w:p>
    <w:p w:rsidR="005F663F" w:rsidRPr="00E9291A" w:rsidRDefault="005F663F" w:rsidP="00E9291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 xml:space="preserve">Пять основных преимуществ экспорта: </w:t>
      </w:r>
    </w:p>
    <w:p w:rsidR="005F663F" w:rsidRPr="00E9291A" w:rsidRDefault="005F663F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эффективный инструмент развития предприятия; </w:t>
      </w:r>
    </w:p>
    <w:p w:rsidR="005F663F" w:rsidRPr="00E9291A" w:rsidRDefault="005F663F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увеличение объема продаж за счет новых рынков; </w:t>
      </w:r>
    </w:p>
    <w:p w:rsidR="005F663F" w:rsidRPr="00E9291A" w:rsidRDefault="005F663F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— уменьшение себестоимости единицы продукции;</w:t>
      </w:r>
    </w:p>
    <w:p w:rsidR="005F663F" w:rsidRPr="00E9291A" w:rsidRDefault="005F663F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 — регулирование сезонных колебаний на внутреннем рынке; </w:t>
      </w:r>
    </w:p>
    <w:p w:rsidR="003848E9" w:rsidRPr="00E9291A" w:rsidRDefault="005F663F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— увеличение прибыли и валютных ресурсов предприятия.</w:t>
      </w:r>
    </w:p>
    <w:p w:rsidR="005F663F" w:rsidRPr="00E9291A" w:rsidRDefault="005F663F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 xml:space="preserve">Жизненный цикл экспортного проекта состоит из семи основных этапов: </w:t>
      </w:r>
    </w:p>
    <w:p w:rsidR="000A2EA1" w:rsidRPr="00E9291A" w:rsidRDefault="000A2EA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60"/>
        <w:gridCol w:w="1417"/>
        <w:gridCol w:w="1560"/>
        <w:gridCol w:w="1559"/>
        <w:gridCol w:w="1560"/>
        <w:gridCol w:w="1275"/>
        <w:gridCol w:w="1387"/>
      </w:tblGrid>
      <w:tr w:rsidR="000A2EA1" w:rsidRPr="00E9291A" w:rsidTr="00E9291A">
        <w:trPr>
          <w:trHeight w:val="962"/>
        </w:trPr>
        <w:tc>
          <w:tcPr>
            <w:tcW w:w="1560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55" w:rsidRPr="00E9291A" w:rsidRDefault="00D8205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55" w:rsidRPr="00E9291A" w:rsidRDefault="00D8205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55" w:rsidRDefault="00D8205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1A" w:rsidRDefault="00E9291A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1A" w:rsidRPr="00E9291A" w:rsidRDefault="00E9291A" w:rsidP="00E9291A">
            <w:pPr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A1" w:rsidRPr="00E9291A" w:rsidRDefault="000A2EA1" w:rsidP="00E9291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Выбор рынка и поиск покупателя</w:t>
            </w:r>
          </w:p>
        </w:tc>
        <w:tc>
          <w:tcPr>
            <w:tcW w:w="1417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291A" w:rsidRDefault="00E9291A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1A" w:rsidRDefault="00E9291A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A1" w:rsidRPr="00E9291A" w:rsidRDefault="000A2EA1" w:rsidP="00E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Переговоры с покупателем и заключение внешнеторгового контракта</w:t>
            </w:r>
          </w:p>
        </w:tc>
        <w:tc>
          <w:tcPr>
            <w:tcW w:w="1559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55" w:rsidRPr="00E9291A" w:rsidRDefault="00D8205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55" w:rsidRPr="00E9291A" w:rsidRDefault="00D8205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55" w:rsidRPr="00E9291A" w:rsidRDefault="00D8205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1A" w:rsidRDefault="00E9291A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1A" w:rsidRDefault="00E9291A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A1" w:rsidRPr="00E9291A" w:rsidRDefault="000A2EA1" w:rsidP="00E9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Таможенное оформление товара при экспорте</w:t>
            </w:r>
          </w:p>
        </w:tc>
        <w:tc>
          <w:tcPr>
            <w:tcW w:w="1275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55" w:rsidRPr="00E9291A" w:rsidRDefault="00D8205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55" w:rsidRPr="00E9291A" w:rsidRDefault="00D8205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55" w:rsidRPr="00E9291A" w:rsidRDefault="00D8205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55" w:rsidRDefault="00D8205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1A" w:rsidRPr="00E9291A" w:rsidRDefault="00E9291A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A1" w:rsidRPr="00E9291A" w:rsidRDefault="000A2EA1" w:rsidP="00E929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Опла</w:t>
            </w:r>
            <w:r w:rsidR="00E92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а / </w:t>
            </w:r>
            <w:proofErr w:type="gram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валютные</w:t>
            </w:r>
            <w:proofErr w:type="gram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EA1" w:rsidRPr="00E9291A" w:rsidRDefault="000A2EA1" w:rsidP="00E9291A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</w:p>
        </w:tc>
      </w:tr>
    </w:tbl>
    <w:p w:rsidR="005F663F" w:rsidRPr="00E9291A" w:rsidRDefault="00CA0B78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436.2pt;margin-top:7.3pt;width:31.5pt;height:23.9pt;z-index:251661312;mso-position-horizontal-relative:text;mso-position-vertical-relative:text">
            <v:textbox>
              <w:txbxContent>
                <w:p w:rsidR="008661BC" w:rsidRDefault="008661BC">
                  <w: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367.2pt;margin-top:7.3pt;width:34.5pt;height:23.9pt;z-index:251660288;mso-position-horizontal-relative:text;mso-position-vertical-relative:text">
            <v:textbox>
              <w:txbxContent>
                <w:p w:rsidR="008661BC" w:rsidRDefault="008661BC" w:rsidP="000A2EA1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286.2pt;margin-top:7.3pt;width:36pt;height:23.9pt;z-index:251662336;mso-position-horizontal-relative:text;mso-position-vertical-relative:text">
            <v:textbox>
              <w:txbxContent>
                <w:p w:rsidR="008661BC" w:rsidRDefault="008661BC" w:rsidP="000A2EA1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211.2pt;margin-top:7.3pt;width:30.75pt;height:23.9pt;z-index:251663360;mso-position-horizontal-relative:text;mso-position-vertical-relative:text">
            <v:textbox>
              <w:txbxContent>
                <w:p w:rsidR="008661BC" w:rsidRDefault="008661BC" w:rsidP="000A2EA1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left:0;text-align:left;margin-left:140.7pt;margin-top:7.3pt;width:27.75pt;height:23.9pt;z-index:251664384;mso-position-horizontal-relative:text;mso-position-vertical-relative:text">
            <v:textbox>
              <w:txbxContent>
                <w:p w:rsidR="008661BC" w:rsidRDefault="008661BC" w:rsidP="000A2EA1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70.2pt;margin-top:7.3pt;width:30pt;height:23.9pt;z-index:251659264;mso-position-horizontal-relative:text;mso-position-vertical-relative:text">
            <v:textbox>
              <w:txbxContent>
                <w:p w:rsidR="008661BC" w:rsidRDefault="008661BC" w:rsidP="000A2EA1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-.3pt;margin-top:7.3pt;width:30pt;height:23.9pt;z-index:251658240;mso-position-horizontal-relative:text;mso-position-vertical-relative:text">
            <v:textbox>
              <w:txbxContent>
                <w:p w:rsidR="008661BC" w:rsidRDefault="008661BC" w:rsidP="000A2EA1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107.7pt;margin-top:11.8pt;width:24pt;height:7.5pt;z-index:25166643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13" style="position:absolute;left:0;text-align:left;margin-left:179.7pt;margin-top:11.8pt;width:24pt;height:7.5pt;z-index:25166745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13" style="position:absolute;left:0;text-align:left;margin-left:250.95pt;margin-top:11.8pt;width:24pt;height:7.5pt;z-index:25166848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13" style="position:absolute;left:0;text-align:left;margin-left:332.7pt;margin-top:11.8pt;width:24pt;height:7.5pt;z-index:25166950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13" style="position:absolute;left:0;text-align:left;margin-left:408.45pt;margin-top:11.8pt;width:24pt;height:7.5pt;z-index:25167052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13" style="position:absolute;left:0;text-align:left;margin-left:38.7pt;margin-top:11.8pt;width:24pt;height:7.5pt;z-index:251665408;mso-position-horizontal-relative:text;mso-position-vertical-relative:text"/>
        </w:pict>
      </w:r>
    </w:p>
    <w:p w:rsidR="005F663F" w:rsidRPr="00E9291A" w:rsidRDefault="005F663F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60"/>
        <w:gridCol w:w="1417"/>
        <w:gridCol w:w="1691"/>
        <w:gridCol w:w="1286"/>
        <w:gridCol w:w="1843"/>
        <w:gridCol w:w="1276"/>
        <w:gridCol w:w="1099"/>
      </w:tblGrid>
      <w:tr w:rsidR="000A2EA1" w:rsidRPr="00E9291A" w:rsidTr="00E9291A">
        <w:tc>
          <w:tcPr>
            <w:tcW w:w="1560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Подготовка товара к требованиям рынка или покупателя</w:t>
            </w:r>
          </w:p>
        </w:tc>
        <w:tc>
          <w:tcPr>
            <w:tcW w:w="1691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Производство товара на экспорт</w:t>
            </w:r>
          </w:p>
        </w:tc>
        <w:tc>
          <w:tcPr>
            <w:tcW w:w="1843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Доставка товара / логистика</w:t>
            </w:r>
          </w:p>
        </w:tc>
        <w:tc>
          <w:tcPr>
            <w:tcW w:w="1099" w:type="dxa"/>
          </w:tcPr>
          <w:p w:rsidR="000A2EA1" w:rsidRPr="00E9291A" w:rsidRDefault="000A2EA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EA1" w:rsidRPr="00E9291A" w:rsidRDefault="000A2EA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24DDD" w:rsidRPr="00E9291A" w:rsidRDefault="00824DDD" w:rsidP="00E9291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824DDD" w:rsidRPr="00E9291A" w:rsidRDefault="00824DDD" w:rsidP="00E9291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9291A" w:rsidRPr="00E9291A" w:rsidRDefault="00E9291A" w:rsidP="00E9291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9291A" w:rsidRPr="00E9291A" w:rsidRDefault="00E9291A" w:rsidP="00E9291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9291A" w:rsidRPr="00E9291A" w:rsidRDefault="00E9291A" w:rsidP="00E9291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9291A" w:rsidRPr="00E9291A" w:rsidRDefault="00E9291A" w:rsidP="00E9291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9291A" w:rsidRPr="00E9291A" w:rsidRDefault="00E9291A" w:rsidP="00E9291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F663F" w:rsidRPr="00E9291A" w:rsidRDefault="00616D24" w:rsidP="00E9291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ВЫБОР РЫНКА И ПОИСК КЛИЕНТОВ</w:t>
      </w:r>
    </w:p>
    <w:p w:rsidR="00991E11" w:rsidRPr="00E9291A" w:rsidRDefault="00991E11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Цель маркетингового исследования при экспорте — определить наиболее привлекательный иностранный рынок и найти потенциального иностранного покупателя. Маркетинговые исследования не всегда могут дать ответы на все интересующие вопросы, и полученная информация может содержать неточности. В то же время маркетинговое исследование является наиболее действенным инструментом, позволяющим принять решение о выходе на тот или иной иностранный рынок и снизить риски до приемлемого уровня. Основные виды маркетинговых исследований — </w:t>
      </w:r>
      <w:proofErr w:type="gramStart"/>
      <w:r w:rsidRPr="00E9291A">
        <w:rPr>
          <w:rFonts w:ascii="Times New Roman" w:hAnsi="Times New Roman" w:cs="Times New Roman"/>
          <w:sz w:val="24"/>
          <w:szCs w:val="24"/>
        </w:rPr>
        <w:t>полевое</w:t>
      </w:r>
      <w:proofErr w:type="gramEnd"/>
      <w:r w:rsidRPr="00E9291A">
        <w:rPr>
          <w:rFonts w:ascii="Times New Roman" w:hAnsi="Times New Roman" w:cs="Times New Roman"/>
          <w:sz w:val="24"/>
          <w:szCs w:val="24"/>
        </w:rPr>
        <w:t xml:space="preserve"> и кабинетное. </w:t>
      </w:r>
    </w:p>
    <w:p w:rsidR="00991E11" w:rsidRPr="00E9291A" w:rsidRDefault="00991E11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Полевое исследование</w:t>
      </w:r>
      <w:r w:rsidRPr="00E929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) — это сбор первичной информации о рынке и потребителях: о текущих условиях продаж конкретного товара на иностранном рынке и его перспективах, о конкурентах (ассортимент, цены, маркетинговая политика), о реакции покупателей на предлагаемые товары или услуги, а также об их отношении к производителям и предпочтениях. Полевое исследование реализуется в реальных рыночных условиях путем наблюдений, обследований, опросов групп респондентов, экспериментов, проводимых специально для решения конкретной маркетинговой задачи. </w:t>
      </w:r>
    </w:p>
    <w:p w:rsidR="00991E11" w:rsidRPr="00E9291A" w:rsidRDefault="00991E11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Кабинетное исследование</w:t>
      </w:r>
      <w:r w:rsidRPr="00E929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desk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) — сбор вторичной информации о рынке из доступных открытых источников: экономических изданий, статистических справочников, отчетов предприятий и т.д. Оно позволяет получить информацию об иностранном рынке: установить его емкость, определить основные тенденции и перспективы развития, провести конкурентный и ценовой анализ, выявить основные каналы сбыта и продвижения продукции. </w:t>
      </w:r>
    </w:p>
    <w:p w:rsidR="00991E11" w:rsidRPr="00E9291A" w:rsidRDefault="00991E1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3686"/>
        <w:gridCol w:w="3934"/>
      </w:tblGrid>
      <w:tr w:rsidR="00991E11" w:rsidRPr="00E9291A" w:rsidTr="00943E6C">
        <w:tc>
          <w:tcPr>
            <w:tcW w:w="2127" w:type="dxa"/>
          </w:tcPr>
          <w:p w:rsidR="00991E11" w:rsidRPr="00E9291A" w:rsidRDefault="00991E1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1E11" w:rsidRPr="00E9291A" w:rsidRDefault="00991E11" w:rsidP="00E9291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Преимущества</w:t>
            </w:r>
          </w:p>
          <w:p w:rsidR="00991E11" w:rsidRPr="00E9291A" w:rsidRDefault="00991E11" w:rsidP="00E9291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4" w:type="dxa"/>
          </w:tcPr>
          <w:p w:rsidR="00991E11" w:rsidRPr="00E9291A" w:rsidRDefault="00991E11" w:rsidP="00E9291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Недостатки</w:t>
            </w:r>
          </w:p>
        </w:tc>
      </w:tr>
      <w:tr w:rsidR="00991E11" w:rsidRPr="00E9291A" w:rsidTr="00943E6C">
        <w:trPr>
          <w:trHeight w:val="1428"/>
        </w:trPr>
        <w:tc>
          <w:tcPr>
            <w:tcW w:w="2127" w:type="dxa"/>
          </w:tcPr>
          <w:p w:rsidR="00991E11" w:rsidRPr="00E9291A" w:rsidRDefault="00991E11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E11" w:rsidRPr="00E9291A" w:rsidRDefault="00991E11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E11" w:rsidRPr="00E9291A" w:rsidRDefault="00991E11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Полевое</w:t>
            </w:r>
          </w:p>
        </w:tc>
        <w:tc>
          <w:tcPr>
            <w:tcW w:w="3686" w:type="dxa"/>
          </w:tcPr>
          <w:p w:rsidR="00991E11" w:rsidRPr="00E9291A" w:rsidRDefault="00991E11" w:rsidP="00A21B1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• Позволяет получить точную информацию</w:t>
            </w:r>
          </w:p>
          <w:p w:rsidR="00991E11" w:rsidRPr="00E9291A" w:rsidRDefault="00991E11" w:rsidP="00A21B1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 •Привлекаются профессиональные специалисты</w:t>
            </w:r>
          </w:p>
        </w:tc>
        <w:tc>
          <w:tcPr>
            <w:tcW w:w="3934" w:type="dxa"/>
          </w:tcPr>
          <w:p w:rsidR="00991E11" w:rsidRPr="00E9291A" w:rsidRDefault="00991E11" w:rsidP="00A21B1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• Требует много времени </w:t>
            </w:r>
          </w:p>
          <w:p w:rsidR="00991E11" w:rsidRPr="00E9291A" w:rsidRDefault="00991E11" w:rsidP="00A21B1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• Более дорогостоящее</w:t>
            </w:r>
          </w:p>
        </w:tc>
      </w:tr>
      <w:tr w:rsidR="00991E11" w:rsidRPr="00E9291A" w:rsidTr="00943E6C">
        <w:tc>
          <w:tcPr>
            <w:tcW w:w="2127" w:type="dxa"/>
          </w:tcPr>
          <w:p w:rsidR="00991E11" w:rsidRPr="00E9291A" w:rsidRDefault="00991E1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E11" w:rsidRPr="00E9291A" w:rsidRDefault="00991E11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Кабинетное</w:t>
            </w:r>
          </w:p>
        </w:tc>
        <w:tc>
          <w:tcPr>
            <w:tcW w:w="3686" w:type="dxa"/>
          </w:tcPr>
          <w:p w:rsidR="00991E11" w:rsidRPr="00E9291A" w:rsidRDefault="00991E11" w:rsidP="00A21B1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• Может быть бесплатным</w:t>
            </w:r>
          </w:p>
          <w:p w:rsidR="00991E11" w:rsidRPr="00E9291A" w:rsidRDefault="00991E11" w:rsidP="00A21B1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• Много источников информации</w:t>
            </w:r>
          </w:p>
          <w:p w:rsidR="00991E11" w:rsidRPr="00E9291A" w:rsidRDefault="00991E11" w:rsidP="00A21B1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• Возможность провести собственными силами</w:t>
            </w:r>
          </w:p>
        </w:tc>
        <w:tc>
          <w:tcPr>
            <w:tcW w:w="3934" w:type="dxa"/>
          </w:tcPr>
          <w:p w:rsidR="00991E11" w:rsidRPr="00E9291A" w:rsidRDefault="00991E11" w:rsidP="00A21B1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• Не дает полную картину о состоянии рынка </w:t>
            </w:r>
          </w:p>
          <w:p w:rsidR="00991E11" w:rsidRPr="00E9291A" w:rsidRDefault="00991E11" w:rsidP="00A21B1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• Иногда требует уточнения полученной информации из-за ее многообразия</w:t>
            </w:r>
          </w:p>
          <w:p w:rsidR="00991E11" w:rsidRPr="00E9291A" w:rsidRDefault="00991E11" w:rsidP="00A21B1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E11" w:rsidRPr="00E9291A" w:rsidRDefault="00991E1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При выборе одной или нескольких стран начинающему экспортеру следует самостоятельно провести кабинетное исследование. Целесообразно начать кабинетное исследование по следующим направлениям: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lastRenderedPageBreak/>
        <w:t xml:space="preserve">A. Географическое расположение региона / расположение компании-экспортера по отношению к другим странам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Б. Заинтересованность отдельных стран в экономическом сотрудничестве с Россией в целом и с конкретным регионом страны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В. Изучение потенциального рынка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При выборе страны для экспорта по географическому принципу важно ответить на следующие вопросы: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какие страны расположены к моему региону ближе всего;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какие у моего региона есть ограничения, уникальные преимущества, транспортные и прочие возможности для экспорта;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какими специфическими особенностями обладает мой товар для транспортировки?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Источники информации по ВЭД бывают открытые и закрытые, русскоязычные и англоязычные, бесплатные и платные. Открытые бесплатные источники на русском языке, которыми любой начинающий экспортер может воспользоваться при проведении кабинетного исследования следующие: </w:t>
      </w:r>
    </w:p>
    <w:p w:rsidR="00883480" w:rsidRPr="00E9291A" w:rsidRDefault="00CA0B78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83480" w:rsidRPr="00E929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83480" w:rsidRPr="00E9291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83480" w:rsidRPr="00E929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ved</w:t>
        </w:r>
        <w:proofErr w:type="spellEnd"/>
        <w:r w:rsidR="00883480" w:rsidRPr="00E9291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83480" w:rsidRPr="00E929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883480" w:rsidRPr="00E9291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83480" w:rsidRPr="00E929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83480" w:rsidRPr="00E9291A">
        <w:rPr>
          <w:rFonts w:ascii="Times New Roman" w:hAnsi="Times New Roman" w:cs="Times New Roman"/>
          <w:sz w:val="24"/>
          <w:szCs w:val="24"/>
        </w:rPr>
        <w:t xml:space="preserve"> Единый портал внешнеэкономической информации Министерства экономическог</w:t>
      </w:r>
      <w:r w:rsidR="00860115" w:rsidRPr="00E9291A">
        <w:rPr>
          <w:rFonts w:ascii="Times New Roman" w:hAnsi="Times New Roman" w:cs="Times New Roman"/>
          <w:sz w:val="24"/>
          <w:szCs w:val="24"/>
        </w:rPr>
        <w:t xml:space="preserve">о развития Российской Федерации, </w:t>
      </w:r>
      <w:r w:rsidR="00883480" w:rsidRPr="00E9291A">
        <w:rPr>
          <w:rFonts w:ascii="Times New Roman" w:hAnsi="Times New Roman" w:cs="Times New Roman"/>
          <w:sz w:val="24"/>
          <w:szCs w:val="24"/>
        </w:rPr>
        <w:t xml:space="preserve">наиболее полный официальный государственный источник информации для экспортеров содержит: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информацию о госрегулировании ВЭД;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формы господдержки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экспортно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ориентированных компаний;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аналитику по странам;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путеводители для бизнеса по странам;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обзоры экономики стран пребывания торговых представительств РФ в иностранных государствах;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информацию о международных тендерах;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информацию о коммерческих запросах;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информацию об основных международных выставках. </w:t>
      </w:r>
    </w:p>
    <w:p w:rsidR="00860115" w:rsidRPr="00E9291A" w:rsidRDefault="00CA0B78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83480" w:rsidRPr="00E929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83480" w:rsidRPr="00E9291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83480" w:rsidRPr="00E929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customs</w:t>
        </w:r>
        <w:r w:rsidR="00883480" w:rsidRPr="00E9291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83480" w:rsidRPr="00E929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83480" w:rsidRPr="00E9291A">
        <w:rPr>
          <w:rFonts w:ascii="Times New Roman" w:hAnsi="Times New Roman" w:cs="Times New Roman"/>
          <w:sz w:val="24"/>
          <w:szCs w:val="24"/>
        </w:rPr>
        <w:t xml:space="preserve"> Сайт Федеральной таможенной службы Российской Федерации содержит: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статистическую информацию по внешней торговле;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перечень таможенных органов, их контакты;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реестры таможенных брокеров и перевозчиков; </w:t>
      </w:r>
    </w:p>
    <w:p w:rsidR="009A57F7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статистику об экспорте в натуральном и стоимостном выражении по товарным позициям ТН ВЭД ЕАЭС и другим странам. </w:t>
      </w:r>
    </w:p>
    <w:p w:rsidR="009A57F7" w:rsidRPr="00E9291A" w:rsidRDefault="00CA0B78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A57F7" w:rsidRPr="00E929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A57F7" w:rsidRPr="00E9291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A57F7" w:rsidRPr="00E929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gks</w:t>
        </w:r>
        <w:proofErr w:type="spellEnd"/>
        <w:r w:rsidR="009A57F7" w:rsidRPr="00E9291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A57F7" w:rsidRPr="00E929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A57F7"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="00883480" w:rsidRPr="00E9291A">
        <w:rPr>
          <w:rFonts w:ascii="Times New Roman" w:hAnsi="Times New Roman" w:cs="Times New Roman"/>
          <w:sz w:val="24"/>
          <w:szCs w:val="24"/>
        </w:rPr>
        <w:t xml:space="preserve">Единый интернет-портал Федеральной службы государственной статистики содержит: </w:t>
      </w:r>
    </w:p>
    <w:p w:rsidR="009A57F7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статистику внешней торговли; </w:t>
      </w:r>
    </w:p>
    <w:p w:rsidR="009A57F7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центральную базу статистических данных (ЦБСД); </w:t>
      </w:r>
    </w:p>
    <w:p w:rsidR="00883480" w:rsidRPr="00E9291A" w:rsidRDefault="00883480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— единую межведомственную информационно-статистическую систему (ЕМИСС).</w:t>
      </w:r>
    </w:p>
    <w:p w:rsidR="009A57F7" w:rsidRPr="00E9291A" w:rsidRDefault="009A57F7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33268" w:rsidRDefault="00233268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33268" w:rsidRDefault="00233268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33268" w:rsidRDefault="00233268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A57F7" w:rsidRPr="00E9291A" w:rsidRDefault="00616D24" w:rsidP="002332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ИНСТИТУТЫ ФИНАНСОВОЙ И НЕФИНАНСОВОЙ ПОДДЕРЖКИ ЭКПОРТЕРОВ</w:t>
      </w:r>
    </w:p>
    <w:tbl>
      <w:tblPr>
        <w:tblStyle w:val="a3"/>
        <w:tblW w:w="4884" w:type="pct"/>
        <w:tblLook w:val="04A0"/>
      </w:tblPr>
      <w:tblGrid>
        <w:gridCol w:w="3676"/>
        <w:gridCol w:w="2741"/>
        <w:gridCol w:w="2932"/>
      </w:tblGrid>
      <w:tr w:rsidR="00CC60C1" w:rsidRPr="00E9291A" w:rsidTr="00233268">
        <w:tc>
          <w:tcPr>
            <w:tcW w:w="1966" w:type="pct"/>
          </w:tcPr>
          <w:p w:rsidR="00CC60C1" w:rsidRPr="00E9291A" w:rsidRDefault="00CC60C1" w:rsidP="00233268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источник</w:t>
            </w:r>
          </w:p>
        </w:tc>
        <w:tc>
          <w:tcPr>
            <w:tcW w:w="1466" w:type="pct"/>
          </w:tcPr>
          <w:p w:rsidR="00CC60C1" w:rsidRPr="00E9291A" w:rsidRDefault="00CC60C1" w:rsidP="00233268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Российский источник</w:t>
            </w:r>
          </w:p>
        </w:tc>
        <w:tc>
          <w:tcPr>
            <w:tcW w:w="1568" w:type="pct"/>
          </w:tcPr>
          <w:p w:rsidR="00CC60C1" w:rsidRPr="00E9291A" w:rsidRDefault="00CC60C1" w:rsidP="00233268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источник</w:t>
            </w:r>
          </w:p>
        </w:tc>
      </w:tr>
      <w:tr w:rsidR="00CC60C1" w:rsidRPr="00E9291A" w:rsidTr="00233268">
        <w:tc>
          <w:tcPr>
            <w:tcW w:w="1966" w:type="pct"/>
          </w:tcPr>
          <w:p w:rsidR="00CC60C1" w:rsidRDefault="00CA0B78" w:rsidP="0023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33268" w:rsidRPr="000C64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https://investyakutia.com/pages/193</w:t>
              </w:r>
            </w:hyperlink>
          </w:p>
          <w:p w:rsidR="00CC60C1" w:rsidRPr="00E9291A" w:rsidRDefault="00CC60C1" w:rsidP="0023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Центр поддержки экспорта Республики Саха (Якутия) при ГБУ «Агентство по привлечению инвестиций и поддержки экспорта Республики Саха (Якутия)»,  руководствуется приказом Министерства экономического развития Российской Федерации от 14.02.2018 г. №67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</w:t>
            </w:r>
            <w:proofErr w:type="gram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предпринимательства, и требований к организациям, образующим инфраструктуру поддержки субъектов малого и среднего предпринимательства».</w:t>
            </w:r>
          </w:p>
        </w:tc>
        <w:tc>
          <w:tcPr>
            <w:tcW w:w="1466" w:type="pct"/>
          </w:tcPr>
          <w:p w:rsidR="00233268" w:rsidRDefault="00CA0B78" w:rsidP="00233268">
            <w:pPr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33268" w:rsidRPr="000C64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www.exportcenter.ru</w:t>
              </w:r>
            </w:hyperlink>
            <w:r w:rsidR="00CC60C1"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0C1" w:rsidRPr="00E9291A" w:rsidRDefault="00CC60C1" w:rsidP="0023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 (РЭЦ)</w:t>
            </w:r>
          </w:p>
        </w:tc>
        <w:tc>
          <w:tcPr>
            <w:tcW w:w="1568" w:type="pct"/>
          </w:tcPr>
          <w:p w:rsidR="00233268" w:rsidRDefault="00CA0B78" w:rsidP="0023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33268" w:rsidRPr="000C64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https://www.berneunion.org</w:t>
              </w:r>
            </w:hyperlink>
          </w:p>
          <w:p w:rsidR="00CC60C1" w:rsidRPr="00E9291A" w:rsidRDefault="00CC60C1" w:rsidP="0023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Бернский союз страховщиков, в который входят представители 39 международ</w:t>
            </w:r>
            <w:r w:rsidR="00233268">
              <w:rPr>
                <w:rFonts w:ascii="Times New Roman" w:hAnsi="Times New Roman" w:cs="Times New Roman"/>
                <w:sz w:val="24"/>
                <w:szCs w:val="24"/>
              </w:rPr>
              <w:t>ных кредитно-страховых агентств, м</w:t>
            </w: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еждународные организации и объединения предпринимателей</w:t>
            </w:r>
          </w:p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C1" w:rsidRPr="00E9291A" w:rsidTr="00233268">
        <w:tc>
          <w:tcPr>
            <w:tcW w:w="1966" w:type="pct"/>
          </w:tcPr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233268" w:rsidRDefault="00CA0B78" w:rsidP="00233268">
            <w:pPr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33268" w:rsidRPr="000C64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https://www.exiar.ru</w:t>
              </w:r>
            </w:hyperlink>
          </w:p>
          <w:p w:rsidR="00CC60C1" w:rsidRPr="00E9291A" w:rsidRDefault="00233268" w:rsidP="00233268">
            <w:pPr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60C1" w:rsidRPr="00E9291A">
              <w:rPr>
                <w:rFonts w:ascii="Times New Roman" w:hAnsi="Times New Roman" w:cs="Times New Roman"/>
                <w:sz w:val="24"/>
                <w:szCs w:val="24"/>
              </w:rPr>
              <w:t>оссийское агентство по страхованию экспортных кредитов и инвестиций (ЭКСАР)</w:t>
            </w:r>
          </w:p>
        </w:tc>
        <w:tc>
          <w:tcPr>
            <w:tcW w:w="1568" w:type="pct"/>
          </w:tcPr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C1" w:rsidRPr="00E9291A" w:rsidTr="00233268">
        <w:tc>
          <w:tcPr>
            <w:tcW w:w="1966" w:type="pct"/>
          </w:tcPr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233268" w:rsidRDefault="00CA0B78" w:rsidP="00233268">
            <w:pPr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33268" w:rsidRPr="000C64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http://www.eximbank.ru</w:t>
              </w:r>
            </w:hyperlink>
            <w:r w:rsidR="00233268" w:rsidRPr="0023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0C1" w:rsidRPr="00E9291A" w:rsidRDefault="00CC60C1" w:rsidP="00233268">
            <w:pPr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Государственный специализированный Российский экспортно-импортный банк (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Росэксимбанк</w:t>
            </w:r>
            <w:proofErr w:type="spell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8" w:type="pct"/>
          </w:tcPr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C1" w:rsidRPr="00E9291A" w:rsidTr="00233268">
        <w:tc>
          <w:tcPr>
            <w:tcW w:w="1966" w:type="pct"/>
          </w:tcPr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:rsidR="00CC60C1" w:rsidRPr="00E9291A" w:rsidRDefault="00CC60C1" w:rsidP="00233268">
            <w:pPr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представительства Российской Федерации в иностранных государствах </w:t>
            </w:r>
          </w:p>
        </w:tc>
        <w:tc>
          <w:tcPr>
            <w:tcW w:w="1568" w:type="pct"/>
          </w:tcPr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7F7" w:rsidRPr="00E9291A" w:rsidRDefault="009A57F7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33268" w:rsidRDefault="00233268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A57F7" w:rsidRPr="00E9291A" w:rsidRDefault="00616D24" w:rsidP="002332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НЕОБХОДИМОСТЬ ПРОВЕРКИ ПОКУПАТЕЛЯ И СПОСОБЫ ПРОВЕРКИ</w:t>
      </w:r>
    </w:p>
    <w:p w:rsidR="00E54502" w:rsidRPr="00E9291A" w:rsidRDefault="009A57F7" w:rsidP="0023326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Проверять покупателей целесообразно всегда, действует ли экспортер самостоятельно или через посредников. Это сильно повысит вероятность того, что удастся дойти до последнего этапа проекта «Получение валютных платежей» с выгодой для своей компании. Необходимо обязательно удостовериться, что компания контрагента реальная и ее представитель имеет право подписывать контракты. Проверить контрагента можно несколькими способами: </w:t>
      </w:r>
    </w:p>
    <w:p w:rsidR="00E54502" w:rsidRPr="00E9291A" w:rsidRDefault="009A57F7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прибегнуть к российскому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онлайн-сервису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>;</w:t>
      </w:r>
    </w:p>
    <w:p w:rsidR="00E54502" w:rsidRPr="00E9291A" w:rsidRDefault="009A57F7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 — обратиться к торговому реестру соответствующей страны; </w:t>
      </w:r>
    </w:p>
    <w:p w:rsidR="00E54502" w:rsidRPr="00E9291A" w:rsidRDefault="009A57F7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заказать отчет о компании в международном кредитно-рейтинговом агентстве. </w:t>
      </w:r>
    </w:p>
    <w:p w:rsidR="00727681" w:rsidRPr="00E9291A" w:rsidRDefault="009A57F7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Российские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онлайн-сервисы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www.egrul.ru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или www.kontragenta.net. С их помощью в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онлайн-режиме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можно запрашивать информацию и документы компаний в более чем 150 странах мира. По полноте и актуальности сведения будут такими же, как при прямом обращении в торговый реестр другого государства, т.к. данный сервис напрямую связан с соответствующими реестрами. Получить базовую информацию о зарубежной фирме можно бесплатно. В частности, можно проверить, существует ли компания, ее адрес регистрации и т.д. Анализ торгового реестра (этот способ проверки рекомендуют многие практикующие экспортеры). В каждой стране есть свой реестр, куда вносятся данные о юридических лицах, подобно </w:t>
      </w:r>
      <w:proofErr w:type="gramStart"/>
      <w:r w:rsidRPr="00E9291A">
        <w:rPr>
          <w:rFonts w:ascii="Times New Roman" w:hAnsi="Times New Roman" w:cs="Times New Roman"/>
          <w:sz w:val="24"/>
          <w:szCs w:val="24"/>
        </w:rPr>
        <w:t>российскому</w:t>
      </w:r>
      <w:proofErr w:type="gramEnd"/>
      <w:r w:rsidRPr="00E9291A">
        <w:rPr>
          <w:rFonts w:ascii="Times New Roman" w:hAnsi="Times New Roman" w:cs="Times New Roman"/>
          <w:sz w:val="24"/>
          <w:szCs w:val="24"/>
        </w:rPr>
        <w:t xml:space="preserve"> ЕГРЮЛ. </w:t>
      </w:r>
    </w:p>
    <w:p w:rsidR="009A57F7" w:rsidRPr="00E9291A" w:rsidRDefault="009A57F7" w:rsidP="00E9291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В большинстве случаев информацию можно получить из первоисточника, заплатив за это пошлину. Ее размер и способы оплаты в каждой стране свои. Корпоративные реестры других государств: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Handelsregister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(Германия),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Krajowy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Rejestr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Sądowy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(Польша). Третий вариант проверки — отправить запрос в международное кредитно-рейтинговое агентство, то есть заказать комплексный отчет. Например, это может быть агентство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Dun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Bradstreet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. В этом случае будет получено меньше сведений, чем из торгового реестра, и только те, которые являются необходимыми для оценки кредитной и экономической состоятельности </w:t>
      </w:r>
      <w:proofErr w:type="gramStart"/>
      <w:r w:rsidRPr="00E9291A">
        <w:rPr>
          <w:rFonts w:ascii="Times New Roman" w:hAnsi="Times New Roman" w:cs="Times New Roman"/>
          <w:sz w:val="24"/>
          <w:szCs w:val="24"/>
        </w:rPr>
        <w:t>компании</w:t>
      </w:r>
      <w:proofErr w:type="gramEnd"/>
      <w:r w:rsidRPr="00E9291A">
        <w:rPr>
          <w:rFonts w:ascii="Times New Roman" w:hAnsi="Times New Roman" w:cs="Times New Roman"/>
          <w:sz w:val="24"/>
          <w:szCs w:val="24"/>
        </w:rPr>
        <w:t xml:space="preserve"> по мнению рейтинговой компании.</w:t>
      </w:r>
    </w:p>
    <w:p w:rsidR="009A57F7" w:rsidRPr="00E9291A" w:rsidRDefault="009A57F7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27681" w:rsidRPr="00E9291A" w:rsidRDefault="00727681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27681" w:rsidRPr="00E9291A" w:rsidRDefault="00727681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4B47" w:rsidRPr="00E9291A" w:rsidRDefault="00834B47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B2D49" w:rsidRPr="00E9291A" w:rsidRDefault="007B2D49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B2D49" w:rsidRPr="00E9291A" w:rsidRDefault="007B2D49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B2D49" w:rsidRPr="00E9291A" w:rsidRDefault="007B2D49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B2D49" w:rsidRPr="00E9291A" w:rsidRDefault="007B2D49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46434" w:rsidRDefault="00746434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46434" w:rsidRDefault="00746434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A57F7" w:rsidRPr="00E9291A" w:rsidRDefault="00616D24" w:rsidP="0074643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ПОДГОТОВКА ПРОДУКТА К ТРЕБОВАНИЯМ РЫНКА И ПОКУПАТЕЛЯ</w:t>
      </w:r>
    </w:p>
    <w:p w:rsidR="003A0757" w:rsidRPr="00E9291A" w:rsidRDefault="00EB45C3" w:rsidP="0074643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Разрешительные документы для экспорта (вывоза) соблюдение ограничений </w:t>
      </w:r>
    </w:p>
    <w:p w:rsidR="00023CDC" w:rsidRPr="00E9291A" w:rsidRDefault="00023CDC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2550"/>
        <w:gridCol w:w="2393"/>
        <w:gridCol w:w="18"/>
        <w:gridCol w:w="2375"/>
      </w:tblGrid>
      <w:tr w:rsidR="00023CDC" w:rsidRPr="00E9291A" w:rsidTr="00616D24">
        <w:trPr>
          <w:trHeight w:val="255"/>
        </w:trPr>
        <w:tc>
          <w:tcPr>
            <w:tcW w:w="9571" w:type="dxa"/>
            <w:gridSpan w:val="5"/>
          </w:tcPr>
          <w:p w:rsidR="00023CDC" w:rsidRPr="00E9291A" w:rsidRDefault="00023CDC" w:rsidP="00746434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Нетарифные меры</w:t>
            </w:r>
          </w:p>
        </w:tc>
      </w:tr>
      <w:tr w:rsidR="00023CDC" w:rsidRPr="00E9291A" w:rsidTr="00616D24">
        <w:trPr>
          <w:trHeight w:val="315"/>
        </w:trPr>
        <w:tc>
          <w:tcPr>
            <w:tcW w:w="2235" w:type="dxa"/>
          </w:tcPr>
          <w:p w:rsidR="00023CDC" w:rsidRPr="00E9291A" w:rsidRDefault="00023CDC" w:rsidP="0061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Минпромторг</w:t>
            </w:r>
            <w:proofErr w:type="spellEnd"/>
          </w:p>
        </w:tc>
        <w:tc>
          <w:tcPr>
            <w:tcW w:w="2550" w:type="dxa"/>
          </w:tcPr>
          <w:p w:rsidR="00023CDC" w:rsidRPr="00E9291A" w:rsidRDefault="00CA0B7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13" style="position:absolute;left:0;text-align:left;margin-left:58.6pt;margin-top:4.3pt;width:130.5pt;height:9pt;z-index:251671552;mso-position-horizontal-relative:text;mso-position-vertical-relative:text"/>
              </w:pict>
            </w:r>
          </w:p>
        </w:tc>
        <w:tc>
          <w:tcPr>
            <w:tcW w:w="2393" w:type="dxa"/>
          </w:tcPr>
          <w:p w:rsidR="00023CDC" w:rsidRPr="00E9291A" w:rsidRDefault="00023CD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023CDC" w:rsidRPr="00E9291A" w:rsidRDefault="00023CDC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</w:tr>
      <w:tr w:rsidR="00023CDC" w:rsidRPr="00E9291A" w:rsidTr="00616D24">
        <w:tc>
          <w:tcPr>
            <w:tcW w:w="2235" w:type="dxa"/>
          </w:tcPr>
          <w:p w:rsidR="00023CDC" w:rsidRPr="00E9291A" w:rsidRDefault="00023CDC" w:rsidP="0061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ФОИВы</w:t>
            </w:r>
            <w:proofErr w:type="spellEnd"/>
          </w:p>
        </w:tc>
        <w:tc>
          <w:tcPr>
            <w:tcW w:w="2550" w:type="dxa"/>
          </w:tcPr>
          <w:p w:rsidR="00023CDC" w:rsidRPr="00E9291A" w:rsidRDefault="00CA0B7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13" style="position:absolute;left:0;text-align:left;margin-left:58.6pt;margin-top:9.05pt;width:130.5pt;height:9pt;z-index:251672576;mso-position-horizontal-relative:text;mso-position-vertical-relative:text"/>
              </w:pict>
            </w:r>
          </w:p>
        </w:tc>
        <w:tc>
          <w:tcPr>
            <w:tcW w:w="2393" w:type="dxa"/>
          </w:tcPr>
          <w:p w:rsidR="00023CDC" w:rsidRPr="00E9291A" w:rsidRDefault="00023CD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023CDC" w:rsidRPr="00E9291A" w:rsidRDefault="00023CDC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Заключение / Разрешение</w:t>
            </w:r>
          </w:p>
        </w:tc>
      </w:tr>
      <w:tr w:rsidR="00023CDC" w:rsidRPr="00E9291A" w:rsidTr="00616D24">
        <w:tc>
          <w:tcPr>
            <w:tcW w:w="9571" w:type="dxa"/>
            <w:gridSpan w:val="5"/>
          </w:tcPr>
          <w:p w:rsidR="00023CDC" w:rsidRPr="00E9291A" w:rsidRDefault="00023CDC" w:rsidP="0074643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Меры экспортного контроля</w:t>
            </w: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 (в т.ч. в отношении продукции военного назначения)</w:t>
            </w:r>
          </w:p>
        </w:tc>
      </w:tr>
      <w:tr w:rsidR="00023CDC" w:rsidRPr="00E9291A" w:rsidTr="00616D24">
        <w:tc>
          <w:tcPr>
            <w:tcW w:w="2235" w:type="dxa"/>
          </w:tcPr>
          <w:p w:rsidR="00023CDC" w:rsidRPr="00E9291A" w:rsidRDefault="00023CDC" w:rsidP="0061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ФСТЭК</w:t>
            </w:r>
          </w:p>
        </w:tc>
        <w:tc>
          <w:tcPr>
            <w:tcW w:w="2550" w:type="dxa"/>
          </w:tcPr>
          <w:p w:rsidR="00023CDC" w:rsidRPr="00E9291A" w:rsidRDefault="00CA0B7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13" style="position:absolute;left:0;text-align:left;margin-left:58.6pt;margin-top:.75pt;width:130.5pt;height:9pt;z-index:251673600;mso-position-horizontal-relative:text;mso-position-vertical-relative:text"/>
              </w:pict>
            </w:r>
          </w:p>
        </w:tc>
        <w:tc>
          <w:tcPr>
            <w:tcW w:w="2393" w:type="dxa"/>
          </w:tcPr>
          <w:p w:rsidR="00023CDC" w:rsidRPr="00E9291A" w:rsidRDefault="00023CD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023CDC" w:rsidRPr="00E9291A" w:rsidRDefault="00B528D2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</w:tr>
      <w:tr w:rsidR="00023CDC" w:rsidRPr="00E9291A" w:rsidTr="00616D24">
        <w:tc>
          <w:tcPr>
            <w:tcW w:w="2235" w:type="dxa"/>
          </w:tcPr>
          <w:p w:rsidR="00023CDC" w:rsidRPr="00E9291A" w:rsidRDefault="00023CDC" w:rsidP="0061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ФСВТС</w:t>
            </w:r>
          </w:p>
        </w:tc>
        <w:tc>
          <w:tcPr>
            <w:tcW w:w="2550" w:type="dxa"/>
          </w:tcPr>
          <w:p w:rsidR="00023CDC" w:rsidRPr="00E9291A" w:rsidRDefault="00CA0B7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13" style="position:absolute;left:0;text-align:left;margin-left:58.6pt;margin-top:1.1pt;width:130.5pt;height:9pt;z-index:251674624;mso-position-horizontal-relative:text;mso-position-vertical-relative:text"/>
              </w:pict>
            </w:r>
          </w:p>
        </w:tc>
        <w:tc>
          <w:tcPr>
            <w:tcW w:w="2393" w:type="dxa"/>
          </w:tcPr>
          <w:p w:rsidR="00023CDC" w:rsidRPr="00E9291A" w:rsidRDefault="00023CD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023CDC" w:rsidRPr="00E9291A" w:rsidRDefault="00B528D2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</w:tr>
      <w:tr w:rsidR="00B528D2" w:rsidRPr="00E9291A" w:rsidTr="00616D24">
        <w:tc>
          <w:tcPr>
            <w:tcW w:w="9571" w:type="dxa"/>
            <w:gridSpan w:val="5"/>
          </w:tcPr>
          <w:p w:rsidR="00B528D2" w:rsidRPr="00E9291A" w:rsidRDefault="00B528D2" w:rsidP="00746434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Меры технического регулирования</w:t>
            </w:r>
          </w:p>
        </w:tc>
      </w:tr>
      <w:tr w:rsidR="00B528D2" w:rsidRPr="00E9291A" w:rsidTr="00616D24">
        <w:trPr>
          <w:trHeight w:val="1012"/>
        </w:trPr>
        <w:tc>
          <w:tcPr>
            <w:tcW w:w="2235" w:type="dxa"/>
            <w:vMerge w:val="restart"/>
          </w:tcPr>
          <w:p w:rsidR="00B528D2" w:rsidRPr="00E9291A" w:rsidRDefault="00B528D2" w:rsidP="00E9291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28D2" w:rsidRPr="00E9291A" w:rsidRDefault="00B528D2" w:rsidP="00E9291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28D2" w:rsidRPr="00E9291A" w:rsidRDefault="00B528D2" w:rsidP="00E9291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28D2" w:rsidRPr="00E9291A" w:rsidRDefault="00B528D2" w:rsidP="0061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Росстандарт</w:t>
            </w:r>
            <w:proofErr w:type="spellEnd"/>
          </w:p>
        </w:tc>
        <w:tc>
          <w:tcPr>
            <w:tcW w:w="2550" w:type="dxa"/>
            <w:vMerge w:val="restart"/>
          </w:tcPr>
          <w:p w:rsidR="00B528D2" w:rsidRPr="00E9291A" w:rsidRDefault="00B528D2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Аккредитованные (аттестованные) лаборатории в национальных системах аккредитации (аттестации) в странах/ в регионах экспорта</w:t>
            </w:r>
          </w:p>
        </w:tc>
        <w:tc>
          <w:tcPr>
            <w:tcW w:w="2411" w:type="dxa"/>
            <w:gridSpan w:val="2"/>
            <w:vMerge w:val="restart"/>
          </w:tcPr>
          <w:p w:rsidR="00B528D2" w:rsidRPr="00E9291A" w:rsidRDefault="00B528D2" w:rsidP="00616D24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</w:t>
            </w:r>
          </w:p>
        </w:tc>
        <w:tc>
          <w:tcPr>
            <w:tcW w:w="2375" w:type="dxa"/>
          </w:tcPr>
          <w:p w:rsidR="00B528D2" w:rsidRPr="00E9291A" w:rsidRDefault="00CA0B78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13" style="position:absolute;left:0;text-align:left;margin-left:2.15pt;margin-top:9.25pt;width:23.25pt;height:16.5pt;z-index:251681792;mso-position-horizontal-relative:text;mso-position-vertical-relative:text"/>
              </w:pict>
            </w:r>
            <w:r w:rsidR="00B528D2" w:rsidRPr="00E9291A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</w:tr>
      <w:tr w:rsidR="002A04A5" w:rsidRPr="00E9291A" w:rsidTr="00616D24">
        <w:trPr>
          <w:trHeight w:val="1126"/>
        </w:trPr>
        <w:tc>
          <w:tcPr>
            <w:tcW w:w="2235" w:type="dxa"/>
            <w:vMerge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A04A5" w:rsidRPr="00E9291A" w:rsidRDefault="00CA0B78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13" style="position:absolute;left:0;text-align:left;margin-left:2.15pt;margin-top:6.9pt;width:23.25pt;height:16.5pt;z-index:251678720;mso-position-horizontal-relative:text;mso-position-vertical-relative:text"/>
              </w:pict>
            </w:r>
            <w:r w:rsidR="002A04A5" w:rsidRPr="00E9291A">
              <w:rPr>
                <w:rFonts w:ascii="Times New Roman" w:hAnsi="Times New Roman" w:cs="Times New Roman"/>
                <w:sz w:val="24"/>
                <w:szCs w:val="24"/>
              </w:rPr>
              <w:t>Декларация соответствия</w:t>
            </w:r>
          </w:p>
        </w:tc>
      </w:tr>
      <w:tr w:rsidR="00B528D2" w:rsidRPr="00E9291A" w:rsidTr="00616D24">
        <w:tc>
          <w:tcPr>
            <w:tcW w:w="9571" w:type="dxa"/>
            <w:gridSpan w:val="5"/>
          </w:tcPr>
          <w:p w:rsidR="00B528D2" w:rsidRPr="00E9291A" w:rsidRDefault="00B528D2" w:rsidP="00E9291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Санитарно-эпидемиологические требования</w:t>
            </w:r>
          </w:p>
        </w:tc>
      </w:tr>
      <w:tr w:rsidR="00651258" w:rsidRPr="00E9291A" w:rsidTr="00616D24">
        <w:trPr>
          <w:trHeight w:val="645"/>
        </w:trPr>
        <w:tc>
          <w:tcPr>
            <w:tcW w:w="2235" w:type="dxa"/>
            <w:vMerge w:val="restart"/>
          </w:tcPr>
          <w:p w:rsidR="00651258" w:rsidRPr="00E9291A" w:rsidRDefault="00651258" w:rsidP="0061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58" w:rsidRPr="00E9291A" w:rsidRDefault="00651258" w:rsidP="0061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58" w:rsidRPr="00E9291A" w:rsidRDefault="00651258" w:rsidP="0061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2550" w:type="dxa"/>
            <w:vMerge w:val="restart"/>
          </w:tcPr>
          <w:p w:rsidR="00651258" w:rsidRPr="00E9291A" w:rsidRDefault="0065125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58" w:rsidRPr="00E9291A" w:rsidRDefault="0065125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Аккредитованные (аттестованные) лаборатории в национальных системах аккредитации (аттестации) в странах/ в регионах экспорта</w:t>
            </w:r>
          </w:p>
        </w:tc>
        <w:tc>
          <w:tcPr>
            <w:tcW w:w="2393" w:type="dxa"/>
            <w:vMerge w:val="restart"/>
          </w:tcPr>
          <w:p w:rsidR="00651258" w:rsidRPr="00E9291A" w:rsidRDefault="0065125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58" w:rsidRPr="00E9291A" w:rsidRDefault="0065125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Аккредитованные органы по сертификации / нотифицированные органы</w:t>
            </w:r>
          </w:p>
        </w:tc>
        <w:tc>
          <w:tcPr>
            <w:tcW w:w="2393" w:type="dxa"/>
            <w:gridSpan w:val="2"/>
          </w:tcPr>
          <w:p w:rsidR="00651258" w:rsidRPr="00E9291A" w:rsidRDefault="00CA0B78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13" style="position:absolute;left:0;text-align:left;margin-left:-1.45pt;margin-top:8.15pt;width:23.25pt;height:16.5pt;z-index:251680768;mso-position-horizontal-relative:text;mso-position-vertical-relative:text"/>
              </w:pict>
            </w:r>
            <w:r w:rsidR="00651258" w:rsidRPr="00E9291A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</w:tr>
      <w:tr w:rsidR="00651258" w:rsidRPr="00E9291A" w:rsidTr="00616D24">
        <w:trPr>
          <w:trHeight w:val="690"/>
        </w:trPr>
        <w:tc>
          <w:tcPr>
            <w:tcW w:w="2235" w:type="dxa"/>
            <w:vMerge/>
          </w:tcPr>
          <w:p w:rsidR="00651258" w:rsidRPr="00E9291A" w:rsidRDefault="00651258" w:rsidP="0061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651258" w:rsidRPr="00E9291A" w:rsidRDefault="0065125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51258" w:rsidRPr="00E9291A" w:rsidRDefault="0065125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51258" w:rsidRPr="00E9291A" w:rsidRDefault="00CA0B78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13" style="position:absolute;left:0;text-align:left;margin-left:-1.45pt;margin-top:11.75pt;width:23.25pt;height:16.5pt;z-index:251679744;mso-position-horizontal-relative:text;mso-position-vertical-relative:text"/>
              </w:pict>
            </w:r>
            <w:r w:rsidR="00651258" w:rsidRPr="00E9291A">
              <w:rPr>
                <w:rFonts w:ascii="Times New Roman" w:hAnsi="Times New Roman" w:cs="Times New Roman"/>
                <w:sz w:val="24"/>
                <w:szCs w:val="24"/>
              </w:rPr>
              <w:t>Декларация соответствия</w:t>
            </w:r>
          </w:p>
          <w:p w:rsidR="00651258" w:rsidRPr="00E9291A" w:rsidRDefault="00651258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5" w:rsidRPr="00E9291A" w:rsidTr="00616D24">
        <w:trPr>
          <w:trHeight w:val="70"/>
        </w:trPr>
        <w:tc>
          <w:tcPr>
            <w:tcW w:w="2235" w:type="dxa"/>
            <w:vMerge w:val="restart"/>
          </w:tcPr>
          <w:p w:rsidR="002A04A5" w:rsidRPr="00E9291A" w:rsidRDefault="002A04A5" w:rsidP="0061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A5" w:rsidRPr="00E9291A" w:rsidRDefault="002A04A5" w:rsidP="0061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Росаккредитация</w:t>
            </w:r>
            <w:proofErr w:type="spellEnd"/>
          </w:p>
        </w:tc>
        <w:tc>
          <w:tcPr>
            <w:tcW w:w="2550" w:type="dxa"/>
            <w:vMerge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2A04A5" w:rsidRPr="00E9291A" w:rsidRDefault="00CA0B78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type="#_x0000_t13" style="position:absolute;left:0;text-align:left;margin-left:-1.45pt;margin-top:5.1pt;width:23.25pt;height:16.5pt;z-index:251682816;mso-position-horizontal-relative:text;mso-position-vertical-relative:text"/>
              </w:pict>
            </w:r>
            <w:proofErr w:type="spellStart"/>
            <w:r w:rsidR="002A04A5" w:rsidRPr="00E9291A">
              <w:rPr>
                <w:rFonts w:ascii="Times New Roman" w:hAnsi="Times New Roman" w:cs="Times New Roman"/>
                <w:sz w:val="24"/>
                <w:szCs w:val="24"/>
              </w:rPr>
              <w:t>Санэпидем</w:t>
            </w:r>
            <w:proofErr w:type="spellEnd"/>
            <w:r w:rsidR="002A04A5"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</w:t>
            </w:r>
          </w:p>
        </w:tc>
      </w:tr>
      <w:tr w:rsidR="002A04A5" w:rsidRPr="00E9291A" w:rsidTr="00616D24">
        <w:trPr>
          <w:trHeight w:val="375"/>
        </w:trPr>
        <w:tc>
          <w:tcPr>
            <w:tcW w:w="2235" w:type="dxa"/>
            <w:vMerge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5" w:rsidRPr="00E9291A" w:rsidTr="00616D24">
        <w:trPr>
          <w:trHeight w:val="300"/>
        </w:trPr>
        <w:tc>
          <w:tcPr>
            <w:tcW w:w="9571" w:type="dxa"/>
            <w:gridSpan w:val="5"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Карантинные фитосанитарные требования</w:t>
            </w:r>
          </w:p>
        </w:tc>
      </w:tr>
      <w:tr w:rsidR="00651258" w:rsidRPr="00E9291A" w:rsidTr="00616D24">
        <w:trPr>
          <w:trHeight w:val="495"/>
        </w:trPr>
        <w:tc>
          <w:tcPr>
            <w:tcW w:w="2235" w:type="dxa"/>
          </w:tcPr>
          <w:p w:rsidR="00651258" w:rsidRPr="00E9291A" w:rsidRDefault="00651258" w:rsidP="0061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Россельхознадзор</w:t>
            </w:r>
            <w:proofErr w:type="spellEnd"/>
          </w:p>
        </w:tc>
        <w:tc>
          <w:tcPr>
            <w:tcW w:w="2550" w:type="dxa"/>
          </w:tcPr>
          <w:p w:rsidR="00651258" w:rsidRPr="00E9291A" w:rsidRDefault="00CA0B7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13" style="position:absolute;left:0;text-align:left;margin-left:45.85pt;margin-top:5.75pt;width:130.5pt;height:10.45pt;flip:y;z-index:251675648;mso-position-horizontal-relative:text;mso-position-vertical-relative:text"/>
              </w:pict>
            </w:r>
          </w:p>
        </w:tc>
        <w:tc>
          <w:tcPr>
            <w:tcW w:w="2393" w:type="dxa"/>
          </w:tcPr>
          <w:p w:rsidR="00651258" w:rsidRPr="00E9291A" w:rsidRDefault="0065125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51258" w:rsidRPr="00E9291A" w:rsidRDefault="00651258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Фитосанитарный сертификат</w:t>
            </w:r>
          </w:p>
        </w:tc>
      </w:tr>
      <w:tr w:rsidR="002A04A5" w:rsidRPr="00E9291A" w:rsidTr="00616D24">
        <w:trPr>
          <w:trHeight w:val="325"/>
        </w:trPr>
        <w:tc>
          <w:tcPr>
            <w:tcW w:w="9571" w:type="dxa"/>
            <w:gridSpan w:val="5"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Ветеринарные требования</w:t>
            </w:r>
          </w:p>
        </w:tc>
      </w:tr>
      <w:tr w:rsidR="002A04A5" w:rsidRPr="00E9291A" w:rsidTr="00616D24">
        <w:trPr>
          <w:trHeight w:val="570"/>
        </w:trPr>
        <w:tc>
          <w:tcPr>
            <w:tcW w:w="2235" w:type="dxa"/>
            <w:vMerge w:val="restart"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A5" w:rsidRPr="00E9291A" w:rsidRDefault="002A04A5" w:rsidP="00616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Россельхознадзор</w:t>
            </w:r>
            <w:proofErr w:type="spellEnd"/>
          </w:p>
        </w:tc>
        <w:tc>
          <w:tcPr>
            <w:tcW w:w="2550" w:type="dxa"/>
            <w:vMerge w:val="restart"/>
          </w:tcPr>
          <w:p w:rsidR="002A04A5" w:rsidRPr="00E9291A" w:rsidRDefault="00CA0B78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13" style="position:absolute;left:0;text-align:left;margin-left:45.85pt;margin-top:8.15pt;width:130.5pt;height:10.45pt;flip:y;z-index:2516776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13" style="position:absolute;left:0;text-align:left;margin-left:45.85pt;margin-top:32.9pt;width:130.5pt;height:10.45pt;flip:y;z-index:251676672;mso-position-horizontal-relative:text;mso-position-vertical-relative:text"/>
              </w:pict>
            </w:r>
          </w:p>
        </w:tc>
        <w:tc>
          <w:tcPr>
            <w:tcW w:w="2393" w:type="dxa"/>
            <w:vMerge w:val="restart"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2A04A5" w:rsidRPr="00E9291A" w:rsidRDefault="002A04A5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Ветеринарный сертификат</w:t>
            </w:r>
          </w:p>
        </w:tc>
      </w:tr>
      <w:tr w:rsidR="002A04A5" w:rsidRPr="00E9291A" w:rsidTr="00616D24">
        <w:trPr>
          <w:trHeight w:val="407"/>
        </w:trPr>
        <w:tc>
          <w:tcPr>
            <w:tcW w:w="2235" w:type="dxa"/>
            <w:vMerge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A04A5" w:rsidRPr="00E9291A" w:rsidRDefault="002A04A5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2A04A5" w:rsidRPr="00E9291A" w:rsidRDefault="002A04A5" w:rsidP="00616D24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Разрешение на вывоз</w:t>
            </w:r>
          </w:p>
        </w:tc>
      </w:tr>
    </w:tbl>
    <w:p w:rsidR="00023CDC" w:rsidRPr="00E9291A" w:rsidRDefault="00023CDC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A0757" w:rsidRPr="00E9291A" w:rsidRDefault="003A0757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54502" w:rsidRPr="00E9291A" w:rsidRDefault="00616D24" w:rsidP="00616D2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Международные переговоры: этапы подготовки</w:t>
      </w:r>
    </w:p>
    <w:p w:rsidR="00E54502" w:rsidRPr="00E9291A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Подготовка к переговорам состоит из пяти этапов: постановка задачи, сбор информации, анализ позиции партнера, выбор стратегии и тактики, определение концепции переговоров, решение организационных вопросов (где, когда и как проводить). </w:t>
      </w:r>
    </w:p>
    <w:p w:rsidR="00E54502" w:rsidRPr="00E9291A" w:rsidRDefault="005B0B0B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</w:t>
      </w:r>
      <w:r w:rsidR="00E54502" w:rsidRPr="00E9291A">
        <w:rPr>
          <w:rFonts w:ascii="Times New Roman" w:hAnsi="Times New Roman" w:cs="Times New Roman"/>
          <w:sz w:val="24"/>
          <w:szCs w:val="24"/>
        </w:rPr>
        <w:t xml:space="preserve"> необходимо ответить на следующие вопросы: </w:t>
      </w:r>
    </w:p>
    <w:p w:rsidR="00E54502" w:rsidRPr="00E9291A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— полномочия партнера для принятия решений: требуется ли согласование с другими, более высокими инстанциями;</w:t>
      </w:r>
    </w:p>
    <w:p w:rsidR="00E54502" w:rsidRPr="00E9291A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lastRenderedPageBreak/>
        <w:t xml:space="preserve"> — приоритеты </w:t>
      </w:r>
      <w:proofErr w:type="gramStart"/>
      <w:r w:rsidRPr="00E9291A">
        <w:rPr>
          <w:rFonts w:ascii="Times New Roman" w:hAnsi="Times New Roman" w:cs="Times New Roman"/>
          <w:sz w:val="24"/>
          <w:szCs w:val="24"/>
        </w:rPr>
        <w:t>партнера</w:t>
      </w:r>
      <w:proofErr w:type="gramEnd"/>
      <w:r w:rsidRPr="00E9291A">
        <w:rPr>
          <w:rFonts w:ascii="Times New Roman" w:hAnsi="Times New Roman" w:cs="Times New Roman"/>
          <w:sz w:val="24"/>
          <w:szCs w:val="24"/>
        </w:rPr>
        <w:t xml:space="preserve">: какой минимальный и реалистичный проект контракта их может устроить; </w:t>
      </w:r>
    </w:p>
    <w:p w:rsidR="00E54502" w:rsidRPr="00E9291A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насколько контрагенты компетентны; </w:t>
      </w:r>
    </w:p>
    <w:p w:rsidR="00E54502" w:rsidRPr="00E9291A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— как у партнеров происходит процесс принятия решений? </w:t>
      </w:r>
    </w:p>
    <w:p w:rsidR="00E54502" w:rsidRPr="00E9291A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При подготовке к международным переговорам особенное внимание следует уделить культурным традициям иностранных партнеров, особенностям национального менталитета и национального стиля ведения переговоров. При этом надо помнить основную цель пер</w:t>
      </w:r>
      <w:r w:rsidR="005B0B0B">
        <w:rPr>
          <w:rFonts w:ascii="Times New Roman" w:hAnsi="Times New Roman" w:cs="Times New Roman"/>
          <w:sz w:val="24"/>
          <w:szCs w:val="24"/>
        </w:rPr>
        <w:t>еговоров — заключение выгодного контракта</w:t>
      </w:r>
      <w:r w:rsidRPr="00E9291A">
        <w:rPr>
          <w:rFonts w:ascii="Times New Roman" w:hAnsi="Times New Roman" w:cs="Times New Roman"/>
          <w:sz w:val="24"/>
          <w:szCs w:val="24"/>
        </w:rPr>
        <w:t>.</w:t>
      </w:r>
    </w:p>
    <w:p w:rsidR="005B0B0B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Решение организационных вопросов проведения переговоров должно определяться с учетом деловых, политических и психологических обстоятельств. Как правило, стороны договариваются о попеременном проведении встреч на территории стран друг друга. Иногда для встречи выбирается нейтральная территория или территория посредника. Главным организационным моментом является определение повестки дня, регламента и уровня проведения переговоров. Следует изучить типичные ошибки других компаний и не повторять их. </w:t>
      </w:r>
    </w:p>
    <w:p w:rsidR="00727681" w:rsidRPr="00E9291A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Предварительное моделирование плана переговоров включает </w:t>
      </w:r>
      <w:proofErr w:type="gramStart"/>
      <w:r w:rsidRPr="00E9291A">
        <w:rPr>
          <w:rFonts w:ascii="Times New Roman" w:hAnsi="Times New Roman" w:cs="Times New Roman"/>
          <w:sz w:val="24"/>
          <w:szCs w:val="24"/>
        </w:rPr>
        <w:t>четыре основные стадии</w:t>
      </w:r>
      <w:proofErr w:type="gramEnd"/>
      <w:r w:rsidRPr="00E9291A">
        <w:rPr>
          <w:rFonts w:ascii="Times New Roman" w:hAnsi="Times New Roman" w:cs="Times New Roman"/>
          <w:sz w:val="24"/>
          <w:szCs w:val="24"/>
        </w:rPr>
        <w:t>:</w:t>
      </w:r>
    </w:p>
    <w:p w:rsidR="00727681" w:rsidRPr="00E9291A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 1) начало переговоров, обмен мнениями, первые предложения; </w:t>
      </w:r>
    </w:p>
    <w:p w:rsidR="00727681" w:rsidRPr="00E9291A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2) дебаты; </w:t>
      </w:r>
    </w:p>
    <w:p w:rsidR="00727681" w:rsidRPr="00E9291A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3) зона конкретных предложений; </w:t>
      </w:r>
    </w:p>
    <w:p w:rsidR="00727681" w:rsidRPr="00E9291A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4) принятие решений и завершение переговоров. </w:t>
      </w:r>
    </w:p>
    <w:p w:rsidR="00EB45C3" w:rsidRPr="00E9291A" w:rsidRDefault="00E54502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Подготовив четкий план и пригласив (при необходимости) профессионального переводчика, представители предприятия, безусловно, завершат переговоры с покупателем на выгодных для себя условиях.</w:t>
      </w:r>
    </w:p>
    <w:p w:rsidR="001427E8" w:rsidRDefault="001427E8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16D24" w:rsidRDefault="00616D2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16D24" w:rsidRDefault="00616D2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16D24" w:rsidRDefault="00616D2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16D24" w:rsidRDefault="00616D2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16D24" w:rsidRDefault="00616D2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16D24" w:rsidRDefault="00616D2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16D24" w:rsidRDefault="00616D2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16D24" w:rsidRDefault="00616D2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16D24" w:rsidRDefault="00616D2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16D24" w:rsidRPr="00E9291A" w:rsidRDefault="00616D2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B0B0B" w:rsidRDefault="005B0B0B" w:rsidP="00616D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0B" w:rsidRDefault="005B0B0B" w:rsidP="00616D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0B" w:rsidRDefault="005B0B0B" w:rsidP="00616D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0B" w:rsidRDefault="005B0B0B" w:rsidP="00616D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0B" w:rsidRDefault="005B0B0B" w:rsidP="00616D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0B" w:rsidRDefault="005B0B0B" w:rsidP="00616D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0B" w:rsidRDefault="005B0B0B" w:rsidP="00616D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0B" w:rsidRDefault="005B0B0B" w:rsidP="00616D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0B" w:rsidRDefault="005B0B0B" w:rsidP="00616D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0B" w:rsidRDefault="005B0B0B" w:rsidP="00616D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0B" w:rsidRDefault="005B0B0B" w:rsidP="00616D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7E8" w:rsidRPr="00E9291A" w:rsidRDefault="00727681" w:rsidP="005B0B0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lastRenderedPageBreak/>
        <w:t>ПЕРЕЧЕНЬ СУЩЕСТВЕННЫХ УСЛОВИЙ ВНЕШНЕТОРГОВОГО КОНТРАКТА</w:t>
      </w:r>
    </w:p>
    <w:p w:rsidR="001427E8" w:rsidRPr="00E9291A" w:rsidRDefault="00727681" w:rsidP="005B0B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 Внешнеторговый контракт считается заключенным, если между сторонами сделки достигнуто соглашение по всем его существенным условиям. Важно знать, какие условия являются существенными для внешнеторгового контракта: </w:t>
      </w:r>
    </w:p>
    <w:p w:rsidR="001427E8" w:rsidRPr="00E9291A" w:rsidRDefault="0072768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1.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Преамбула внешнеторгового контракта</w:t>
      </w:r>
      <w:r w:rsidRPr="00E9291A">
        <w:rPr>
          <w:rFonts w:ascii="Times New Roman" w:hAnsi="Times New Roman" w:cs="Times New Roman"/>
          <w:sz w:val="24"/>
          <w:szCs w:val="24"/>
        </w:rPr>
        <w:t xml:space="preserve">. В преамбуле обязательно должны быть указаны название, место, дата заключения и его номер, поскольку при отсутствии упоминания о применимом праве будет применяться законодательство страны, где данный контракт был заключен. </w:t>
      </w:r>
    </w:p>
    <w:p w:rsidR="001427E8" w:rsidRPr="00E9291A" w:rsidRDefault="0072768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2.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Полное и точное наименование сторон контракта</w:t>
      </w:r>
      <w:r w:rsidRPr="00E9291A">
        <w:rPr>
          <w:rFonts w:ascii="Times New Roman" w:hAnsi="Times New Roman" w:cs="Times New Roman"/>
          <w:sz w:val="24"/>
          <w:szCs w:val="24"/>
        </w:rPr>
        <w:t xml:space="preserve">. В практике нередки случаи, когда одна из сторон намеренно указывает не свое фирменное наименование, тем самым пытаясь уйти от ответственности за нарушение условий контракта и причинение убытков своему контрагенту. </w:t>
      </w:r>
    </w:p>
    <w:p w:rsidR="001427E8" w:rsidRPr="00E9291A" w:rsidRDefault="0072768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3.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Важно проверить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полномочия лица</w:t>
      </w:r>
      <w:r w:rsidRPr="00E9291A">
        <w:rPr>
          <w:rFonts w:ascii="Times New Roman" w:hAnsi="Times New Roman" w:cs="Times New Roman"/>
          <w:sz w:val="24"/>
          <w:szCs w:val="24"/>
        </w:rPr>
        <w:t xml:space="preserve">, подписавшего контракт. В тексте контракта необходимо указать пункт, статью устава, в котором указаны полномочия представителя другой стороны, подписывающего контракт. Если полномочия указаны в доверенности или ином аналогичном документе, то обязательно оставьте у себя его подлинный экземпляр. </w:t>
      </w:r>
    </w:p>
    <w:p w:rsidR="001427E8" w:rsidRPr="00E9291A" w:rsidRDefault="0072768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4.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Предмет внешнеторгового контракта</w:t>
      </w:r>
      <w:r w:rsidRPr="00E9291A">
        <w:rPr>
          <w:rFonts w:ascii="Times New Roman" w:hAnsi="Times New Roman" w:cs="Times New Roman"/>
          <w:sz w:val="24"/>
          <w:szCs w:val="24"/>
        </w:rPr>
        <w:t xml:space="preserve">. Предметом внешнеторгового контракта обычно является экспортируемый товар, который имеет таможенную стоимость. Кроме количества поставленного товара в контракте должны быть указаны соответствующие меры измерения, при этом меры измерения должны трактоваться сторонами одинаково. </w:t>
      </w:r>
    </w:p>
    <w:p w:rsidR="001427E8" w:rsidRPr="00E9291A" w:rsidRDefault="0072768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5.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В практике нередко возникают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конфликты</w:t>
      </w:r>
      <w:r w:rsidRPr="00E9291A">
        <w:rPr>
          <w:rFonts w:ascii="Times New Roman" w:hAnsi="Times New Roman" w:cs="Times New Roman"/>
          <w:sz w:val="24"/>
          <w:szCs w:val="24"/>
        </w:rPr>
        <w:t xml:space="preserve">, связанные, например, с тем, что российские компании поставляют своим иностранным партнерам товары, которые, полностью соответствуя российским показателям качества для данных товаров, в то же время не соответствуют требованиям по качеству, которые предъявляют иностранные партнеры. Поэтому вопрос о качественных характеристиках товара должен быть согласован на переговорной стадии. </w:t>
      </w:r>
    </w:p>
    <w:p w:rsidR="001427E8" w:rsidRPr="00E9291A" w:rsidRDefault="0072768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6.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Во избежание затягивания исполнения обязательства по поставке товара</w:t>
      </w:r>
      <w:r w:rsidRPr="00E9291A">
        <w:rPr>
          <w:rFonts w:ascii="Times New Roman" w:hAnsi="Times New Roman" w:cs="Times New Roman"/>
          <w:sz w:val="24"/>
          <w:szCs w:val="24"/>
        </w:rPr>
        <w:t xml:space="preserve"> в контракте необходимо установить и указать срок передачи товара. </w:t>
      </w:r>
    </w:p>
    <w:p w:rsidR="001427E8" w:rsidRPr="00E9291A" w:rsidRDefault="0072768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7.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Pr="00E9291A">
        <w:rPr>
          <w:rFonts w:ascii="Times New Roman" w:hAnsi="Times New Roman" w:cs="Times New Roman"/>
          <w:sz w:val="24"/>
          <w:szCs w:val="24"/>
        </w:rPr>
        <w:t xml:space="preserve">. Если к контракту имеются приложения, то необходимо четко определить порядок согласования приложений к внешнеторговому контракту и порядок их подписания с указанием всей процедуры. В противном случае будет непонятно, откуда появляются эти приложения, кем заверяются, какую имеют силу и т.п. </w:t>
      </w:r>
    </w:p>
    <w:p w:rsidR="001427E8" w:rsidRPr="00E9291A" w:rsidRDefault="0072768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8.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Приемка товара</w:t>
      </w:r>
      <w:r w:rsidRPr="00E9291A">
        <w:rPr>
          <w:rFonts w:ascii="Times New Roman" w:hAnsi="Times New Roman" w:cs="Times New Roman"/>
          <w:sz w:val="24"/>
          <w:szCs w:val="24"/>
        </w:rPr>
        <w:t xml:space="preserve">. Порядок определения количества и качества. Обычно товар, поставляемый по внешнеторговому контракту, принимается по качеству и по количеству в том месте, где и когда происходит переход права собственности и риска его случайной гибели или повреждения с продавца на покупателя. Порядок проверки качества принятых товаров может определяться в контракте путем включения соответствующих условий о проверке (детальных условий) либо путем указания во внешнеторговом контракте нормативных документов по определению качества товаров (отечественных и зарубежных), устанавливающих порядок проверки. Обычно качество подтверждается следующими документами: сертификатом качества; ветеринарным или санитарным сертификатами. </w:t>
      </w:r>
    </w:p>
    <w:p w:rsidR="001427E8" w:rsidRPr="00E9291A" w:rsidRDefault="0072768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Порядок расчетов по контракту</w:t>
      </w:r>
      <w:r w:rsidRPr="00E9291A">
        <w:rPr>
          <w:rFonts w:ascii="Times New Roman" w:hAnsi="Times New Roman" w:cs="Times New Roman"/>
          <w:sz w:val="24"/>
          <w:szCs w:val="24"/>
        </w:rPr>
        <w:t xml:space="preserve">: цена и валютная оговорка. В данном разделе контракта необходимо четко и однозначно определить валюту цены и валюту платежа (они могут не совпадать), курс конвертации при несовпадении валют, валютные оговорки, которые позволяют избежать курсовых потерь, и порядок расчетов между сторонами. Особенностью внешнеторговых контрактов также является то, что в данных контрактах существует так называемый валютный риск. Он связан с изменением реальной стоимости платежа, выраженного в иностранной валюте, в связи с колебанием ее курса. При этом валютные риски подразделяются на курсовые (связанные с колебанием курса валюты) и инфляционные (обусловленные обесценением валюты в результате инфляции). Наиболее часто применяется валютная оговорка, которая состоит в том, что в текст контракта включается такое условие: сумма платежа изменяется в той же пропорции, в какой происходит изменение валюты платежа по отношению к курсу валютной оговорки. Такие оговорки бывают односторонними (действуют в интересах одной стороны) и двусторонними (в интересах обеих сторон). Одним из примеров двусторонней валютной оговорки может служить установление цены контракта в нескольких валютах, которые имеют тенденции к повышению и понижению (как уже отмечалось, это вызвано противоположными интересами экспортера и импортера в отношении устойчивости валюты). </w:t>
      </w:r>
    </w:p>
    <w:p w:rsidR="001427E8" w:rsidRPr="00E9291A" w:rsidRDefault="0072768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10.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Арбитражная оговорка</w:t>
      </w:r>
      <w:r w:rsidRPr="00E9291A">
        <w:rPr>
          <w:rFonts w:ascii="Times New Roman" w:hAnsi="Times New Roman" w:cs="Times New Roman"/>
          <w:sz w:val="24"/>
          <w:szCs w:val="24"/>
        </w:rPr>
        <w:t xml:space="preserve">. Данный раздел контракта представляется наиболее важным, поскольку определяет взаимоотношения сторон при наступлении разногласий относительно исполнения внешнеторгового контракта. Ценность арбитражного соглашения заключается в возможности исполнить решение того суда, которому стороны отдали предпочтение. Арбитражное соглашение устанавливается путем записи в контракте (арбитражная оговорка) или составлением отдельного документа, четко указывающего, какие споры, кто и с чьим участием будет разрешать 39 (третейская запись). Участники внешнеторгового контракта в своем арбитражном соглашении также вправе определить, что споры между ними передаются на разрешение третейского суда. </w:t>
      </w:r>
    </w:p>
    <w:p w:rsidR="001427E8" w:rsidRPr="00E9291A" w:rsidRDefault="0072768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11.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Упаковка и маркировка товара</w:t>
      </w:r>
      <w:r w:rsidRPr="00E9291A">
        <w:rPr>
          <w:rFonts w:ascii="Times New Roman" w:hAnsi="Times New Roman" w:cs="Times New Roman"/>
          <w:sz w:val="24"/>
          <w:szCs w:val="24"/>
        </w:rPr>
        <w:t xml:space="preserve">. Данный раздел внешнеторгового контракта необходим для определения тех средств, которые соответствуют технологическим и потребительским качествам товара, исключающим повреждение товара при его погрузке, транспортировке и выгрузке. </w:t>
      </w:r>
    </w:p>
    <w:p w:rsidR="00727681" w:rsidRPr="00E9291A" w:rsidRDefault="0072768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12.</w:t>
      </w:r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r w:rsidRPr="00E9291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Pr="00E9291A">
        <w:rPr>
          <w:rFonts w:ascii="Times New Roman" w:hAnsi="Times New Roman" w:cs="Times New Roman"/>
          <w:sz w:val="24"/>
          <w:szCs w:val="24"/>
        </w:rPr>
        <w:t>. В практике международных контрактов преобладают штрафные санкции. Целесообразно использовать комплекс санкций, которые во взаимосвязи значительно ограничивают желание покупателя не выполнять свои обязательства.</w:t>
      </w:r>
    </w:p>
    <w:p w:rsidR="001427E8" w:rsidRPr="00E9291A" w:rsidRDefault="001427E8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7E8" w:rsidRPr="00E9291A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ОПЛАТА: ПЛАТЕЖИ И РИСКИ</w:t>
      </w:r>
    </w:p>
    <w:p w:rsidR="001427E8" w:rsidRPr="00E9291A" w:rsidRDefault="001427E8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Банковский перевод</w:t>
      </w:r>
      <w:r w:rsidRPr="00E929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Remittance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) представляет собой поручение одного банка другому выплатить перевод получателю на определенную сумму. В данном случае импортер оформляет в своем банке платежное поручение (заявление на перевод), на основании которого его банк совершает перевод в пользу получателя-экспортера. Эта форма расчетов наверняка широко применяется вами при поставке товаров внутри России. </w:t>
      </w:r>
    </w:p>
    <w:p w:rsidR="00954628" w:rsidRPr="00E9291A" w:rsidRDefault="001427E8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Инкассо</w:t>
      </w:r>
      <w:r w:rsidRPr="00E929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) — поручение экспортера своему банку получить от импортера (плательщика) непосредственно либо через другой банк определенную сумму или подтверждение того, что эта сумма будет выплачена в назначенные сроки против предоставления товарных документов. В качестве таких документов могут выступать, например, товаросопроводительные документы. При заключении контракта стороны оговаривают, через какие банки будут производиться расчеты. После этого экспортер совершает в соответствии с условиями контракта отгрузку товара. Получив от перевозчика транспортные документы, экспортер подготавливает комплект документов и представляет его при инкассовом поручении своему банку. Инкассо больше подходит для проведения расчетов в случаях, если экспортер имеет доверительные отношения с импортером и может быть на 100% уверен в его платежеспособности, либо если экспортер использует механизмы, гарантирующие ему возврат средств (например, располагает документами, без которых импортер не вступит </w:t>
      </w:r>
      <w:proofErr w:type="gramStart"/>
      <w:r w:rsidRPr="00E9291A">
        <w:rPr>
          <w:rFonts w:ascii="Times New Roman" w:hAnsi="Times New Roman" w:cs="Times New Roman"/>
          <w:sz w:val="24"/>
          <w:szCs w:val="24"/>
        </w:rPr>
        <w:t>в право</w:t>
      </w:r>
      <w:proofErr w:type="gramEnd"/>
      <w:r w:rsidRPr="00E9291A">
        <w:rPr>
          <w:rFonts w:ascii="Times New Roman" w:hAnsi="Times New Roman" w:cs="Times New Roman"/>
          <w:sz w:val="24"/>
          <w:szCs w:val="24"/>
        </w:rPr>
        <w:t xml:space="preserve"> владения товаром). </w:t>
      </w:r>
    </w:p>
    <w:p w:rsidR="00954628" w:rsidRPr="00E9291A" w:rsidRDefault="001427E8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Документарный аккредитив</w:t>
      </w:r>
      <w:r w:rsidRPr="00E929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>, L/C) — наиболее распространенный в международной коммерче</w:t>
      </w:r>
      <w:r w:rsidR="007562FC" w:rsidRPr="00E9291A">
        <w:rPr>
          <w:rFonts w:ascii="Times New Roman" w:hAnsi="Times New Roman" w:cs="Times New Roman"/>
          <w:sz w:val="24"/>
          <w:szCs w:val="24"/>
        </w:rPr>
        <w:t xml:space="preserve">ской практике способ оплаты. </w:t>
      </w:r>
      <w:r w:rsidRPr="00E9291A">
        <w:rPr>
          <w:rFonts w:ascii="Times New Roman" w:hAnsi="Times New Roman" w:cs="Times New Roman"/>
          <w:sz w:val="24"/>
          <w:szCs w:val="24"/>
        </w:rPr>
        <w:t xml:space="preserve">Это обязательство банка произвести платежи по поручению импортера на основании товарных документов. </w:t>
      </w:r>
    </w:p>
    <w:p w:rsidR="003D4B19" w:rsidRPr="00E9291A" w:rsidRDefault="00954628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Вексель</w:t>
      </w:r>
      <w:r w:rsidRPr="00E9291A">
        <w:rPr>
          <w:rFonts w:ascii="Times New Roman" w:hAnsi="Times New Roman" w:cs="Times New Roman"/>
          <w:sz w:val="24"/>
          <w:szCs w:val="24"/>
        </w:rPr>
        <w:t xml:space="preserve"> — безусловное, абстрактное, бесспорное денежное обязательство, облеченное в особую юридическую форму и дающее его владельцу (векселедержателю) право требовать по истечении срока указанную в нем сумму. В международной практике вексельное обращение регулируется в соответствии с правилами Конвенции о простых и переводных векселях (Женева, 1930 год, СССР присоединился в 1937 году). </w:t>
      </w:r>
    </w:p>
    <w:p w:rsidR="003D4B19" w:rsidRPr="00E9291A" w:rsidRDefault="00954628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Чек</w:t>
      </w:r>
      <w:r w:rsidRPr="00E9291A">
        <w:rPr>
          <w:rFonts w:ascii="Times New Roman" w:hAnsi="Times New Roman" w:cs="Times New Roman"/>
          <w:sz w:val="24"/>
          <w:szCs w:val="24"/>
        </w:rPr>
        <w:t xml:space="preserve"> — это безусловный приказ чекодателя банку-плательщику оплатить по предъявлении определенную сумму чекодержателю или по его приказу за счет имеющихся у банка средств чекодателя. Обычно чек представляет собой заполненный необходимыми реквизитами бланк, подписанный чекодателем. Бланки брошюруются в чековые книжки. </w:t>
      </w:r>
    </w:p>
    <w:p w:rsidR="00954628" w:rsidRPr="00E9291A" w:rsidRDefault="00954628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Расчет по открытому счету</w:t>
      </w:r>
      <w:r w:rsidRPr="00E929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>) — экспортер направляет импортеру не только сам товар, но и сопроводительные документы, минуя банк. При этом импортер зачисляет на открытый счет экспортера определенные суммы в сроки, оговоренные в контракте. Тем самым стороны избегают расходов на открытие аккредитива или инкассо.</w:t>
      </w:r>
    </w:p>
    <w:p w:rsidR="003D4B19" w:rsidRPr="00E9291A" w:rsidRDefault="003D4B19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При выборе той или иной формы расчетов важно учитывать степень риска неполучения оплаты от покупателя, распределение форм расчетов с точки зрения рисков экспортера и импортера. Как мы определили выше, аккредитивная форма расчетов является наиболее безопасной и для импортера, и для экспортера. Рассмотрим подробнее достоинства и недостатки всех рассмотренных форм расчетов</w:t>
      </w:r>
    </w:p>
    <w:p w:rsidR="007562FC" w:rsidRDefault="007562FC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43E6C" w:rsidRDefault="00943E6C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43E6C" w:rsidRPr="00E9291A" w:rsidRDefault="00943E6C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3260"/>
        <w:gridCol w:w="3793"/>
      </w:tblGrid>
      <w:tr w:rsidR="003D4B19" w:rsidRPr="00E9291A" w:rsidTr="003D4B19">
        <w:tc>
          <w:tcPr>
            <w:tcW w:w="2518" w:type="dxa"/>
          </w:tcPr>
          <w:p w:rsidR="003D4B19" w:rsidRPr="00E9291A" w:rsidRDefault="003D4B19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РАСЧЕТОВ</w:t>
            </w:r>
          </w:p>
        </w:tc>
        <w:tc>
          <w:tcPr>
            <w:tcW w:w="3260" w:type="dxa"/>
          </w:tcPr>
          <w:p w:rsidR="003D4B19" w:rsidRPr="00E9291A" w:rsidRDefault="003D4B19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ПЛЮСЫ</w:t>
            </w:r>
          </w:p>
        </w:tc>
        <w:tc>
          <w:tcPr>
            <w:tcW w:w="3793" w:type="dxa"/>
          </w:tcPr>
          <w:p w:rsidR="003D4B19" w:rsidRPr="00E9291A" w:rsidRDefault="003D4B19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b/>
                <w:sz w:val="24"/>
                <w:szCs w:val="24"/>
              </w:rPr>
              <w:t>МИНУСЫ</w:t>
            </w:r>
          </w:p>
        </w:tc>
      </w:tr>
      <w:tr w:rsidR="003D4B19" w:rsidRPr="00E9291A" w:rsidTr="003D4B19">
        <w:tc>
          <w:tcPr>
            <w:tcW w:w="2518" w:type="dxa"/>
          </w:tcPr>
          <w:p w:rsidR="003D4B19" w:rsidRPr="00E9291A" w:rsidRDefault="003D4B19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Банковские переводы</w:t>
            </w:r>
          </w:p>
        </w:tc>
        <w:tc>
          <w:tcPr>
            <w:tcW w:w="3260" w:type="dxa"/>
          </w:tcPr>
          <w:p w:rsidR="003D4B19" w:rsidRPr="00E9291A" w:rsidRDefault="003D4B19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Быстрота, простота и дешевизна</w:t>
            </w:r>
          </w:p>
        </w:tc>
        <w:tc>
          <w:tcPr>
            <w:tcW w:w="3793" w:type="dxa"/>
          </w:tcPr>
          <w:p w:rsidR="003D4B19" w:rsidRPr="00E9291A" w:rsidRDefault="003D4B19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Недостаточная надежность</w:t>
            </w:r>
          </w:p>
        </w:tc>
      </w:tr>
      <w:tr w:rsidR="003D4B19" w:rsidRPr="00E9291A" w:rsidTr="003D4B19">
        <w:tc>
          <w:tcPr>
            <w:tcW w:w="2518" w:type="dxa"/>
          </w:tcPr>
          <w:p w:rsidR="003D4B19" w:rsidRPr="00E9291A" w:rsidRDefault="003D4B19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Инкассо</w:t>
            </w:r>
          </w:p>
        </w:tc>
        <w:tc>
          <w:tcPr>
            <w:tcW w:w="3260" w:type="dxa"/>
          </w:tcPr>
          <w:p w:rsidR="003D4B19" w:rsidRPr="00E9291A" w:rsidRDefault="003D4B19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Высокая надежность платежа, т.к. до осуществления оплаты документы покупателю не выдаются. Надежность доставки документов импортеру, т.к. их доставкой занимается банк, что гарантирует их полную сохранность.</w:t>
            </w:r>
          </w:p>
        </w:tc>
        <w:tc>
          <w:tcPr>
            <w:tcW w:w="3793" w:type="dxa"/>
          </w:tcPr>
          <w:p w:rsidR="003D4B19" w:rsidRPr="00E9291A" w:rsidRDefault="003D4B19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Не гарантирует экспортеру 100%-ного получения платежа, т.к. импортер может не иметь достаточно сре</w:t>
            </w:r>
            <w:proofErr w:type="gram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я оплаты или отказаться от платежа или акцепта. Поэтому экспортеры часто требуют у импортеров представления банковских гарантий.</w:t>
            </w:r>
          </w:p>
        </w:tc>
      </w:tr>
      <w:tr w:rsidR="003D4B19" w:rsidRPr="00E9291A" w:rsidTr="003D4B19">
        <w:tc>
          <w:tcPr>
            <w:tcW w:w="2518" w:type="dxa"/>
          </w:tcPr>
          <w:p w:rsidR="003D4B19" w:rsidRPr="00E9291A" w:rsidRDefault="003D4B19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Аккредитив</w:t>
            </w:r>
          </w:p>
        </w:tc>
        <w:tc>
          <w:tcPr>
            <w:tcW w:w="3260" w:type="dxa"/>
          </w:tcPr>
          <w:p w:rsidR="003D4B19" w:rsidRPr="00E9291A" w:rsidRDefault="003D4B19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в отношении условий платежа при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неменьшей</w:t>
            </w:r>
            <w:proofErr w:type="spell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надежности</w:t>
            </w:r>
            <w:r w:rsidR="004722E2" w:rsidRPr="00E9291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ригодность в качестве средства краткосрочного финансирования</w:t>
            </w:r>
            <w:r w:rsidR="004722E2" w:rsidRPr="00E9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 Высока</w:t>
            </w:r>
            <w:r w:rsidR="004722E2" w:rsidRPr="00E9291A">
              <w:rPr>
                <w:rFonts w:ascii="Times New Roman" w:hAnsi="Times New Roman" w:cs="Times New Roman"/>
                <w:sz w:val="24"/>
                <w:szCs w:val="24"/>
              </w:rPr>
              <w:t>я международная правовая защита.</w:t>
            </w:r>
          </w:p>
        </w:tc>
        <w:tc>
          <w:tcPr>
            <w:tcW w:w="3793" w:type="dxa"/>
          </w:tcPr>
          <w:p w:rsidR="003D4B19" w:rsidRPr="00E9291A" w:rsidRDefault="004722E2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Высокая стоимость</w:t>
            </w:r>
          </w:p>
          <w:p w:rsidR="004722E2" w:rsidRPr="00E9291A" w:rsidRDefault="004722E2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Жесткие требования к оформлению документов и сложный документооборот.</w:t>
            </w:r>
          </w:p>
        </w:tc>
      </w:tr>
      <w:tr w:rsidR="004722E2" w:rsidRPr="00E9291A" w:rsidTr="004722E2">
        <w:tc>
          <w:tcPr>
            <w:tcW w:w="2518" w:type="dxa"/>
          </w:tcPr>
          <w:p w:rsidR="004722E2" w:rsidRPr="00E9291A" w:rsidRDefault="004722E2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Открытый счет</w:t>
            </w:r>
          </w:p>
        </w:tc>
        <w:tc>
          <w:tcPr>
            <w:tcW w:w="7053" w:type="dxa"/>
            <w:gridSpan w:val="2"/>
          </w:tcPr>
          <w:p w:rsidR="004722E2" w:rsidRPr="00E9291A" w:rsidRDefault="004722E2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Преимущество открытого счета для экспортера сомнительно, т.к. не содержит надежных гарантий для продавца и обычно применяется в расчетах между фирмами, имеющими доверительные, длительные деловые отношения.</w:t>
            </w:r>
          </w:p>
        </w:tc>
      </w:tr>
      <w:tr w:rsidR="004722E2" w:rsidRPr="00E9291A" w:rsidTr="004722E2">
        <w:tc>
          <w:tcPr>
            <w:tcW w:w="2518" w:type="dxa"/>
          </w:tcPr>
          <w:p w:rsidR="004722E2" w:rsidRPr="00E9291A" w:rsidRDefault="004722E2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Расчет чеками</w:t>
            </w:r>
          </w:p>
        </w:tc>
        <w:tc>
          <w:tcPr>
            <w:tcW w:w="7053" w:type="dxa"/>
            <w:gridSpan w:val="2"/>
          </w:tcPr>
          <w:p w:rsidR="004722E2" w:rsidRPr="00E9291A" w:rsidRDefault="004722E2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</w:t>
            </w:r>
            <w:proofErr w:type="gram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удобен</w:t>
            </w:r>
            <w:proofErr w:type="gram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 по своей простоте и оперативности, однако редко применяется при товарных поставках. Причина очевидна: к моменту платежа лимит средств может быть уже израсходован плательщиком-чекодателем, а банк при этом ответственности не несет.</w:t>
            </w:r>
          </w:p>
        </w:tc>
      </w:tr>
      <w:tr w:rsidR="004722E2" w:rsidRPr="00E9291A" w:rsidTr="004722E2">
        <w:tc>
          <w:tcPr>
            <w:tcW w:w="2518" w:type="dxa"/>
          </w:tcPr>
          <w:p w:rsidR="004722E2" w:rsidRPr="00E9291A" w:rsidRDefault="004722E2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Вексель</w:t>
            </w:r>
          </w:p>
        </w:tc>
        <w:tc>
          <w:tcPr>
            <w:tcW w:w="7053" w:type="dxa"/>
            <w:gridSpan w:val="2"/>
          </w:tcPr>
          <w:p w:rsidR="004722E2" w:rsidRPr="00E9291A" w:rsidRDefault="004722E2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Удобство векселей состоит в том, что обладатель векселя может сделать на нем передаточную надпись (индоссамент) в пользу другого лица, которое в свою очередь в пользу третьего и т.д. Однако применение векселей при расчетах по кредитам за поставленные товары создает ряд неудобств, т.к. вексель ничем не обеспечен. При коммерческих расчетах применяются переводные векселя (тратты)</w:t>
            </w:r>
          </w:p>
          <w:p w:rsidR="004722E2" w:rsidRPr="00E9291A" w:rsidRDefault="004722E2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6644" w:rsidRPr="00E9291A" w:rsidRDefault="00E8664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4B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44" w:rsidRPr="00E9291A" w:rsidRDefault="00CF334B" w:rsidP="005B0B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КЛЮЧЕВЫЕ ОРГАНИЗАЦИИ</w:t>
      </w:r>
    </w:p>
    <w:p w:rsidR="004722E2" w:rsidRPr="00E9291A" w:rsidRDefault="00E8664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государственной политики РФ в отношении ВЭД является увеличение объемов экспорта российских товаров и услуг в зарубежные страны. Особое внимание государство уделяет повышению экономической устойчивости и конкурентоспособности малого и среднего предпринимательства. </w:t>
      </w:r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9291A">
        <w:rPr>
          <w:rFonts w:ascii="Times New Roman" w:hAnsi="Times New Roman" w:cs="Times New Roman"/>
          <w:b/>
          <w:sz w:val="24"/>
          <w:szCs w:val="24"/>
        </w:rPr>
        <w:t>Центр поддержки экспорта Республики Саха (Якутия)</w:t>
      </w:r>
      <w:r w:rsidRPr="00E9291A">
        <w:rPr>
          <w:rFonts w:ascii="Times New Roman" w:hAnsi="Times New Roman" w:cs="Times New Roman"/>
          <w:sz w:val="24"/>
          <w:szCs w:val="24"/>
        </w:rPr>
        <w:t xml:space="preserve"> создан на основании Распоряжения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Главы Республики Саха (Якутия) от 05 сентября 2018 года № 742-РГ при ГБУ «Агентство по привлечению инвестиций и поддержки экспорта Республики Саха (Якутия)» и руководствуется приказом Министерства экономического развития Российской Федерации от 14.02.2018 г. №67 «Об утверждении требований к реализации мероприятий субъектами Российской Федерации, бюджетам которых предоставляются субсидии на государственную</w:t>
      </w:r>
      <w:proofErr w:type="gramEnd"/>
      <w:r w:rsidRPr="00E9291A">
        <w:rPr>
          <w:rFonts w:ascii="Times New Roman" w:hAnsi="Times New Roman" w:cs="Times New Roman"/>
          <w:sz w:val="24"/>
          <w:szCs w:val="24"/>
        </w:rPr>
        <w:t xml:space="preserve">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предпринимательства».</w:t>
      </w:r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Центр поддержки экспорта оказывает информационно-аналитическую, консультационную и организационную поддержку внешнеэкономической деятельности субъектов малого и среднего предпринимательства для продвижения своей продукции на международные рынки.</w:t>
      </w:r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 xml:space="preserve">Кроме того, Центр поддержки экспорта занимается организацией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бизнес-миссий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в зарубежные страны в </w:t>
      </w:r>
      <w:proofErr w:type="gramStart"/>
      <w:r w:rsidRPr="00E9291A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E9291A">
        <w:rPr>
          <w:rFonts w:ascii="Times New Roman" w:hAnsi="Times New Roman" w:cs="Times New Roman"/>
          <w:sz w:val="24"/>
          <w:szCs w:val="24"/>
        </w:rPr>
        <w:t xml:space="preserve"> которых участники посещают зарубежные компании, обмениваются опытом и находят новых партнеров и клиентов. А также, предоставляет возможность участия субъектов предпринимательства Р</w:t>
      </w:r>
      <w:proofErr w:type="gramStart"/>
      <w:r w:rsidRPr="00E9291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9291A">
        <w:rPr>
          <w:rFonts w:ascii="Times New Roman" w:hAnsi="Times New Roman" w:cs="Times New Roman"/>
          <w:sz w:val="24"/>
          <w:szCs w:val="24"/>
        </w:rPr>
        <w:t>Я) во всероссийских и международных выставочно-ярмарочных мероприятиях.</w:t>
      </w:r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Основными целями деятельности Центра поддержки экспорта являются:</w:t>
      </w:r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- стимулирование и вовлечение субъектов малого и среднего предпринимательства в экспортную деятельность;</w:t>
      </w:r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- содействие выходу субъектов малого и среднего предпринимательства на иностранные рынки товаров, услуг и технологий;</w:t>
      </w:r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- содействие повышению конкурентоспособности и эффективности деятельности экспортно-ориентированных субъектов малого и среднего предпринимательства.</w:t>
      </w:r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bCs/>
          <w:sz w:val="24"/>
          <w:szCs w:val="24"/>
        </w:rPr>
        <w:t>Центр поддержки экспорта Республики Саха (Якутия)</w:t>
      </w:r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7"/>
        <w:gridCol w:w="4598"/>
      </w:tblGrid>
      <w:tr w:rsidR="00CC60C1" w:rsidRPr="00E9291A" w:rsidTr="00CC60C1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 Даниловна</w:t>
            </w:r>
          </w:p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+7 (4112) 39-83-00  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. 67908</w:t>
            </w:r>
          </w:p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6" w:history="1">
              <w:r w:rsidRPr="00E9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petrova@investyakutia.com</w:t>
              </w:r>
            </w:hyperlink>
          </w:p>
        </w:tc>
      </w:tr>
      <w:tr w:rsidR="00CC60C1" w:rsidRPr="00E9291A" w:rsidTr="00CC60C1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КАРЕЛИНА</w:t>
            </w:r>
          </w:p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Ольга Дмитриевна</w:t>
            </w:r>
          </w:p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Ведущий менеджер</w:t>
            </w:r>
          </w:p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+7 (4112) 39-83-00  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. 67908</w:t>
            </w:r>
          </w:p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7" w:history="1">
              <w:r w:rsidRPr="00E9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karelina@investyakutia.com</w:t>
              </w:r>
            </w:hyperlink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0C1" w:rsidRPr="00E9291A" w:rsidTr="00CC60C1"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ИНДЕЕВ</w:t>
            </w:r>
          </w:p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Алексей Иванович</w:t>
            </w:r>
          </w:p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Ведущий менеджер</w:t>
            </w:r>
          </w:p>
        </w:tc>
        <w:tc>
          <w:tcPr>
            <w:tcW w:w="2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+7 (4112) 39-83-00  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. 67908</w:t>
            </w:r>
          </w:p>
          <w:p w:rsidR="00CC60C1" w:rsidRPr="00E9291A" w:rsidRDefault="00CC60C1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8" w:history="1">
              <w:r w:rsidRPr="00E9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indeev@investyakutia.com</w:t>
              </w:r>
            </w:hyperlink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Адрес: 677000, г. Якутск, ул. Орджоникидзе, 36/1, офис 503</w:t>
      </w:r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Телефо</w:t>
      </w:r>
      <w:r w:rsidR="00CF334B">
        <w:rPr>
          <w:rFonts w:ascii="Times New Roman" w:hAnsi="Times New Roman" w:cs="Times New Roman"/>
          <w:sz w:val="24"/>
          <w:szCs w:val="24"/>
        </w:rPr>
        <w:t xml:space="preserve">н: +7 (4112) 39-83-00 </w:t>
      </w:r>
      <w:proofErr w:type="spellStart"/>
      <w:r w:rsidR="00CF334B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="00CF334B">
        <w:rPr>
          <w:rFonts w:ascii="Times New Roman" w:hAnsi="Times New Roman" w:cs="Times New Roman"/>
          <w:sz w:val="24"/>
          <w:szCs w:val="24"/>
        </w:rPr>
        <w:t>. 67916</w:t>
      </w:r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9291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>: </w:t>
      </w:r>
      <w:hyperlink r:id="rId19" w:history="1">
        <w:r w:rsidRPr="00E9291A">
          <w:rPr>
            <w:rStyle w:val="a4"/>
            <w:rFonts w:ascii="Times New Roman" w:hAnsi="Times New Roman" w:cs="Times New Roman"/>
            <w:sz w:val="24"/>
            <w:szCs w:val="24"/>
          </w:rPr>
          <w:t>export@investyakutia.com</w:t>
        </w:r>
      </w:hyperlink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sz w:val="24"/>
          <w:szCs w:val="24"/>
        </w:rPr>
        <w:t>Сайт: </w:t>
      </w:r>
      <w:hyperlink r:id="rId20" w:history="1">
        <w:r w:rsidRPr="00E9291A">
          <w:rPr>
            <w:rStyle w:val="a4"/>
            <w:rFonts w:ascii="Times New Roman" w:hAnsi="Times New Roman" w:cs="Times New Roman"/>
            <w:sz w:val="24"/>
            <w:szCs w:val="24"/>
          </w:rPr>
          <w:t>www.investyakutia.com</w:t>
        </w:r>
      </w:hyperlink>
    </w:p>
    <w:p w:rsidR="00CC60C1" w:rsidRPr="00E9291A" w:rsidRDefault="00CC60C1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86644" w:rsidRPr="00E9291A" w:rsidRDefault="007562FC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Торговые представительства Российской Федерации в иностранных государствах (торгпредства)</w:t>
      </w:r>
      <w:r w:rsidRPr="00E9291A">
        <w:rPr>
          <w:rFonts w:ascii="Times New Roman" w:hAnsi="Times New Roman" w:cs="Times New Roman"/>
          <w:sz w:val="24"/>
          <w:szCs w:val="24"/>
        </w:rPr>
        <w:t xml:space="preserve"> являются государственными органами, которые обеспечивают в государстве пребывания создание конкурентных преимуще</w:t>
      </w:r>
      <w:proofErr w:type="gramStart"/>
      <w:r w:rsidRPr="00E9291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E9291A">
        <w:rPr>
          <w:rFonts w:ascii="Times New Roman" w:hAnsi="Times New Roman" w:cs="Times New Roman"/>
          <w:sz w:val="24"/>
          <w:szCs w:val="24"/>
        </w:rPr>
        <w:t>я российских предприятий. Торгпредства се</w:t>
      </w:r>
      <w:r w:rsidR="00E86644" w:rsidRPr="00E9291A">
        <w:rPr>
          <w:rFonts w:ascii="Times New Roman" w:hAnsi="Times New Roman" w:cs="Times New Roman"/>
          <w:sz w:val="24"/>
          <w:szCs w:val="24"/>
        </w:rPr>
        <w:t>годня открыты в 54 странах мира.</w:t>
      </w:r>
      <w:r w:rsidRPr="00E9291A">
        <w:rPr>
          <w:rFonts w:ascii="Times New Roman" w:hAnsi="Times New Roman" w:cs="Times New Roman"/>
          <w:sz w:val="24"/>
          <w:szCs w:val="24"/>
        </w:rPr>
        <w:t xml:space="preserve"> Торгпредства входят в систему Министерства экономического развития Российской Федерации. </w:t>
      </w:r>
    </w:p>
    <w:p w:rsidR="00E86644" w:rsidRPr="00E9291A" w:rsidRDefault="007562FC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 xml:space="preserve">Региональные центры координации поддержки </w:t>
      </w:r>
      <w:proofErr w:type="spellStart"/>
      <w:r w:rsidRPr="00E9291A">
        <w:rPr>
          <w:rFonts w:ascii="Times New Roman" w:hAnsi="Times New Roman" w:cs="Times New Roman"/>
          <w:b/>
          <w:sz w:val="24"/>
          <w:szCs w:val="24"/>
        </w:rPr>
        <w:t>экспортно</w:t>
      </w:r>
      <w:proofErr w:type="spellEnd"/>
      <w:r w:rsidRPr="00E9291A">
        <w:rPr>
          <w:rFonts w:ascii="Times New Roman" w:hAnsi="Times New Roman" w:cs="Times New Roman"/>
          <w:b/>
          <w:sz w:val="24"/>
          <w:szCs w:val="24"/>
        </w:rPr>
        <w:t xml:space="preserve"> ориентированных субъектов малого и среднего предпринимательства (ЦПЭ)</w:t>
      </w:r>
      <w:r w:rsidRPr="00E9291A">
        <w:rPr>
          <w:rFonts w:ascii="Times New Roman" w:hAnsi="Times New Roman" w:cs="Times New Roman"/>
          <w:sz w:val="24"/>
          <w:szCs w:val="24"/>
        </w:rPr>
        <w:t xml:space="preserve"> создаются в регионах РФ для информационно-аналитической, консультационной и организационной поддержки внешнеэкономической деятельности субъектов МСП и содействия выходу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экспортно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ориентированных субъектов МСП на иностранные рынки. ЦПЭ созданы в 51 регионе Российской Федерации. </w:t>
      </w:r>
    </w:p>
    <w:p w:rsidR="00E86644" w:rsidRPr="00E9291A" w:rsidRDefault="007562FC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АО «Российский экспортный центр» (РЭЦ)</w:t>
      </w:r>
      <w:r w:rsidRPr="00E9291A">
        <w:rPr>
          <w:rFonts w:ascii="Times New Roman" w:hAnsi="Times New Roman" w:cs="Times New Roman"/>
          <w:sz w:val="24"/>
          <w:szCs w:val="24"/>
        </w:rPr>
        <w:t xml:space="preserve"> — в 2015 году новый специализированный институт поддержки экспортеров в режиме «единого окна» интегрирован в систему поддержки экспорта. В «едином окне» РЭЦ компании могут получить полный спектр нефинансовых и финансовых услуг. РЭЦ сформирована группа компаний, в которую вошли АО «Экспортное страховое агентство России» (ЭКСАР) и Государственный специализированный российский экспортно-импортный банк (РОСЭКСИМБАНК). Поддерживая компании в экспортной деятельности, РЭЦ напрямую взаимодействует со всеми государственными органами и организациями на федеральном и региональном уровнях. Финансовая поддержка может  быть оказана в кредитной, страховой или гарантийной форме как для исполнения экспортерами обязательств по внешнеторговому контракту, так и для обеспечения оплаты поставки со стороны иностранного покупателя. И если кредитная и гарантийная поддержка может быть вам знакома по финансовым операциям на внутреннем рынке, то со страхованием экспортных поставок от политических и предпринимательских рисков вы, вероятно, еще не сталкивались. В то же время именно этот инструмент государственной поддержки позволяет закрыть 95% политических и 90% коммерческих рисков при выходе экспортера на зарубежный рынок. Обратиться в группу РЭЦ можно, направив запрос с сайта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www.exportcenter.ru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либо на электронный адрес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info@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1A">
        <w:rPr>
          <w:rFonts w:ascii="Times New Roman" w:hAnsi="Times New Roman" w:cs="Times New Roman"/>
          <w:sz w:val="24"/>
          <w:szCs w:val="24"/>
        </w:rPr>
        <w:t>exporcenter.ru</w:t>
      </w:r>
      <w:proofErr w:type="spellEnd"/>
      <w:r w:rsidRPr="00E92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644" w:rsidRPr="00E9291A" w:rsidRDefault="007562FC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 xml:space="preserve">АНО ДПО «Школа экспорта Акционерного общества «Российский экспортный центр» </w:t>
      </w:r>
      <w:r w:rsidRPr="00E9291A">
        <w:rPr>
          <w:rFonts w:ascii="Times New Roman" w:hAnsi="Times New Roman" w:cs="Times New Roman"/>
          <w:sz w:val="24"/>
          <w:szCs w:val="24"/>
        </w:rPr>
        <w:t>(далее — Школа экспорта) создана в структуре РЭЦ в качестве специализированной организации для оказания нефинансовой услуги по обучению компаний МСП основам экспортной деятельности. АНО ДПО «Школа экспорта Акционерного общества «Российский экспортный центр» выступает в качестве оператора Образовательного проекта РЭЦ.</w:t>
      </w:r>
    </w:p>
    <w:p w:rsidR="00E86644" w:rsidRPr="00E9291A" w:rsidRDefault="00E86644" w:rsidP="00E929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C04E3" w:rsidRDefault="004C04E3" w:rsidP="00CF33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4E3" w:rsidRDefault="004C04E3" w:rsidP="00CF33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B19" w:rsidRPr="00E9291A" w:rsidRDefault="00CF334B" w:rsidP="00CF33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торговых представительств Российской Федерации в иностранных государствах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562FC" w:rsidRPr="00E9291A" w:rsidTr="007562FC">
        <w:trPr>
          <w:trHeight w:val="302"/>
        </w:trPr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Абхазия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abh.ved.gov.ru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Египет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egu.ved.gov.ru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Молдавия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mda.ved.gov.ru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aus.ved.gov.ru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ind.ved.gov.ru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Нидерланды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nld.ved.gov.ru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Австрия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aut.ved.gov.ru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Индонезия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idn.ved.gov.ru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Никарагуа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nic.ved.gov.ru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Азербайджан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aze.ved.gov.ru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Иран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irn.ved.gov.ru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Норвегия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nor.ved.gov.ru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Алжир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dza.ved.gov.ru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Испания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esp.ved.gov.ru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Пакистан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pak.ved.gov.ru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Аргентина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arg.ved.gov.ru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Италия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ita.ved.gov.ru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Польша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pol.ved.gov.ru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Армения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arm.ved.gov.ru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kaz.ved.gov.ru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Сербия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srb.ved.gov.ru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blr.ved.gov.ru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Канада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can.ved.gov.ru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Словакия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svk.ved.gov.ru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Бельгия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bel.ved.gov.ru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Киргизия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kgz.ved.gov.ru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США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usa.ved.gov.ru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Болгария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bgr.ved.gov.ru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chn.ved.gov.ru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Таджикистан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tjk.ved.gov.ru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Бразилия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bra.ved.gov.ru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Южная Корея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kor.ved.gov.ru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Таиланд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tha.ved.gov.ru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gbr.ved.gov.ru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Куба*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cuba.ved.gov.ru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Туркменистан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tkm.ved.gov.ru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Венгрия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hun.ved.gov.ru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Литва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ltu.ved.gov.ru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Турция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tur.ved.gov.ru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Вьетнам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vnm.ved.gov.ru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Люксембург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lux.ved.gov.ru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Узбекистан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uzb.ved.gov.ru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deu.ved.gov.ru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Малайзия*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mys.ved.gov.ru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Украина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ukr.ved.gov.ru</w:t>
            </w:r>
            <w:proofErr w:type="spellEnd"/>
          </w:p>
        </w:tc>
      </w:tr>
      <w:tr w:rsidR="007562FC" w:rsidRPr="00E9291A" w:rsidTr="007562FC"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dnk.ved.gov.ru</w:t>
            </w:r>
            <w:proofErr w:type="spellEnd"/>
          </w:p>
        </w:tc>
        <w:tc>
          <w:tcPr>
            <w:tcW w:w="3190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Марокко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mar.ved.gov.ru</w:t>
            </w:r>
            <w:proofErr w:type="spellEnd"/>
          </w:p>
        </w:tc>
        <w:tc>
          <w:tcPr>
            <w:tcW w:w="3191" w:type="dxa"/>
          </w:tcPr>
          <w:p w:rsidR="007562FC" w:rsidRPr="00E9291A" w:rsidRDefault="007562FC" w:rsidP="00E9291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291A">
              <w:rPr>
                <w:rFonts w:ascii="Times New Roman" w:hAnsi="Times New Roman" w:cs="Times New Roman"/>
                <w:sz w:val="24"/>
                <w:szCs w:val="24"/>
              </w:rPr>
              <w:t xml:space="preserve">Финляндия </w:t>
            </w:r>
            <w:proofErr w:type="spellStart"/>
            <w:r w:rsidRPr="00E9291A">
              <w:rPr>
                <w:rFonts w:ascii="Times New Roman" w:hAnsi="Times New Roman" w:cs="Times New Roman"/>
                <w:sz w:val="24"/>
                <w:szCs w:val="24"/>
              </w:rPr>
              <w:t>fin.ved.gov.ru</w:t>
            </w:r>
            <w:proofErr w:type="spellEnd"/>
          </w:p>
        </w:tc>
      </w:tr>
    </w:tbl>
    <w:p w:rsidR="007562FC" w:rsidRPr="00E9291A" w:rsidRDefault="007562FC" w:rsidP="00E929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7562FC" w:rsidRPr="00E9291A" w:rsidSect="00CA3702">
      <w:footerReference w:type="defaul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BC" w:rsidRDefault="008661BC" w:rsidP="00CA3702">
      <w:pPr>
        <w:spacing w:line="240" w:lineRule="auto"/>
      </w:pPr>
      <w:r>
        <w:separator/>
      </w:r>
    </w:p>
  </w:endnote>
  <w:endnote w:type="continuationSeparator" w:id="0">
    <w:p w:rsidR="008661BC" w:rsidRDefault="008661BC" w:rsidP="00CA3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201"/>
    </w:sdtPr>
    <w:sdtContent>
      <w:p w:rsidR="008661BC" w:rsidRDefault="008661BC">
        <w:pPr>
          <w:pStyle w:val="aa"/>
          <w:jc w:val="right"/>
        </w:pPr>
        <w:fldSimple w:instr=" PAGE   \* MERGEFORMAT ">
          <w:r w:rsidR="004C04E3">
            <w:rPr>
              <w:noProof/>
            </w:rPr>
            <w:t>16</w:t>
          </w:r>
        </w:fldSimple>
      </w:p>
    </w:sdtContent>
  </w:sdt>
  <w:p w:rsidR="008661BC" w:rsidRDefault="008661B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BC" w:rsidRDefault="008661BC">
    <w:pPr>
      <w:pStyle w:val="aa"/>
      <w:jc w:val="right"/>
    </w:pPr>
  </w:p>
  <w:p w:rsidR="008661BC" w:rsidRDefault="00866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BC" w:rsidRDefault="008661BC" w:rsidP="00CA3702">
      <w:pPr>
        <w:spacing w:line="240" w:lineRule="auto"/>
      </w:pPr>
      <w:r>
        <w:separator/>
      </w:r>
    </w:p>
  </w:footnote>
  <w:footnote w:type="continuationSeparator" w:id="0">
    <w:p w:rsidR="008661BC" w:rsidRDefault="008661BC" w:rsidP="00CA37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E27A0"/>
    <w:multiLevelType w:val="hybridMultilevel"/>
    <w:tmpl w:val="A56E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63F"/>
    <w:rsid w:val="00023CDC"/>
    <w:rsid w:val="0009082D"/>
    <w:rsid w:val="000A2EA1"/>
    <w:rsid w:val="001427E8"/>
    <w:rsid w:val="0015523D"/>
    <w:rsid w:val="001A1A83"/>
    <w:rsid w:val="00233268"/>
    <w:rsid w:val="00281974"/>
    <w:rsid w:val="002A04A5"/>
    <w:rsid w:val="00343819"/>
    <w:rsid w:val="003848E9"/>
    <w:rsid w:val="003A0757"/>
    <w:rsid w:val="003D4B19"/>
    <w:rsid w:val="00405008"/>
    <w:rsid w:val="004722E2"/>
    <w:rsid w:val="004A573F"/>
    <w:rsid w:val="004C04E3"/>
    <w:rsid w:val="00587CD0"/>
    <w:rsid w:val="005B0B0B"/>
    <w:rsid w:val="005F663F"/>
    <w:rsid w:val="00616D24"/>
    <w:rsid w:val="00651258"/>
    <w:rsid w:val="006B547C"/>
    <w:rsid w:val="00713149"/>
    <w:rsid w:val="00727681"/>
    <w:rsid w:val="00736776"/>
    <w:rsid w:val="00746434"/>
    <w:rsid w:val="007562FC"/>
    <w:rsid w:val="00795540"/>
    <w:rsid w:val="007B2D49"/>
    <w:rsid w:val="007D4D80"/>
    <w:rsid w:val="00824DDD"/>
    <w:rsid w:val="00834B47"/>
    <w:rsid w:val="00860115"/>
    <w:rsid w:val="008661BC"/>
    <w:rsid w:val="00883480"/>
    <w:rsid w:val="008F5315"/>
    <w:rsid w:val="00943E6C"/>
    <w:rsid w:val="00954628"/>
    <w:rsid w:val="00991E11"/>
    <w:rsid w:val="009A57F7"/>
    <w:rsid w:val="009E173F"/>
    <w:rsid w:val="00A119FB"/>
    <w:rsid w:val="00A21B1D"/>
    <w:rsid w:val="00A316BC"/>
    <w:rsid w:val="00A835EE"/>
    <w:rsid w:val="00AD36C4"/>
    <w:rsid w:val="00AF1129"/>
    <w:rsid w:val="00B528D2"/>
    <w:rsid w:val="00C63975"/>
    <w:rsid w:val="00C72749"/>
    <w:rsid w:val="00CA0B78"/>
    <w:rsid w:val="00CA3702"/>
    <w:rsid w:val="00CC60C1"/>
    <w:rsid w:val="00CF334B"/>
    <w:rsid w:val="00D82055"/>
    <w:rsid w:val="00DD5686"/>
    <w:rsid w:val="00E54502"/>
    <w:rsid w:val="00E86644"/>
    <w:rsid w:val="00E9291A"/>
    <w:rsid w:val="00EB45C3"/>
    <w:rsid w:val="00EB62F5"/>
    <w:rsid w:val="00FC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6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348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87CD0"/>
    <w:rPr>
      <w:b/>
      <w:bCs/>
    </w:rPr>
  </w:style>
  <w:style w:type="paragraph" w:styleId="a6">
    <w:name w:val="Normal (Web)"/>
    <w:basedOn w:val="a"/>
    <w:uiPriority w:val="99"/>
    <w:semiHidden/>
    <w:unhideWhenUsed/>
    <w:rsid w:val="00587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3149"/>
    <w:pPr>
      <w:spacing w:after="200"/>
      <w:ind w:left="720"/>
      <w:contextualSpacing/>
      <w:jc w:val="left"/>
    </w:pPr>
  </w:style>
  <w:style w:type="paragraph" w:styleId="a8">
    <w:name w:val="header"/>
    <w:basedOn w:val="a"/>
    <w:link w:val="a9"/>
    <w:uiPriority w:val="99"/>
    <w:semiHidden/>
    <w:unhideWhenUsed/>
    <w:rsid w:val="00CA370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3702"/>
  </w:style>
  <w:style w:type="paragraph" w:styleId="aa">
    <w:name w:val="footer"/>
    <w:basedOn w:val="a"/>
    <w:link w:val="ab"/>
    <w:uiPriority w:val="99"/>
    <w:unhideWhenUsed/>
    <w:rsid w:val="00CA370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3702"/>
  </w:style>
  <w:style w:type="paragraph" w:styleId="ac">
    <w:name w:val="Balloon Text"/>
    <w:basedOn w:val="a"/>
    <w:link w:val="ad"/>
    <w:uiPriority w:val="99"/>
    <w:semiHidden/>
    <w:unhideWhenUsed/>
    <w:rsid w:val="00D820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2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.gov.ru" TargetMode="External"/><Relationship Id="rId13" Type="http://schemas.openxmlformats.org/officeDocument/2006/relationships/hyperlink" Target="https://www.berneunion.org" TargetMode="External"/><Relationship Id="rId18" Type="http://schemas.openxmlformats.org/officeDocument/2006/relationships/hyperlink" Target="mailto:indeev@investyakutia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xportcenter.ru" TargetMode="External"/><Relationship Id="rId17" Type="http://schemas.openxmlformats.org/officeDocument/2006/relationships/hyperlink" Target="mailto:karelina@investyakut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trova@investyakutia.com" TargetMode="External"/><Relationship Id="rId20" Type="http://schemas.openxmlformats.org/officeDocument/2006/relationships/hyperlink" Target="http://www.investyakut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yakutia.com/pages/19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ximban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ks.ru" TargetMode="External"/><Relationship Id="rId19" Type="http://schemas.openxmlformats.org/officeDocument/2006/relationships/hyperlink" Target="mailto:export@investyakut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stoms.ru" TargetMode="External"/><Relationship Id="rId14" Type="http://schemas.openxmlformats.org/officeDocument/2006/relationships/hyperlink" Target="https://www.exiar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61E8-C64F-43D8-8A9B-4D5A42E0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16</Pages>
  <Words>4515</Words>
  <Characters>25738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СОУ1</cp:lastModifiedBy>
  <cp:revision>12</cp:revision>
  <cp:lastPrinted>2018-12-27T02:07:00Z</cp:lastPrinted>
  <dcterms:created xsi:type="dcterms:W3CDTF">2018-12-25T08:30:00Z</dcterms:created>
  <dcterms:modified xsi:type="dcterms:W3CDTF">2019-02-20T05:40:00Z</dcterms:modified>
</cp:coreProperties>
</file>